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139065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8"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M&amp;T BANK CORPORATION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3"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680" w:type="dxa"/>
            <w:vAlign w:val="bottom"/>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582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16-0968385</w:t>
            </w:r>
          </w:p>
        </w:tc>
      </w:tr>
      <w:tr>
        <w:trPr>
          <w:trHeight w:val="151"/>
        </w:trPr>
        <w:tc>
          <w:tcPr>
            <w:tcW w:w="2680" w:type="dxa"/>
            <w:vAlign w:val="bottom"/>
          </w:tcPr>
          <w:p>
            <w:pPr>
              <w:jc w:val="center"/>
              <w:ind w:right="19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820" w:type="dxa"/>
            <w:vAlign w:val="bottom"/>
          </w:tcPr>
          <w:p>
            <w:pPr>
              <w:jc w:val="center"/>
              <w:ind w:left="4620"/>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820" w:type="dxa"/>
            <w:vAlign w:val="bottom"/>
          </w:tcPr>
          <w:p>
            <w:pPr>
              <w:jc w:val="center"/>
              <w:ind w:left="46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2"/>
        </w:trPr>
        <w:tc>
          <w:tcPr>
            <w:tcW w:w="2680" w:type="dxa"/>
            <w:vAlign w:val="bottom"/>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One M&amp;T Plaza</w:t>
            </w:r>
          </w:p>
        </w:tc>
        <w:tc>
          <w:tcPr>
            <w:tcW w:w="5820" w:type="dxa"/>
            <w:vAlign w:val="bottom"/>
          </w:tcPr>
          <w:p>
            <w:pPr>
              <w:spacing w:after="0"/>
              <w:rPr>
                <w:sz w:val="24"/>
                <w:szCs w:val="24"/>
                <w:color w:val="auto"/>
              </w:rPr>
            </w:pPr>
          </w:p>
        </w:tc>
      </w:tr>
      <w:tr>
        <w:trPr>
          <w:trHeight w:val="238"/>
        </w:trPr>
        <w:tc>
          <w:tcPr>
            <w:tcW w:w="2680" w:type="dxa"/>
            <w:vAlign w:val="bottom"/>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8"/>
              </w:rPr>
              <w:t>Buffalo, New York</w:t>
            </w:r>
          </w:p>
        </w:tc>
        <w:tc>
          <w:tcPr>
            <w:tcW w:w="582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14203</w:t>
            </w:r>
          </w:p>
        </w:tc>
      </w:tr>
      <w:tr>
        <w:trPr>
          <w:trHeight w:val="193"/>
        </w:trPr>
        <w:tc>
          <w:tcPr>
            <w:tcW w:w="268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820" w:type="dxa"/>
            <w:vAlign w:val="bottom"/>
          </w:tcPr>
          <w:p>
            <w:pPr>
              <w:jc w:val="center"/>
              <w:ind w:left="46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70"/>
        </w:trPr>
        <w:tc>
          <w:tcPr>
            <w:tcW w:w="2680" w:type="dxa"/>
            <w:vAlign w:val="bottom"/>
          </w:tcPr>
          <w:p>
            <w:pPr>
              <w:spacing w:after="0"/>
              <w:rPr>
                <w:sz w:val="23"/>
                <w:szCs w:val="23"/>
                <w:color w:val="auto"/>
              </w:rPr>
            </w:pPr>
          </w:p>
        </w:tc>
        <w:tc>
          <w:tcPr>
            <w:tcW w:w="5820" w:type="dxa"/>
            <w:vAlign w:val="bottom"/>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253"/>
        </w:trPr>
        <w:tc>
          <w:tcPr>
            <w:tcW w:w="2680" w:type="dxa"/>
            <w:vAlign w:val="bottom"/>
          </w:tcPr>
          <w:p>
            <w:pPr>
              <w:spacing w:after="0"/>
              <w:rPr>
                <w:sz w:val="22"/>
                <w:szCs w:val="22"/>
                <w:color w:val="auto"/>
              </w:rPr>
            </w:pPr>
          </w:p>
        </w:tc>
        <w:tc>
          <w:tcPr>
            <w:tcW w:w="5820" w:type="dxa"/>
            <w:vAlign w:val="bottom"/>
          </w:tcPr>
          <w:p>
            <w:pPr>
              <w:jc w:val="right"/>
              <w:ind w:right="3300"/>
              <w:spacing w:after="0"/>
              <w:rPr>
                <w:sz w:val="20"/>
                <w:szCs w:val="20"/>
                <w:color w:val="auto"/>
              </w:rPr>
            </w:pPr>
            <w:r>
              <w:rPr>
                <w:rFonts w:ascii="Times New Roman" w:cs="Times New Roman" w:eastAsia="Times New Roman" w:hAnsi="Times New Roman"/>
                <w:sz w:val="18"/>
                <w:szCs w:val="18"/>
                <w:b w:val="1"/>
                <w:bCs w:val="1"/>
                <w:color w:val="auto"/>
              </w:rPr>
              <w:t>(716) 635-4000</w:t>
            </w:r>
          </w:p>
        </w:tc>
      </w:tr>
    </w:tbl>
    <w:p>
      <w:pPr>
        <w:spacing w:after="0" w:line="29" w:lineRule="exact"/>
        <w:rPr>
          <w:sz w:val="24"/>
          <w:szCs w:val="24"/>
          <w:color w:val="auto"/>
        </w:rPr>
      </w:pPr>
    </w:p>
    <w:p>
      <w:pPr>
        <w:sectPr>
          <w:pgSz w:w="11900" w:h="16838" w:orient="portrait"/>
          <w:cols w:equalWidth="0" w:num="1">
            <w:col w:w="11240"/>
          </w:cols>
          <w:pgMar w:left="320" w:top="1249" w:right="339" w:bottom="1440" w:gutter="0" w:footer="0" w:header="0"/>
        </w:sectPr>
      </w:pPr>
    </w:p>
    <w:p>
      <w:pPr>
        <w:spacing w:after="0" w:line="270" w:lineRule="exact"/>
        <w:rPr>
          <w:sz w:val="24"/>
          <w:szCs w:val="24"/>
          <w:color w:val="auto"/>
        </w:rPr>
      </w:pPr>
    </w:p>
    <w:p>
      <w:pPr>
        <w:jc w:val="center"/>
        <w:ind w:left="1020"/>
        <w:spacing w:after="0"/>
        <w:rPr>
          <w:sz w:val="20"/>
          <w:szCs w:val="20"/>
          <w:color w:val="auto"/>
        </w:rPr>
      </w:pPr>
      <w:r>
        <w:rPr>
          <w:rFonts w:ascii="Times New Roman" w:cs="Times New Roman" w:eastAsia="Times New Roman" w:hAnsi="Times New Roman"/>
          <w:sz w:val="14"/>
          <w:szCs w:val="14"/>
          <w:b w:val="1"/>
          <w:bCs w:val="1"/>
          <w:u w:val="single" w:color="auto"/>
          <w:color w:val="auto"/>
        </w:rPr>
        <w:t>Title of Each Class</w:t>
      </w:r>
    </w:p>
    <w:p>
      <w:pPr>
        <w:spacing w:after="0" w:line="29" w:lineRule="exact"/>
        <w:rPr>
          <w:sz w:val="24"/>
          <w:szCs w:val="24"/>
          <w:color w:val="auto"/>
        </w:rPr>
      </w:pPr>
    </w:p>
    <w:p>
      <w:pPr>
        <w:jc w:val="center"/>
        <w:ind w:left="1020"/>
        <w:spacing w:after="0"/>
        <w:rPr>
          <w:sz w:val="20"/>
          <w:szCs w:val="20"/>
          <w:color w:val="auto"/>
        </w:rPr>
      </w:pPr>
      <w:r>
        <w:rPr>
          <w:rFonts w:ascii="Times New Roman" w:cs="Times New Roman" w:eastAsia="Times New Roman" w:hAnsi="Times New Roman"/>
          <w:sz w:val="14"/>
          <w:szCs w:val="14"/>
          <w:color w:val="auto"/>
        </w:rPr>
        <w:t>Common Stock, $0.50 par value</w:t>
      </w:r>
    </w:p>
    <w:p>
      <w:pPr>
        <w:spacing w:after="0" w:line="150" w:lineRule="exact"/>
        <w:rPr>
          <w:sz w:val="24"/>
          <w:szCs w:val="24"/>
          <w:color w:val="auto"/>
        </w:rPr>
      </w:pPr>
    </w:p>
    <w:p>
      <w:pPr>
        <w:jc w:val="center"/>
        <w:ind w:left="1020"/>
        <w:spacing w:after="0"/>
        <w:rPr>
          <w:sz w:val="20"/>
          <w:szCs w:val="20"/>
          <w:color w:val="auto"/>
        </w:rPr>
      </w:pPr>
      <w:r>
        <w:rPr>
          <w:rFonts w:ascii="Times New Roman" w:cs="Times New Roman" w:eastAsia="Times New Roman" w:hAnsi="Times New Roman"/>
          <w:sz w:val="14"/>
          <w:szCs w:val="14"/>
          <w:color w:val="auto"/>
        </w:rPr>
        <w:t>Perpetual Fixed-to-Floating Rate</w:t>
      </w:r>
    </w:p>
    <w:p>
      <w:pPr>
        <w:spacing w:after="0" w:line="4" w:lineRule="exact"/>
        <w:rPr>
          <w:sz w:val="24"/>
          <w:szCs w:val="24"/>
          <w:color w:val="auto"/>
        </w:rPr>
      </w:pPr>
    </w:p>
    <w:p>
      <w:pPr>
        <w:jc w:val="center"/>
        <w:ind w:left="1020"/>
        <w:spacing w:after="0"/>
        <w:rPr>
          <w:sz w:val="20"/>
          <w:szCs w:val="20"/>
          <w:color w:val="auto"/>
        </w:rPr>
      </w:pPr>
      <w:r>
        <w:rPr>
          <w:rFonts w:ascii="Times New Roman" w:cs="Times New Roman" w:eastAsia="Times New Roman" w:hAnsi="Times New Roman"/>
          <w:sz w:val="14"/>
          <w:szCs w:val="14"/>
          <w:color w:val="auto"/>
        </w:rPr>
        <w:t>Non-Cumulative Preferred Stock, Series H</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20" w:type="dxa"/>
            <w:vAlign w:val="bottom"/>
          </w:tcPr>
          <w:p>
            <w:pPr>
              <w:spacing w:after="0"/>
              <w:rPr>
                <w:sz w:val="16"/>
                <w:szCs w:val="16"/>
                <w:color w:val="auto"/>
              </w:rPr>
            </w:pPr>
          </w:p>
        </w:tc>
      </w:tr>
      <w:tr>
        <w:trPr>
          <w:trHeight w:val="239"/>
        </w:trPr>
        <w:tc>
          <w:tcPr>
            <w:tcW w:w="124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48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6"/>
        </w:trPr>
        <w:tc>
          <w:tcPr>
            <w:tcW w:w="1240" w:type="dxa"/>
            <w:vAlign w:val="bottom"/>
          </w:tcPr>
          <w:p>
            <w:pPr>
              <w:spacing w:after="0"/>
              <w:rPr>
                <w:sz w:val="16"/>
                <w:szCs w:val="16"/>
                <w:color w:val="auto"/>
              </w:rPr>
            </w:pPr>
          </w:p>
        </w:tc>
        <w:tc>
          <w:tcPr>
            <w:tcW w:w="254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color w:val="auto"/>
                <w:w w:val="98"/>
              </w:rPr>
              <w:t>MTB</w:t>
            </w:r>
          </w:p>
        </w:tc>
        <w:tc>
          <w:tcPr>
            <w:tcW w:w="28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378"/>
        </w:trPr>
        <w:tc>
          <w:tcPr>
            <w:tcW w:w="1240" w:type="dxa"/>
            <w:vAlign w:val="bottom"/>
          </w:tcPr>
          <w:p>
            <w:pPr>
              <w:spacing w:after="0"/>
              <w:rPr>
                <w:sz w:val="24"/>
                <w:szCs w:val="24"/>
                <w:color w:val="auto"/>
              </w:rPr>
            </w:pPr>
          </w:p>
        </w:tc>
        <w:tc>
          <w:tcPr>
            <w:tcW w:w="254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color w:val="auto"/>
              </w:rPr>
              <w:t>MTBPrH</w:t>
            </w:r>
          </w:p>
        </w:tc>
        <w:tc>
          <w:tcPr>
            <w:tcW w:w="28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168910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3" w:lineRule="exact"/>
        <w:rPr>
          <w:sz w:val="24"/>
          <w:szCs w:val="24"/>
          <w:color w:val="auto"/>
        </w:rPr>
      </w:pPr>
    </w:p>
    <w:p>
      <w:pPr>
        <w:sectPr>
          <w:pgSz w:w="11900" w:h="16838" w:orient="portrait"/>
          <w:cols w:equalWidth="0" w:num="2">
            <w:col w:w="3480" w:space="380"/>
            <w:col w:w="7380"/>
          </w:cols>
          <w:pgMar w:left="320" w:top="1249" w:right="339" w:bottom="1440" w:gutter="0" w:footer="0" w:header="0"/>
          <w:type w:val="continuous"/>
        </w:sectPr>
      </w:pPr>
    </w:p>
    <w:p>
      <w:pPr>
        <w:spacing w:after="0" w:line="87"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62" w:lineRule="exact"/>
        <w:rPr>
          <w:sz w:val="24"/>
          <w:szCs w:val="24"/>
          <w:color w:val="auto"/>
        </w:rPr>
      </w:pPr>
    </w:p>
    <w:p>
      <w:pPr>
        <w:ind w:right="20"/>
        <w:spacing w:after="0" w:line="241"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20" w:hanging="212"/>
        <w:spacing w:after="0" w:line="173" w:lineRule="exact"/>
        <w:tabs>
          <w:tab w:leader="none" w:pos="22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340" w:type="dxa"/>
            <w:vAlign w:val="bottom"/>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ind w:left="2540"/>
              <w:spacing w:after="0"/>
              <w:rPr>
                <w:sz w:val="20"/>
                <w:szCs w:val="20"/>
                <w:color w:val="auto"/>
              </w:rPr>
            </w:pPr>
            <w:r>
              <w:rPr>
                <w:rFonts w:ascii="Times New Roman" w:cs="Times New Roman" w:eastAsia="Times New Roman" w:hAnsi="Times New Roman"/>
                <w:sz w:val="15"/>
                <w:szCs w:val="15"/>
                <w:color w:val="auto"/>
              </w:rPr>
              <w:t>Accelerated filer</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340" w:type="dxa"/>
            <w:vAlign w:val="bottom"/>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ind w:left="25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340" w:type="dxa"/>
            <w:vAlign w:val="bottom"/>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spacing w:after="0"/>
              <w:rPr>
                <w:sz w:val="22"/>
                <w:szCs w:val="22"/>
                <w:color w:val="auto"/>
              </w:rPr>
            </w:pPr>
          </w:p>
        </w:tc>
        <w:tc>
          <w:tcPr>
            <w:tcW w:w="720" w:type="dxa"/>
            <w:vAlign w:val="bottom"/>
          </w:tcPr>
          <w:p>
            <w:pPr>
              <w:spacing w:after="0"/>
              <w:rPr>
                <w:sz w:val="22"/>
                <w:szCs w:val="22"/>
                <w:color w:val="auto"/>
              </w:rPr>
            </w:pPr>
          </w:p>
        </w:tc>
      </w:tr>
    </w:tbl>
    <w:p>
      <w:pPr>
        <w:spacing w:after="0" w:line="75" w:lineRule="exact"/>
        <w:rPr>
          <w:sz w:val="24"/>
          <w:szCs w:val="24"/>
          <w:color w:val="auto"/>
        </w:rPr>
      </w:pPr>
    </w:p>
    <w:p>
      <w:pPr>
        <w:jc w:val="both"/>
        <w:ind w:right="20"/>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0" w:lineRule="exact"/>
        <w:rPr>
          <w:sz w:val="24"/>
          <w:szCs w:val="24"/>
          <w:color w:val="auto"/>
        </w:rPr>
      </w:pPr>
    </w:p>
    <w:p>
      <w:pPr>
        <w:spacing w:after="0" w:line="173" w:lineRule="exact"/>
        <w:tabs>
          <w:tab w:leader="none" w:pos="712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Yes</w:t>
      </w:r>
      <w:r>
        <w:rPr>
          <w:rFonts w:ascii="MS PGothic" w:cs="MS PGothic" w:eastAsia="MS PGothic" w:hAnsi="MS PGothic"/>
          <w:sz w:val="15"/>
          <w:szCs w:val="15"/>
          <w:color w:val="auto"/>
        </w:rPr>
        <w:t xml:space="preserve">  ☒ </w:t>
      </w:r>
      <w:r>
        <w:rPr>
          <w:rFonts w:ascii="Times New Roman" w:cs="Times New Roman" w:eastAsia="Times New Roman" w:hAnsi="Times New Roman"/>
          <w:sz w:val="15"/>
          <w:szCs w:val="15"/>
          <w:color w:val="auto"/>
        </w:rPr>
        <w:t>No</w:t>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Number of shares of the registrant's Common Stock, $0.50 par value, outstanding as of the close of business on May 1, 2024: 166,854,421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M&amp;T BANK CORPORATION</w:t>
            </w:r>
          </w:p>
        </w:tc>
        <w:tc>
          <w:tcPr>
            <w:tcW w:w="384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40" w:type="dxa"/>
            <w:vAlign w:val="bottom"/>
            <w:gridSpan w:val="13"/>
          </w:tcPr>
          <w:p>
            <w:pPr>
              <w:jc w:val="center"/>
              <w:ind w:right="4520"/>
              <w:spacing w:after="0"/>
              <w:rPr>
                <w:sz w:val="20"/>
                <w:szCs w:val="20"/>
                <w:color w:val="auto"/>
              </w:rPr>
            </w:pPr>
            <w:r>
              <w:rPr>
                <w:rFonts w:ascii="Times New Roman" w:cs="Times New Roman" w:eastAsia="Times New Roman" w:hAnsi="Times New Roman"/>
                <w:sz w:val="18"/>
                <w:szCs w:val="18"/>
                <w:color w:val="auto"/>
                <w:w w:val="99"/>
              </w:rPr>
              <w:t>FORM 10-Q</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6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color w:val="auto"/>
              </w:rPr>
              <w:t>For the Quarterly Period Ended March 31, 2024</w:t>
            </w:r>
          </w:p>
        </w:tc>
        <w:tc>
          <w:tcPr>
            <w:tcW w:w="3240" w:type="dxa"/>
            <w:vAlign w:val="bottom"/>
            <w:gridSpan w:val="7"/>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58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Table of Contents of Information Required in Report</w:t>
            </w: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520" w:type="dxa"/>
            <w:vAlign w:val="bottom"/>
            <w:tcBorders>
              <w:top w:val="single" w:sz="8" w:color="auto"/>
              <w:bottom w:val="single" w:sz="8" w:color="auto"/>
            </w:tcBorders>
            <w:gridSpan w:val="12"/>
            <w:vMerge w:val="restart"/>
          </w:tcPr>
          <w:p>
            <w:pPr>
              <w:spacing w:after="0"/>
              <w:rPr>
                <w:sz w:val="20"/>
                <w:szCs w:val="20"/>
                <w:color w:val="auto"/>
              </w:rPr>
            </w:pPr>
            <w:r>
              <w:rPr>
                <w:rFonts w:ascii="Times New Roman" w:cs="Times New Roman" w:eastAsia="Times New Roman" w:hAnsi="Times New Roman"/>
                <w:sz w:val="18"/>
                <w:szCs w:val="18"/>
                <w:color w:val="0000FF"/>
              </w:rPr>
              <w:t>Glossary of Terms</w:t>
            </w:r>
          </w:p>
        </w:tc>
        <w:tc>
          <w:tcPr>
            <w:tcW w:w="6780" w:type="dxa"/>
            <w:vAlign w:val="bottom"/>
            <w:gridSpan w:val="17"/>
            <w:vMerge w:val="restart"/>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12"/>
            <w:vMerge w:val="continue"/>
          </w:tcPr>
          <w:p>
            <w:pPr>
              <w:spacing w:after="0"/>
              <w:rPr>
                <w:sz w:val="19"/>
                <w:szCs w:val="19"/>
                <w:color w:val="auto"/>
              </w:rPr>
            </w:pPr>
          </w:p>
        </w:tc>
        <w:tc>
          <w:tcPr>
            <w:tcW w:w="6780" w:type="dxa"/>
            <w:vAlign w:val="bottom"/>
            <w:gridSpan w:val="17"/>
            <w:vMerge w:val="continue"/>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5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20" w:type="dxa"/>
            <w:vAlign w:val="bottom"/>
            <w:tcBorders>
              <w:bottom w:val="single" w:sz="8" w:color="0000EE"/>
            </w:tcBorders>
          </w:tcPr>
          <w:p>
            <w:pPr>
              <w:spacing w:after="0"/>
              <w:rPr>
                <w:sz w:val="24"/>
                <w:szCs w:val="24"/>
                <w:color w:val="auto"/>
              </w:rPr>
            </w:pPr>
          </w:p>
        </w:tc>
        <w:tc>
          <w:tcPr>
            <w:tcW w:w="7760" w:type="dxa"/>
            <w:vAlign w:val="bottom"/>
            <w:gridSpan w:val="20"/>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CONSOLIDATED BALANCE SHEET – March 31, 2024 and December 31, 2023</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FF"/>
                <w:w w:val="99"/>
              </w:rPr>
              <w:t>CONSOLIDATED STATEMENT OF INCOME – Three months ended March 31, 2024 and 2023</w:t>
            </w:r>
          </w:p>
        </w:tc>
        <w:tc>
          <w:tcPr>
            <w:tcW w:w="2220" w:type="dxa"/>
            <w:vAlign w:val="bottom"/>
            <w:gridSpan w:val="5"/>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4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FF"/>
                <w:w w:val="99"/>
              </w:rPr>
              <w:t>CONSOLIDATED STATEMENT OF COMPREHENSIVE INCOME – Three months ended March 31, 2024 and 2023</w:t>
            </w:r>
          </w:p>
        </w:tc>
        <w:tc>
          <w:tcPr>
            <w:tcW w:w="660" w:type="dxa"/>
            <w:vAlign w:val="bottom"/>
            <w:gridSpan w:val="2"/>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CONSOLIDATED STATEMENT OF CASH FLOWS – Three months ended March 31, 2024 and 2023</w:t>
            </w:r>
          </w:p>
        </w:tc>
        <w:tc>
          <w:tcPr>
            <w:tcW w:w="20" w:type="dxa"/>
            <w:vAlign w:val="bottom"/>
            <w:tcBorders>
              <w:bottom w:val="single" w:sz="8" w:color="0000EE"/>
            </w:tcBorders>
          </w:tcPr>
          <w:p>
            <w:pPr>
              <w:spacing w:after="0"/>
              <w:rPr>
                <w:sz w:val="24"/>
                <w:szCs w:val="24"/>
                <w:color w:val="auto"/>
              </w:rPr>
            </w:pPr>
          </w:p>
        </w:tc>
        <w:tc>
          <w:tcPr>
            <w:tcW w:w="1820" w:type="dxa"/>
            <w:vAlign w:val="bottom"/>
            <w:gridSpan w:val="3"/>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9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CONSOLIDATED STATEMENT OF CHANGES IN SHAREHOLDERS' EQUITY – Three months ended March 31, 2024</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and 2023</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NOTES TO FINANCIAL STATEMENTS</w:t>
            </w:r>
          </w:p>
        </w:tc>
        <w:tc>
          <w:tcPr>
            <w:tcW w:w="6240" w:type="dxa"/>
            <w:vAlign w:val="bottom"/>
            <w:gridSpan w:val="15"/>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gridSpan w:val="5"/>
          </w:tcPr>
          <w:p>
            <w:pPr>
              <w:spacing w:after="0"/>
              <w:rPr>
                <w:sz w:val="24"/>
                <w:szCs w:val="24"/>
                <w:color w:val="auto"/>
              </w:rPr>
            </w:pPr>
          </w:p>
        </w:tc>
        <w:tc>
          <w:tcPr>
            <w:tcW w:w="2860" w:type="dxa"/>
            <w:vAlign w:val="bottom"/>
            <w:gridSpan w:val="6"/>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20" w:type="dxa"/>
            <w:vAlign w:val="bottom"/>
            <w:gridSpan w:val="19"/>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4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20" w:type="dxa"/>
            <w:vAlign w:val="bottom"/>
            <w:tcBorders>
              <w:bottom w:val="single" w:sz="8" w:color="0000EE"/>
            </w:tcBorders>
          </w:tcPr>
          <w:p>
            <w:pPr>
              <w:spacing w:after="0"/>
              <w:rPr>
                <w:sz w:val="24"/>
                <w:szCs w:val="24"/>
                <w:color w:val="auto"/>
              </w:rPr>
            </w:pPr>
          </w:p>
        </w:tc>
        <w:tc>
          <w:tcPr>
            <w:tcW w:w="8120" w:type="dxa"/>
            <w:vAlign w:val="bottom"/>
            <w:gridSpan w:val="23"/>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960" w:type="dxa"/>
            <w:vAlign w:val="bottom"/>
            <w:gridSpan w:val="22"/>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4940" w:type="dxa"/>
            <w:vAlign w:val="bottom"/>
            <w:gridSpan w:val="1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12"/>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24"/>
                <w:szCs w:val="24"/>
                <w:color w:val="auto"/>
              </w:rPr>
            </w:pPr>
          </w:p>
        </w:tc>
        <w:tc>
          <w:tcPr>
            <w:tcW w:w="6980" w:type="dxa"/>
            <w:vAlign w:val="bottom"/>
            <w:gridSpan w:val="18"/>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5.</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60" w:type="dxa"/>
            <w:vAlign w:val="bottom"/>
            <w:gridSpan w:val="22"/>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Exhibits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0" w:type="dxa"/>
            <w:vAlign w:val="bottom"/>
          </w:tcPr>
          <w:p>
            <w:pPr>
              <w:spacing w:after="0"/>
              <w:rPr>
                <w:sz w:val="1"/>
                <w:szCs w:val="1"/>
                <w:color w:val="auto"/>
              </w:rPr>
            </w:pPr>
          </w:p>
        </w:tc>
      </w:tr>
      <w:tr>
        <w:trPr>
          <w:trHeight w:val="372"/>
        </w:trPr>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0" w:type="dxa"/>
            <w:vAlign w:val="bottom"/>
          </w:tcPr>
          <w:p>
            <w:pPr>
              <w:spacing w:after="0"/>
              <w:rPr>
                <w:sz w:val="1"/>
                <w:szCs w:val="1"/>
                <w:color w:val="auto"/>
              </w:rPr>
            </w:pPr>
          </w:p>
        </w:tc>
      </w:tr>
      <w:tr>
        <w:trPr>
          <w:trHeight w:val="830"/>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gridSpan w:val="19"/>
          </w:tcPr>
          <w:p>
            <w:pPr>
              <w:jc w:val="center"/>
              <w:ind w:left="3790"/>
              <w:spacing w:after="0"/>
              <w:rPr>
                <w:sz w:val="20"/>
                <w:szCs w:val="20"/>
                <w:color w:val="auto"/>
              </w:rPr>
            </w:pPr>
            <w:r>
              <w:rPr>
                <w:rFonts w:ascii="Times New Roman" w:cs="Times New Roman" w:eastAsia="Times New Roman" w:hAnsi="Times New Roman"/>
                <w:sz w:val="18"/>
                <w:szCs w:val="18"/>
                <w:color w:val="auto"/>
                <w:w w:val="99"/>
              </w:rPr>
              <w:t>- 2 -</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 w:name="page3"/>
    <w:bookmarkEnd w:id="2"/>
    <w:p>
      <w:pPr>
        <w:jc w:val="center"/>
        <w:ind w:right="120"/>
        <w:spacing w:after="0"/>
        <w:rPr>
          <w:sz w:val="20"/>
          <w:szCs w:val="20"/>
          <w:color w:val="auto"/>
        </w:rPr>
      </w:pPr>
      <w:r>
        <w:rPr>
          <w:rFonts w:ascii="Times New Roman" w:cs="Times New Roman" w:eastAsia="Times New Roman" w:hAnsi="Times New Roman"/>
          <w:sz w:val="21"/>
          <w:szCs w:val="21"/>
          <w:color w:val="auto"/>
        </w:rPr>
        <w:t>GLOSSARY OF TERMS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listing includes acronyms and terms used throughout the document.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1"/>
                <w:szCs w:val="21"/>
                <w:b w:val="1"/>
                <w:bCs w:val="1"/>
                <w:color w:val="auto"/>
              </w:rPr>
              <w:t>Term</w:t>
            </w:r>
          </w:p>
        </w:tc>
        <w:tc>
          <w:tcPr>
            <w:tcW w:w="81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21"/>
                <w:szCs w:val="21"/>
                <w:b w:val="1"/>
                <w:bCs w:val="1"/>
                <w:color w:val="auto"/>
              </w:rPr>
              <w:t>Definition</w:t>
            </w:r>
          </w:p>
        </w:tc>
      </w:tr>
      <w:tr>
        <w:trPr>
          <w:trHeight w:val="266"/>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21"/>
                <w:szCs w:val="21"/>
                <w:color w:val="auto"/>
              </w:rPr>
              <w:t>2023 Annual Report</w:t>
            </w:r>
          </w:p>
        </w:tc>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21"/>
                <w:szCs w:val="21"/>
                <w:color w:val="auto"/>
              </w:rPr>
              <w:t>Form 10-K for the year ended December 31, 2023</w:t>
            </w:r>
          </w:p>
        </w:tc>
      </w:tr>
      <w:tr>
        <w:trPr>
          <w:trHeight w:val="270"/>
        </w:trPr>
        <w:tc>
          <w:tcPr>
            <w:tcW w:w="31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Bayview Financial</w:t>
            </w:r>
          </w:p>
        </w:tc>
        <w:tc>
          <w:tcPr>
            <w:tcW w:w="81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Bayview Financial Holdings, L.P. together with its affiliates</w:t>
            </w:r>
          </w:p>
        </w:tc>
      </w:tr>
      <w:tr>
        <w:trPr>
          <w:trHeight w:val="270"/>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21"/>
                <w:szCs w:val="21"/>
                <w:color w:val="auto"/>
              </w:rPr>
              <w:t>BLG</w:t>
            </w:r>
          </w:p>
        </w:tc>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21"/>
                <w:szCs w:val="21"/>
                <w:color w:val="auto"/>
              </w:rPr>
              <w:t>Bayview Lending Group, LLC</w:t>
            </w:r>
          </w:p>
        </w:tc>
      </w:tr>
      <w:tr>
        <w:trPr>
          <w:trHeight w:val="270"/>
        </w:trPr>
        <w:tc>
          <w:tcPr>
            <w:tcW w:w="31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Capital Rules</w:t>
            </w:r>
          </w:p>
        </w:tc>
        <w:tc>
          <w:tcPr>
            <w:tcW w:w="81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Capital adequacy standards established by the federal banking agencies</w:t>
            </w:r>
          </w:p>
        </w:tc>
      </w:tr>
      <w:tr>
        <w:trPr>
          <w:trHeight w:val="270"/>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21"/>
                <w:szCs w:val="21"/>
                <w:color w:val="auto"/>
              </w:rPr>
              <w:t>CET1</w:t>
            </w:r>
          </w:p>
        </w:tc>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21"/>
                <w:szCs w:val="21"/>
                <w:color w:val="auto"/>
              </w:rPr>
              <w:t>Common Equity Tier 1</w:t>
            </w:r>
          </w:p>
        </w:tc>
      </w:tr>
      <w:tr>
        <w:trPr>
          <w:trHeight w:val="270"/>
        </w:trPr>
        <w:tc>
          <w:tcPr>
            <w:tcW w:w="31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CIT</w:t>
            </w:r>
          </w:p>
        </w:tc>
        <w:tc>
          <w:tcPr>
            <w:tcW w:w="81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Collective Investment Trust</w:t>
            </w:r>
          </w:p>
        </w:tc>
      </w:tr>
      <w:tr>
        <w:trPr>
          <w:trHeight w:val="270"/>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21"/>
                <w:szCs w:val="21"/>
                <w:color w:val="auto"/>
              </w:rPr>
              <w:t>Company</w:t>
            </w:r>
          </w:p>
        </w:tc>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21"/>
                <w:szCs w:val="21"/>
                <w:color w:val="auto"/>
              </w:rPr>
              <w:t>M&amp;T Bank Corporation and its consolidated subsidiaries</w:t>
            </w:r>
          </w:p>
        </w:tc>
      </w:tr>
      <w:tr>
        <w:trPr>
          <w:trHeight w:val="270"/>
        </w:trPr>
        <w:tc>
          <w:tcPr>
            <w:tcW w:w="31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DIF</w:t>
            </w:r>
          </w:p>
        </w:tc>
        <w:tc>
          <w:tcPr>
            <w:tcW w:w="81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Deposit Insurance Fund</w:t>
            </w:r>
          </w:p>
        </w:tc>
      </w:tr>
      <w:tr>
        <w:trPr>
          <w:trHeight w:val="270"/>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21"/>
                <w:szCs w:val="21"/>
                <w:color w:val="auto"/>
              </w:rPr>
              <w:t>DUS</w:t>
            </w:r>
          </w:p>
        </w:tc>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21"/>
                <w:szCs w:val="21"/>
                <w:color w:val="auto"/>
              </w:rPr>
              <w:t>Delegated Underwriting and Servicing</w:t>
            </w:r>
          </w:p>
        </w:tc>
      </w:tr>
      <w:tr>
        <w:trPr>
          <w:trHeight w:val="270"/>
        </w:trPr>
        <w:tc>
          <w:tcPr>
            <w:tcW w:w="31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Executive ALCO Committee</w:t>
            </w:r>
          </w:p>
        </w:tc>
        <w:tc>
          <w:tcPr>
            <w:tcW w:w="81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Executive Asset-Liability Liquidity Capital Committee of M&amp;T</w:t>
            </w:r>
          </w:p>
        </w:tc>
      </w:tr>
      <w:tr>
        <w:trPr>
          <w:trHeight w:val="270"/>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21"/>
                <w:szCs w:val="21"/>
                <w:color w:val="auto"/>
              </w:rPr>
              <w:t>FDIC</w:t>
            </w:r>
          </w:p>
        </w:tc>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21"/>
                <w:szCs w:val="21"/>
                <w:color w:val="auto"/>
              </w:rPr>
              <w:t>Federal Deposit Insurance Corporation</w:t>
            </w:r>
          </w:p>
        </w:tc>
      </w:tr>
      <w:tr>
        <w:trPr>
          <w:trHeight w:val="270"/>
        </w:trPr>
        <w:tc>
          <w:tcPr>
            <w:tcW w:w="31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FHLB</w:t>
            </w:r>
          </w:p>
        </w:tc>
        <w:tc>
          <w:tcPr>
            <w:tcW w:w="81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Federal Home Loan Bank</w:t>
            </w:r>
          </w:p>
        </w:tc>
      </w:tr>
      <w:tr>
        <w:trPr>
          <w:trHeight w:val="270"/>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21"/>
                <w:szCs w:val="21"/>
                <w:color w:val="auto"/>
              </w:rPr>
              <w:t>FOMC</w:t>
            </w:r>
          </w:p>
        </w:tc>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21"/>
                <w:szCs w:val="21"/>
                <w:color w:val="auto"/>
              </w:rPr>
              <w:t>Federal Open Market Committee</w:t>
            </w:r>
          </w:p>
        </w:tc>
      </w:tr>
      <w:tr>
        <w:trPr>
          <w:trHeight w:val="270"/>
        </w:trPr>
        <w:tc>
          <w:tcPr>
            <w:tcW w:w="31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FRB</w:t>
            </w:r>
          </w:p>
        </w:tc>
        <w:tc>
          <w:tcPr>
            <w:tcW w:w="81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Federal Reserve Bank</w:t>
            </w:r>
          </w:p>
        </w:tc>
      </w:tr>
      <w:tr>
        <w:trPr>
          <w:trHeight w:val="270"/>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21"/>
                <w:szCs w:val="21"/>
                <w:color w:val="auto"/>
              </w:rPr>
              <w:t>GAAP</w:t>
            </w:r>
          </w:p>
        </w:tc>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21"/>
                <w:szCs w:val="21"/>
                <w:color w:val="auto"/>
              </w:rPr>
              <w:t>Accounting principles generally accepted in the U.S.</w:t>
            </w:r>
          </w:p>
        </w:tc>
      </w:tr>
      <w:tr>
        <w:trPr>
          <w:trHeight w:val="270"/>
        </w:trPr>
        <w:tc>
          <w:tcPr>
            <w:tcW w:w="31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GDP</w:t>
            </w:r>
          </w:p>
        </w:tc>
        <w:tc>
          <w:tcPr>
            <w:tcW w:w="81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Gross Domestic Product</w:t>
            </w:r>
          </w:p>
        </w:tc>
      </w:tr>
      <w:tr>
        <w:trPr>
          <w:trHeight w:val="270"/>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21"/>
                <w:szCs w:val="21"/>
                <w:color w:val="auto"/>
              </w:rPr>
              <w:t>Junior subordinated debentures</w:t>
            </w:r>
          </w:p>
        </w:tc>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21"/>
                <w:szCs w:val="21"/>
                <w:color w:val="auto"/>
              </w:rPr>
              <w:t>Fixed and variable rate junior subordinated deferrable interest debentures</w:t>
            </w:r>
          </w:p>
        </w:tc>
      </w:tr>
      <w:tr>
        <w:trPr>
          <w:trHeight w:val="270"/>
        </w:trPr>
        <w:tc>
          <w:tcPr>
            <w:tcW w:w="31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LTV</w:t>
            </w:r>
          </w:p>
        </w:tc>
        <w:tc>
          <w:tcPr>
            <w:tcW w:w="81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Loan-to-value</w:t>
            </w:r>
          </w:p>
        </w:tc>
      </w:tr>
      <w:tr>
        <w:trPr>
          <w:trHeight w:val="270"/>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21"/>
                <w:szCs w:val="21"/>
                <w:color w:val="auto"/>
              </w:rPr>
              <w:t>M&amp;T</w:t>
            </w:r>
          </w:p>
        </w:tc>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21"/>
                <w:szCs w:val="21"/>
                <w:color w:val="auto"/>
              </w:rPr>
              <w:t>M&amp;T Bank Corporation</w:t>
            </w:r>
          </w:p>
        </w:tc>
      </w:tr>
      <w:tr>
        <w:trPr>
          <w:trHeight w:val="270"/>
        </w:trPr>
        <w:tc>
          <w:tcPr>
            <w:tcW w:w="31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M&amp;T Bank</w:t>
            </w:r>
          </w:p>
        </w:tc>
        <w:tc>
          <w:tcPr>
            <w:tcW w:w="81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Manufacturers and Traders Trust Company</w:t>
            </w:r>
          </w:p>
        </w:tc>
      </w:tr>
      <w:tr>
        <w:trPr>
          <w:trHeight w:val="270"/>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21"/>
                <w:szCs w:val="21"/>
                <w:color w:val="auto"/>
              </w:rPr>
              <w:t>People’s United</w:t>
            </w:r>
          </w:p>
        </w:tc>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21"/>
                <w:szCs w:val="21"/>
                <w:color w:val="auto"/>
              </w:rPr>
              <w:t>People’s United Financial, Inc.</w:t>
            </w:r>
          </w:p>
        </w:tc>
      </w:tr>
      <w:tr>
        <w:trPr>
          <w:trHeight w:val="270"/>
        </w:trPr>
        <w:tc>
          <w:tcPr>
            <w:tcW w:w="31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RWA</w:t>
            </w:r>
          </w:p>
        </w:tc>
        <w:tc>
          <w:tcPr>
            <w:tcW w:w="81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Risk-weighted assets</w:t>
            </w:r>
          </w:p>
        </w:tc>
      </w:tr>
      <w:tr>
        <w:trPr>
          <w:trHeight w:val="270"/>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21"/>
                <w:szCs w:val="21"/>
                <w:color w:val="auto"/>
              </w:rPr>
              <w:t>SCB</w:t>
            </w:r>
          </w:p>
        </w:tc>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21"/>
                <w:szCs w:val="21"/>
                <w:color w:val="auto"/>
              </w:rPr>
              <w:t>Stress capital buffer</w:t>
            </w:r>
          </w:p>
        </w:tc>
      </w:tr>
      <w:tr>
        <w:trPr>
          <w:trHeight w:val="270"/>
        </w:trPr>
        <w:tc>
          <w:tcPr>
            <w:tcW w:w="31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SOFR</w:t>
            </w:r>
          </w:p>
        </w:tc>
        <w:tc>
          <w:tcPr>
            <w:tcW w:w="814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Secured Overnight Financing Rate</w:t>
            </w:r>
          </w:p>
        </w:tc>
      </w:tr>
      <w:tr>
        <w:trPr>
          <w:trHeight w:val="270"/>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21"/>
                <w:szCs w:val="21"/>
                <w:color w:val="auto"/>
              </w:rPr>
              <w:t>U.S.</w:t>
            </w:r>
          </w:p>
        </w:tc>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21"/>
                <w:szCs w:val="21"/>
                <w:color w:val="auto"/>
              </w:rPr>
              <w:t>United States of America</w:t>
            </w:r>
          </w:p>
        </w:tc>
      </w:tr>
      <w:tr>
        <w:trPr>
          <w:trHeight w:val="864"/>
        </w:trPr>
        <w:tc>
          <w:tcPr>
            <w:tcW w:w="3100" w:type="dxa"/>
            <w:vAlign w:val="bottom"/>
          </w:tcPr>
          <w:p>
            <w:pPr>
              <w:spacing w:after="0"/>
              <w:rPr>
                <w:sz w:val="24"/>
                <w:szCs w:val="24"/>
                <w:color w:val="auto"/>
              </w:rPr>
            </w:pPr>
          </w:p>
        </w:tc>
        <w:tc>
          <w:tcPr>
            <w:tcW w:w="81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- 3 -</w:t>
            </w:r>
          </w:p>
        </w:tc>
      </w:tr>
      <w:tr>
        <w:trPr>
          <w:trHeight w:val="763"/>
        </w:trPr>
        <w:tc>
          <w:tcPr>
            <w:tcW w:w="3100" w:type="dxa"/>
            <w:vAlign w:val="bottom"/>
            <w:tcBorders>
              <w:bottom w:val="single" w:sz="8" w:color="9A9A9A"/>
            </w:tcBorders>
          </w:tcPr>
          <w:p>
            <w:pPr>
              <w:spacing w:after="0"/>
              <w:rPr>
                <w:sz w:val="24"/>
                <w:szCs w:val="24"/>
                <w:color w:val="auto"/>
              </w:rPr>
            </w:pPr>
          </w:p>
        </w:tc>
        <w:tc>
          <w:tcPr>
            <w:tcW w:w="8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1"/>
          <w:szCs w:val="21"/>
          <w:color w:val="auto"/>
        </w:rPr>
        <w:t>PART I. FINANCIAL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 Financial Statements.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BALANCE SHEET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13"/>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Cash and due from banks</w:t>
            </w:r>
          </w:p>
        </w:tc>
        <w:tc>
          <w:tcPr>
            <w:tcW w:w="2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1,695</w:t>
            </w: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1,731</w:t>
            </w:r>
          </w:p>
        </w:tc>
        <w:tc>
          <w:tcPr>
            <w:tcW w:w="100" w:type="dxa"/>
            <w:vAlign w:val="bottom"/>
            <w:shd w:val="clear" w:color="auto" w:fill="CFF0FC"/>
          </w:tcPr>
          <w:p>
            <w:pPr>
              <w:spacing w:after="0"/>
              <w:rPr>
                <w:sz w:val="17"/>
                <w:szCs w:val="17"/>
                <w:color w:val="auto"/>
              </w:rPr>
            </w:pPr>
          </w:p>
        </w:tc>
      </w:tr>
      <w:tr>
        <w:trPr>
          <w:trHeight w:val="189"/>
        </w:trPr>
        <w:tc>
          <w:tcPr>
            <w:tcW w:w="8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Interest-bearing deposits at banks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32,144</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28,069</w:t>
            </w:r>
          </w:p>
        </w:tc>
        <w:tc>
          <w:tcPr>
            <w:tcW w:w="100" w:type="dxa"/>
            <w:vAlign w:val="bottom"/>
          </w:tcPr>
          <w:p>
            <w:pPr>
              <w:spacing w:after="0"/>
              <w:rPr>
                <w:sz w:val="16"/>
                <w:szCs w:val="16"/>
                <w:color w:val="auto"/>
              </w:rPr>
            </w:pPr>
          </w:p>
        </w:tc>
      </w:tr>
      <w:tr>
        <w:trPr>
          <w:trHeight w:val="189"/>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Trading account</w:t>
            </w: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00" w:type="dxa"/>
            <w:vAlign w:val="bottom"/>
            <w:shd w:val="clear" w:color="auto" w:fill="CFF0FC"/>
          </w:tcPr>
          <w:p>
            <w:pPr>
              <w:spacing w:after="0"/>
              <w:rPr>
                <w:sz w:val="16"/>
                <w:szCs w:val="16"/>
                <w:color w:val="auto"/>
              </w:rPr>
            </w:pPr>
          </w:p>
        </w:tc>
      </w:tr>
      <w:tr>
        <w:trPr>
          <w:trHeight w:val="189"/>
        </w:trPr>
        <w:tc>
          <w:tcPr>
            <w:tcW w:w="8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Investment securities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81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Available for sale (cost: $12,397 at March 31, 2024;</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93"/>
        </w:trPr>
        <w:tc>
          <w:tcPr>
            <w:tcW w:w="81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$10,691 at December 31, 2023)</w:t>
            </w: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12,134</w:t>
            </w: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10,440</w:t>
            </w:r>
          </w:p>
        </w:tc>
        <w:tc>
          <w:tcPr>
            <w:tcW w:w="100" w:type="dxa"/>
            <w:vAlign w:val="bottom"/>
            <w:shd w:val="clear" w:color="auto" w:fill="CFF0FC"/>
          </w:tcPr>
          <w:p>
            <w:pPr>
              <w:spacing w:after="0"/>
              <w:rPr>
                <w:sz w:val="16"/>
                <w:szCs w:val="16"/>
                <w:color w:val="auto"/>
              </w:rPr>
            </w:pPr>
          </w:p>
        </w:tc>
      </w:tr>
      <w:tr>
        <w:trPr>
          <w:trHeight w:val="158"/>
        </w:trPr>
        <w:tc>
          <w:tcPr>
            <w:tcW w:w="812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Held to maturity (fair value: $13,865 at March 31, 2024;</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3"/>
        </w:trPr>
        <w:tc>
          <w:tcPr>
            <w:tcW w:w="81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$14,308 at December 31, 2023)</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15,078</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15,330</w:t>
            </w:r>
          </w:p>
        </w:tc>
        <w:tc>
          <w:tcPr>
            <w:tcW w:w="100" w:type="dxa"/>
            <w:vAlign w:val="bottom"/>
          </w:tcPr>
          <w:p>
            <w:pPr>
              <w:spacing w:after="0"/>
              <w:rPr>
                <w:sz w:val="16"/>
                <w:szCs w:val="16"/>
                <w:color w:val="auto"/>
              </w:rPr>
            </w:pPr>
          </w:p>
        </w:tc>
      </w:tr>
      <w:tr>
        <w:trPr>
          <w:trHeight w:val="158"/>
        </w:trPr>
        <w:tc>
          <w:tcPr>
            <w:tcW w:w="81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Equity and other securities (cost: $1,279 at March 31, 2024;</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93"/>
        </w:trPr>
        <w:tc>
          <w:tcPr>
            <w:tcW w:w="81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$1,125 at December 31, 2023)</w:t>
            </w:r>
          </w:p>
        </w:tc>
        <w:tc>
          <w:tcPr>
            <w:tcW w:w="2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1,284</w:t>
            </w:r>
          </w:p>
        </w:tc>
        <w:tc>
          <w:tcPr>
            <w:tcW w:w="3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1,127</w:t>
            </w:r>
          </w:p>
        </w:tc>
        <w:tc>
          <w:tcPr>
            <w:tcW w:w="100" w:type="dxa"/>
            <w:vAlign w:val="bottom"/>
            <w:shd w:val="clear" w:color="auto" w:fill="CFF0FC"/>
          </w:tcPr>
          <w:p>
            <w:pPr>
              <w:spacing w:after="0"/>
              <w:rPr>
                <w:sz w:val="16"/>
                <w:szCs w:val="16"/>
                <w:color w:val="auto"/>
              </w:rPr>
            </w:pPr>
          </w:p>
        </w:tc>
      </w:tr>
      <w:tr>
        <w:trPr>
          <w:trHeight w:val="183"/>
        </w:trPr>
        <w:tc>
          <w:tcPr>
            <w:tcW w:w="81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Total investment securities</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28,496</w:t>
            </w: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26,897</w:t>
            </w:r>
          </w:p>
        </w:tc>
        <w:tc>
          <w:tcPr>
            <w:tcW w:w="100" w:type="dxa"/>
            <w:vAlign w:val="bottom"/>
          </w:tcPr>
          <w:p>
            <w:pPr>
              <w:spacing w:after="0"/>
              <w:rPr>
                <w:sz w:val="15"/>
                <w:szCs w:val="15"/>
                <w:color w:val="auto"/>
              </w:rPr>
            </w:pPr>
          </w:p>
        </w:tc>
      </w:tr>
      <w:tr>
        <w:trPr>
          <w:trHeight w:val="152"/>
        </w:trPr>
        <w:tc>
          <w:tcPr>
            <w:tcW w:w="8120" w:type="dxa"/>
            <w:vAlign w:val="bottom"/>
            <w:shd w:val="clear" w:color="auto" w:fill="CFF0FC"/>
          </w:tcPr>
          <w:p>
            <w:pPr>
              <w:ind w:left="20"/>
              <w:spacing w:after="0" w:line="152" w:lineRule="exact"/>
              <w:rPr>
                <w:sz w:val="20"/>
                <w:szCs w:val="20"/>
                <w:color w:val="auto"/>
              </w:rPr>
            </w:pPr>
            <w:r>
              <w:rPr>
                <w:rFonts w:ascii="Times New Roman" w:cs="Times New Roman" w:eastAsia="Times New Roman" w:hAnsi="Times New Roman"/>
                <w:sz w:val="15"/>
                <w:szCs w:val="15"/>
                <w:color w:val="auto"/>
              </w:rPr>
              <w:t>Loans and leases, net of unearned discount of $928 at March 31, 2024</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93"/>
        </w:trPr>
        <w:tc>
          <w:tcPr>
            <w:tcW w:w="8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and $868 at December 31, 2023</w:t>
            </w: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134,973</w:t>
            </w: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134,068</w:t>
            </w:r>
          </w:p>
        </w:tc>
        <w:tc>
          <w:tcPr>
            <w:tcW w:w="100" w:type="dxa"/>
            <w:vAlign w:val="bottom"/>
            <w:shd w:val="clear" w:color="auto" w:fill="CFF0FC"/>
          </w:tcPr>
          <w:p>
            <w:pPr>
              <w:spacing w:after="0"/>
              <w:rPr>
                <w:sz w:val="16"/>
                <w:szCs w:val="16"/>
                <w:color w:val="auto"/>
              </w:rPr>
            </w:pPr>
          </w:p>
        </w:tc>
      </w:tr>
      <w:tr>
        <w:trPr>
          <w:trHeight w:val="189"/>
        </w:trPr>
        <w:tc>
          <w:tcPr>
            <w:tcW w:w="8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Allowance for credit losses</w:t>
            </w:r>
          </w:p>
        </w:tc>
        <w:tc>
          <w:tcPr>
            <w:tcW w:w="220" w:type="dxa"/>
            <w:vAlign w:val="bottom"/>
          </w:tcPr>
          <w:p>
            <w:pPr>
              <w:spacing w:after="0"/>
              <w:rPr>
                <w:sz w:val="16"/>
                <w:szCs w:val="16"/>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(2,191 )</w:t>
            </w:r>
          </w:p>
        </w:tc>
        <w:tc>
          <w:tcPr>
            <w:tcW w:w="18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(2,129 )</w:t>
            </w:r>
          </w:p>
        </w:tc>
      </w:tr>
      <w:tr>
        <w:trPr>
          <w:trHeight w:val="183"/>
        </w:trPr>
        <w:tc>
          <w:tcPr>
            <w:tcW w:w="81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Loans and leases, net</w:t>
            </w: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132,782</w:t>
            </w:r>
          </w:p>
        </w:tc>
        <w:tc>
          <w:tcPr>
            <w:tcW w:w="3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131,939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8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Premises and equipment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1,707</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1,739</w:t>
            </w:r>
          </w:p>
        </w:tc>
        <w:tc>
          <w:tcPr>
            <w:tcW w:w="100" w:type="dxa"/>
            <w:vAlign w:val="bottom"/>
          </w:tcPr>
          <w:p>
            <w:pPr>
              <w:spacing w:after="0"/>
              <w:rPr>
                <w:sz w:val="15"/>
                <w:szCs w:val="15"/>
                <w:color w:val="auto"/>
              </w:rPr>
            </w:pPr>
          </w:p>
        </w:tc>
      </w:tr>
      <w:tr>
        <w:trPr>
          <w:trHeight w:val="189"/>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8,465</w:t>
            </w: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8,465</w:t>
            </w:r>
          </w:p>
        </w:tc>
        <w:tc>
          <w:tcPr>
            <w:tcW w:w="100" w:type="dxa"/>
            <w:vAlign w:val="bottom"/>
            <w:shd w:val="clear" w:color="auto" w:fill="CFF0FC"/>
          </w:tcPr>
          <w:p>
            <w:pPr>
              <w:spacing w:after="0"/>
              <w:rPr>
                <w:sz w:val="16"/>
                <w:szCs w:val="16"/>
                <w:color w:val="auto"/>
              </w:rPr>
            </w:pPr>
          </w:p>
        </w:tc>
      </w:tr>
      <w:tr>
        <w:trPr>
          <w:trHeight w:val="189"/>
        </w:trPr>
        <w:tc>
          <w:tcPr>
            <w:tcW w:w="8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Core deposit and other intangible assets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00" w:type="dxa"/>
            <w:vAlign w:val="bottom"/>
          </w:tcPr>
          <w:p>
            <w:pPr>
              <w:spacing w:after="0"/>
              <w:rPr>
                <w:sz w:val="16"/>
                <w:szCs w:val="16"/>
                <w:color w:val="auto"/>
              </w:rPr>
            </w:pPr>
          </w:p>
        </w:tc>
      </w:tr>
      <w:tr>
        <w:trPr>
          <w:trHeight w:val="189"/>
        </w:trPr>
        <w:tc>
          <w:tcPr>
            <w:tcW w:w="8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Accrued interest and other assets</w:t>
            </w:r>
          </w:p>
        </w:tc>
        <w:tc>
          <w:tcPr>
            <w:tcW w:w="2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9,617</w:t>
            </w:r>
          </w:p>
        </w:tc>
        <w:tc>
          <w:tcPr>
            <w:tcW w:w="3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9,171</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8120" w:type="dxa"/>
            <w:vAlign w:val="bottom"/>
          </w:tcPr>
          <w:p>
            <w:pPr>
              <w:ind w:left="380"/>
              <w:spacing w:after="0" w:line="169" w:lineRule="exact"/>
              <w:rPr>
                <w:sz w:val="20"/>
                <w:szCs w:val="20"/>
                <w:color w:val="auto"/>
              </w:rPr>
            </w:pPr>
            <w:r>
              <w:rPr>
                <w:rFonts w:ascii="Times New Roman" w:cs="Times New Roman" w:eastAsia="Times New Roman" w:hAnsi="Times New Roman"/>
                <w:sz w:val="15"/>
                <w:szCs w:val="15"/>
                <w:color w:val="auto"/>
              </w:rPr>
              <w:t>Total assets</w:t>
            </w:r>
          </w:p>
        </w:tc>
        <w:tc>
          <w:tcPr>
            <w:tcW w:w="220" w:type="dxa"/>
            <w:vAlign w:val="bottom"/>
            <w:tcBorders>
              <w:bottom w:val="single" w:sz="8" w:color="auto"/>
            </w:tcBorders>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215,137</w:t>
            </w:r>
          </w:p>
        </w:tc>
        <w:tc>
          <w:tcPr>
            <w:tcW w:w="360" w:type="dxa"/>
            <w:vAlign w:val="bottom"/>
          </w:tcPr>
          <w:p>
            <w:pPr>
              <w:spacing w:after="0"/>
              <w:rPr>
                <w:sz w:val="15"/>
                <w:szCs w:val="15"/>
                <w:color w:val="auto"/>
              </w:rPr>
            </w:pPr>
          </w:p>
        </w:tc>
        <w:tc>
          <w:tcPr>
            <w:tcW w:w="180" w:type="dxa"/>
            <w:vAlign w:val="bottom"/>
            <w:tcBorders>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208,264</w:t>
            </w:r>
          </w:p>
        </w:tc>
        <w:tc>
          <w:tcPr>
            <w:tcW w:w="100" w:type="dxa"/>
            <w:vAlign w:val="bottom"/>
          </w:tcPr>
          <w:p>
            <w:pPr>
              <w:spacing w:after="0"/>
              <w:rPr>
                <w:sz w:val="15"/>
                <w:szCs w:val="15"/>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89"/>
        </w:trPr>
        <w:tc>
          <w:tcPr>
            <w:tcW w:w="8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Noninterest-bearing deposits</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50,578</w:t>
            </w:r>
          </w:p>
        </w:tc>
        <w:tc>
          <w:tcPr>
            <w:tcW w:w="36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49,294</w:t>
            </w:r>
          </w:p>
        </w:tc>
        <w:tc>
          <w:tcPr>
            <w:tcW w:w="100" w:type="dxa"/>
            <w:vAlign w:val="bottom"/>
          </w:tcPr>
          <w:p>
            <w:pPr>
              <w:spacing w:after="0"/>
              <w:rPr>
                <w:sz w:val="16"/>
                <w:szCs w:val="16"/>
                <w:color w:val="auto"/>
              </w:rPr>
            </w:pPr>
          </w:p>
        </w:tc>
      </w:tr>
      <w:tr>
        <w:trPr>
          <w:trHeight w:val="189"/>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Savings and interest-checking deposits</w:t>
            </w: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96,339</w:t>
            </w: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93,221</w:t>
            </w:r>
          </w:p>
        </w:tc>
        <w:tc>
          <w:tcPr>
            <w:tcW w:w="100" w:type="dxa"/>
            <w:vAlign w:val="bottom"/>
            <w:shd w:val="clear" w:color="auto" w:fill="CFF0FC"/>
          </w:tcPr>
          <w:p>
            <w:pPr>
              <w:spacing w:after="0"/>
              <w:rPr>
                <w:sz w:val="16"/>
                <w:szCs w:val="16"/>
                <w:color w:val="auto"/>
              </w:rPr>
            </w:pPr>
          </w:p>
        </w:tc>
      </w:tr>
      <w:tr>
        <w:trPr>
          <w:trHeight w:val="189"/>
        </w:trPr>
        <w:tc>
          <w:tcPr>
            <w:tcW w:w="81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5"/>
                <w:szCs w:val="15"/>
                <w:color w:val="auto"/>
              </w:rPr>
              <w:t>Time deposits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20,279</w:t>
            </w:r>
          </w:p>
        </w:tc>
        <w:tc>
          <w:tcPr>
            <w:tcW w:w="3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20,759</w:t>
            </w:r>
          </w:p>
        </w:tc>
        <w:tc>
          <w:tcPr>
            <w:tcW w:w="100" w:type="dxa"/>
            <w:vAlign w:val="bottom"/>
            <w:tcBorders>
              <w:bottom w:val="single" w:sz="8" w:color="CFF0FC"/>
            </w:tcBorders>
          </w:tcPr>
          <w:p>
            <w:pPr>
              <w:spacing w:after="0"/>
              <w:rPr>
                <w:sz w:val="16"/>
                <w:szCs w:val="16"/>
                <w:color w:val="auto"/>
              </w:rPr>
            </w:pPr>
          </w:p>
        </w:tc>
      </w:tr>
      <w:tr>
        <w:trPr>
          <w:trHeight w:val="183"/>
        </w:trPr>
        <w:tc>
          <w:tcPr>
            <w:tcW w:w="81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Total deposits</w:t>
            </w:r>
          </w:p>
        </w:tc>
        <w:tc>
          <w:tcPr>
            <w:tcW w:w="22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167,196</w:t>
            </w:r>
          </w:p>
        </w:tc>
        <w:tc>
          <w:tcPr>
            <w:tcW w:w="3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163,274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8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Short-term borrowings</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4,795</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5,316</w:t>
            </w:r>
          </w:p>
        </w:tc>
        <w:tc>
          <w:tcPr>
            <w:tcW w:w="100" w:type="dxa"/>
            <w:vAlign w:val="bottom"/>
          </w:tcPr>
          <w:p>
            <w:pPr>
              <w:spacing w:after="0"/>
              <w:rPr>
                <w:sz w:val="15"/>
                <w:szCs w:val="15"/>
                <w:color w:val="auto"/>
              </w:rPr>
            </w:pPr>
          </w:p>
        </w:tc>
      </w:tr>
      <w:tr>
        <w:trPr>
          <w:trHeight w:val="189"/>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Accrued interest and other liabilities</w:t>
            </w: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4,527</w:t>
            </w: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4,516</w:t>
            </w:r>
          </w:p>
        </w:tc>
        <w:tc>
          <w:tcPr>
            <w:tcW w:w="100" w:type="dxa"/>
            <w:vAlign w:val="bottom"/>
            <w:shd w:val="clear" w:color="auto" w:fill="CFF0FC"/>
          </w:tcPr>
          <w:p>
            <w:pPr>
              <w:spacing w:after="0"/>
              <w:rPr>
                <w:sz w:val="16"/>
                <w:szCs w:val="16"/>
                <w:color w:val="auto"/>
              </w:rPr>
            </w:pPr>
          </w:p>
        </w:tc>
      </w:tr>
      <w:tr>
        <w:trPr>
          <w:trHeight w:val="189"/>
        </w:trPr>
        <w:tc>
          <w:tcPr>
            <w:tcW w:w="8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borrowings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11,450</w:t>
            </w: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8,201</w:t>
            </w:r>
          </w:p>
        </w:tc>
        <w:tc>
          <w:tcPr>
            <w:tcW w:w="100" w:type="dxa"/>
            <w:vAlign w:val="bottom"/>
          </w:tcPr>
          <w:p>
            <w:pPr>
              <w:spacing w:after="0"/>
              <w:rPr>
                <w:sz w:val="16"/>
                <w:szCs w:val="16"/>
                <w:color w:val="auto"/>
              </w:rPr>
            </w:pPr>
          </w:p>
        </w:tc>
      </w:tr>
      <w:tr>
        <w:trPr>
          <w:trHeight w:val="183"/>
        </w:trPr>
        <w:tc>
          <w:tcPr>
            <w:tcW w:w="81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Total liabilities</w:t>
            </w:r>
          </w:p>
        </w:tc>
        <w:tc>
          <w:tcPr>
            <w:tcW w:w="22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187,968</w:t>
            </w:r>
          </w:p>
        </w:tc>
        <w:tc>
          <w:tcPr>
            <w:tcW w:w="3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181,307</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5984240</wp:posOffset>
            </wp:positionH>
            <wp:positionV relativeFrom="paragraph">
              <wp:posOffset>-2403475</wp:posOffset>
            </wp:positionV>
            <wp:extent cx="9398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-2403475</wp:posOffset>
            </wp:positionV>
            <wp:extent cx="9398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-1782445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-1294130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-1294130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-646430</wp:posOffset>
            </wp:positionV>
            <wp:extent cx="9398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-646430</wp:posOffset>
            </wp:positionV>
            <wp:extent cx="9398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p>
      <w:pPr>
        <w:sectPr>
          <w:pgSz w:w="11900" w:h="16838" w:orient="portrait"/>
          <w:cols w:equalWidth="0" w:num="1">
            <w:col w:w="11240"/>
          </w:cols>
          <w:pgMar w:left="320" w:top="984" w:right="339" w:bottom="1440" w:gutter="0" w:footer="0" w:header="0"/>
        </w:sectPr>
      </w:pP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Preferred stock, $1.00 par, 20,000,000 shares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634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ind w:left="140" w:right="2480"/>
        <w:spacing w:after="0" w:line="231" w:lineRule="auto"/>
        <w:rPr>
          <w:sz w:val="20"/>
          <w:szCs w:val="20"/>
          <w:color w:val="auto"/>
        </w:rPr>
      </w:pPr>
      <w:r>
        <w:rPr>
          <w:rFonts w:ascii="Times New Roman" w:cs="Times New Roman" w:eastAsia="Times New Roman" w:hAnsi="Times New Roman"/>
          <w:sz w:val="15"/>
          <w:szCs w:val="15"/>
          <w:color w:val="auto"/>
        </w:rPr>
        <w:t>Issued and outstanding: Liquidation preference of $1,000 per share: 350,000 shares at March 31, 2024 and December 31, 2023; Liquidation preference of $10,000 per share: 140,000 shares at March 31, 2024 and December 31, 2023; Liquidation preference of $25 per share: 10,000,000 shares at March 31, 2024 and December 31, 2023</w:t>
      </w:r>
    </w:p>
    <w:p>
      <w:pPr>
        <w:ind w:left="140" w:right="3000" w:hanging="114"/>
        <w:spacing w:after="0" w:line="244" w:lineRule="auto"/>
        <w:rPr>
          <w:sz w:val="20"/>
          <w:szCs w:val="20"/>
          <w:color w:val="auto"/>
        </w:rPr>
      </w:pPr>
      <w:r>
        <w:rPr>
          <w:rFonts w:ascii="Times New Roman" w:cs="Times New Roman" w:eastAsia="Times New Roman" w:hAnsi="Times New Roman"/>
          <w:sz w:val="15"/>
          <w:szCs w:val="15"/>
          <w:color w:val="auto"/>
        </w:rPr>
        <w:t>Common stock, $0.50 par, 250,000,000 shares authorized, 179,436,779 shares issued at March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ind w:left="20"/>
        <w:spacing w:after="0" w:line="235" w:lineRule="auto"/>
        <w:rPr>
          <w:sz w:val="20"/>
          <w:szCs w:val="20"/>
          <w:color w:val="auto"/>
        </w:rPr>
      </w:pPr>
      <w:r>
        <w:rPr>
          <w:rFonts w:ascii="Times New Roman" w:cs="Times New Roman" w:eastAsia="Times New Roman" w:hAnsi="Times New Roman"/>
          <w:sz w:val="15"/>
          <w:szCs w:val="15"/>
          <w:color w:val="auto"/>
        </w:rPr>
        <w:t>Common stock issuable, 11,458 shares at March 31, 2024;</w:t>
      </w:r>
    </w:p>
    <w:p>
      <w:pPr>
        <w:ind w:left="140"/>
        <w:spacing w:after="0"/>
        <w:rPr>
          <w:sz w:val="20"/>
          <w:szCs w:val="20"/>
          <w:color w:val="auto"/>
        </w:rPr>
      </w:pPr>
      <w:r>
        <w:rPr>
          <w:rFonts w:ascii="Times New Roman" w:cs="Times New Roman" w:eastAsia="Times New Roman" w:hAnsi="Times New Roman"/>
          <w:sz w:val="15"/>
          <w:szCs w:val="15"/>
          <w:color w:val="auto"/>
        </w:rPr>
        <w:t>12,217 shares at December 31, 2023</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5"/>
          <w:szCs w:val="15"/>
          <w:color w:val="auto"/>
        </w:rPr>
        <w:t>Retained earnings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Accumulated other comprehensive income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ind w:left="140" w:right="2700" w:hanging="114"/>
        <w:spacing w:after="0" w:line="247" w:lineRule="auto"/>
        <w:rPr>
          <w:sz w:val="20"/>
          <w:szCs w:val="20"/>
          <w:color w:val="auto"/>
        </w:rPr>
      </w:pPr>
      <w:r>
        <w:rPr>
          <w:rFonts w:ascii="Times New Roman" w:cs="Times New Roman" w:eastAsia="Times New Roman" w:hAnsi="Times New Roman"/>
          <w:sz w:val="15"/>
          <w:szCs w:val="15"/>
          <w:color w:val="auto"/>
        </w:rPr>
        <w:t>Treasury stock — common, at cost — 12,724,121 shares at March 31, 2024; 13,300,298 shares at December 31, 2023</w:t>
      </w:r>
    </w:p>
    <w:p>
      <w:pPr>
        <w:ind w:left="380"/>
        <w:spacing w:after="0"/>
        <w:rPr>
          <w:sz w:val="20"/>
          <w:szCs w:val="20"/>
          <w:color w:val="auto"/>
        </w:rPr>
      </w:pPr>
      <w:r>
        <w:rPr>
          <w:rFonts w:ascii="Times New Roman" w:cs="Times New Roman" w:eastAsia="Times New Roman" w:hAnsi="Times New Roman"/>
          <w:sz w:val="15"/>
          <w:szCs w:val="15"/>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Total liabilities and shareholders’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2,011</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2,011</w:t>
            </w:r>
          </w:p>
        </w:tc>
        <w:tc>
          <w:tcPr>
            <w:tcW w:w="60" w:type="dxa"/>
            <w:vAlign w:val="bottom"/>
          </w:tcPr>
          <w:p>
            <w:pPr>
              <w:spacing w:after="0"/>
              <w:rPr>
                <w:sz w:val="17"/>
                <w:szCs w:val="17"/>
                <w:color w:val="auto"/>
              </w:rPr>
            </w:pPr>
          </w:p>
        </w:tc>
      </w:tr>
      <w:tr>
        <w:trPr>
          <w:trHeight w:val="351"/>
        </w:trPr>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60" w:type="dxa"/>
            <w:vAlign w:val="bottom"/>
          </w:tcPr>
          <w:p>
            <w:pPr>
              <w:spacing w:after="0"/>
              <w:rPr>
                <w:sz w:val="24"/>
                <w:szCs w:val="24"/>
                <w:color w:val="auto"/>
              </w:rPr>
            </w:pPr>
          </w:p>
        </w:tc>
      </w:tr>
      <w:tr>
        <w:trPr>
          <w:trHeight w:val="342"/>
        </w:trPr>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24"/>
                <w:szCs w:val="24"/>
                <w:color w:val="auto"/>
              </w:rPr>
            </w:pPr>
          </w:p>
        </w:tc>
      </w:tr>
      <w:tr>
        <w:trPr>
          <w:trHeight w:val="189"/>
        </w:trPr>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9,976</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10,020</w:t>
            </w:r>
          </w:p>
        </w:tc>
        <w:tc>
          <w:tcPr>
            <w:tcW w:w="60" w:type="dxa"/>
            <w:vAlign w:val="bottom"/>
          </w:tcPr>
          <w:p>
            <w:pPr>
              <w:spacing w:after="0"/>
              <w:rPr>
                <w:sz w:val="16"/>
                <w:szCs w:val="16"/>
                <w:color w:val="auto"/>
              </w:rPr>
            </w:pPr>
          </w:p>
        </w:tc>
      </w:tr>
      <w:tr>
        <w:trPr>
          <w:trHeight w:val="189"/>
        </w:trPr>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17,812</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17,524</w:t>
            </w:r>
          </w:p>
        </w:tc>
        <w:tc>
          <w:tcPr>
            <w:tcW w:w="60" w:type="dxa"/>
            <w:vAlign w:val="bottom"/>
          </w:tcPr>
          <w:p>
            <w:pPr>
              <w:spacing w:after="0"/>
              <w:rPr>
                <w:sz w:val="16"/>
                <w:szCs w:val="16"/>
                <w:color w:val="auto"/>
              </w:rPr>
            </w:pPr>
          </w:p>
        </w:tc>
      </w:tr>
      <w:tr>
        <w:trPr>
          <w:trHeight w:val="198"/>
        </w:trPr>
        <w:tc>
          <w:tcPr>
            <w:tcW w:w="46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(589 )</w:t>
            </w:r>
          </w:p>
        </w:tc>
        <w:tc>
          <w:tcPr>
            <w:tcW w:w="4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(459 )</w:t>
            </w:r>
          </w:p>
        </w:tc>
      </w:tr>
      <w:tr>
        <w:trPr>
          <w:trHeight w:val="332"/>
        </w:trPr>
        <w:tc>
          <w:tcPr>
            <w:tcW w:w="46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(2,132 )</w:t>
            </w:r>
          </w:p>
        </w:tc>
        <w:tc>
          <w:tcPr>
            <w:tcW w:w="4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(2,230 )</w:t>
            </w:r>
          </w:p>
        </w:tc>
      </w:tr>
      <w:tr>
        <w:trPr>
          <w:trHeight w:val="183"/>
        </w:trPr>
        <w:tc>
          <w:tcPr>
            <w:tcW w:w="4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27,169</w:t>
            </w:r>
          </w:p>
        </w:tc>
        <w:tc>
          <w:tcPr>
            <w:tcW w:w="36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26,957</w:t>
            </w:r>
          </w:p>
        </w:tc>
        <w:tc>
          <w:tcPr>
            <w:tcW w:w="60" w:type="dxa"/>
            <w:vAlign w:val="bottom"/>
          </w:tcPr>
          <w:p>
            <w:pPr>
              <w:spacing w:after="0"/>
              <w:rPr>
                <w:sz w:val="15"/>
                <w:szCs w:val="15"/>
                <w:color w:val="auto"/>
              </w:rPr>
            </w:pPr>
          </w:p>
        </w:tc>
      </w:tr>
      <w:tr>
        <w:trPr>
          <w:trHeight w:val="183"/>
        </w:trPr>
        <w:tc>
          <w:tcPr>
            <w:tcW w:w="4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215,137</w:t>
            </w:r>
          </w:p>
        </w:tc>
        <w:tc>
          <w:tcPr>
            <w:tcW w:w="360" w:type="dxa"/>
            <w:vAlign w:val="bottom"/>
          </w:tcPr>
          <w:p>
            <w:pPr>
              <w:spacing w:after="0"/>
              <w:rPr>
                <w:sz w:val="15"/>
                <w:szCs w:val="15"/>
                <w:color w:val="auto"/>
              </w:rPr>
            </w:pPr>
          </w:p>
        </w:tc>
        <w:tc>
          <w:tcPr>
            <w:tcW w:w="4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208,264</w:t>
            </w:r>
          </w:p>
        </w:tc>
        <w:tc>
          <w:tcPr>
            <w:tcW w:w="60" w:type="dxa"/>
            <w:vAlign w:val="bottom"/>
          </w:tcPr>
          <w:p>
            <w:pPr>
              <w:spacing w:after="0"/>
              <w:rPr>
                <w:sz w:val="15"/>
                <w:szCs w:val="15"/>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7" w:lineRule="exact"/>
        <w:rPr>
          <w:sz w:val="20"/>
          <w:szCs w:val="20"/>
          <w:color w:val="auto"/>
        </w:rPr>
      </w:pPr>
    </w:p>
    <w:p>
      <w:pPr>
        <w:sectPr>
          <w:pgSz w:w="11900" w:h="16838" w:orient="portrait"/>
          <w:cols w:equalWidth="0" w:num="2">
            <w:col w:w="7400" w:space="720"/>
            <w:col w:w="3120"/>
          </w:cols>
          <w:pgMar w:left="320" w:top="984"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accompanying notes to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INCOME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shares in thousands)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r>
      <w:tr>
        <w:trPr>
          <w:trHeight w:val="217"/>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income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Loans and leases, including fees</w:t>
            </w: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2,097</w:t>
            </w: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100" w:type="dxa"/>
            <w:vAlign w:val="bottom"/>
            <w:shd w:val="clear" w:color="auto" w:fill="CFF0FC"/>
          </w:tcPr>
          <w:p>
            <w:pPr>
              <w:spacing w:after="0"/>
              <w:rPr>
                <w:sz w:val="20"/>
                <w:szCs w:val="20"/>
                <w:color w:val="auto"/>
              </w:rPr>
            </w:pPr>
          </w:p>
        </w:tc>
      </w:tr>
      <w:tr>
        <w:trPr>
          <w:trHeight w:val="226"/>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securities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Fully taxable</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shd w:val="clear" w:color="auto" w:fill="CFF0FC"/>
          </w:tcPr>
          <w:p>
            <w:pPr>
              <w:spacing w:after="0"/>
              <w:rPr>
                <w:sz w:val="20"/>
                <w:szCs w:val="20"/>
                <w:color w:val="auto"/>
              </w:rPr>
            </w:pPr>
          </w:p>
        </w:tc>
      </w:tr>
      <w:tr>
        <w:trPr>
          <w:trHeight w:val="226"/>
        </w:trPr>
        <w:tc>
          <w:tcPr>
            <w:tcW w:w="8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Exempt from federal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r>
      <w:tr>
        <w:trPr>
          <w:trHeight w:val="23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Deposits at banks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shd w:val="clear" w:color="auto" w:fill="CFF0FC"/>
          </w:tcPr>
          <w:p>
            <w:pPr>
              <w:spacing w:after="0"/>
              <w:rPr>
                <w:sz w:val="20"/>
                <w:szCs w:val="20"/>
                <w:color w:val="auto"/>
              </w:rPr>
            </w:pPr>
          </w:p>
        </w:tc>
      </w:tr>
      <w:tr>
        <w:trPr>
          <w:trHeight w:val="228"/>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r>
      <w:tr>
        <w:trPr>
          <w:trHeight w:val="223"/>
        </w:trPr>
        <w:tc>
          <w:tcPr>
            <w:tcW w:w="81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interest income</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2,745</w:t>
            </w:r>
          </w:p>
        </w:tc>
        <w:tc>
          <w:tcPr>
            <w:tcW w:w="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2,327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Savings and interest-checking deposits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shd w:val="clear" w:color="auto" w:fill="CFF0FC"/>
          </w:tcPr>
          <w:p>
            <w:pPr>
              <w:spacing w:after="0"/>
              <w:rPr>
                <w:sz w:val="20"/>
                <w:szCs w:val="20"/>
                <w:color w:val="auto"/>
              </w:rPr>
            </w:pPr>
          </w:p>
        </w:tc>
      </w:tr>
      <w:tr>
        <w:trPr>
          <w:trHeight w:val="226"/>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 deposits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r>
      <w:tr>
        <w:trPr>
          <w:trHeight w:val="23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Short-term borrowings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FF0FC"/>
          </w:tcPr>
          <w:p>
            <w:pPr>
              <w:spacing w:after="0"/>
              <w:rPr>
                <w:sz w:val="20"/>
                <w:szCs w:val="20"/>
                <w:color w:val="auto"/>
              </w:rPr>
            </w:pPr>
          </w:p>
        </w:tc>
      </w:tr>
      <w:tr>
        <w:trPr>
          <w:trHeight w:val="228"/>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borrowings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9"/>
                <w:szCs w:val="19"/>
                <w:color w:val="auto"/>
              </w:rPr>
            </w:pPr>
          </w:p>
        </w:tc>
      </w:tr>
      <w:tr>
        <w:trPr>
          <w:trHeight w:val="223"/>
        </w:trPr>
        <w:tc>
          <w:tcPr>
            <w:tcW w:w="81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interest expense</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1,065</w:t>
            </w:r>
          </w:p>
        </w:tc>
        <w:tc>
          <w:tcPr>
            <w:tcW w:w="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interest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1,818</w:t>
            </w:r>
          </w:p>
        </w:tc>
        <w:tc>
          <w:tcPr>
            <w:tcW w:w="100" w:type="dxa"/>
            <w:vAlign w:val="bottom"/>
          </w:tcPr>
          <w:p>
            <w:pPr>
              <w:spacing w:after="0"/>
              <w:rPr>
                <w:sz w:val="19"/>
                <w:szCs w:val="19"/>
                <w:color w:val="auto"/>
              </w:rPr>
            </w:pPr>
          </w:p>
        </w:tc>
      </w:tr>
      <w:tr>
        <w:trPr>
          <w:trHeight w:val="232"/>
        </w:trPr>
        <w:tc>
          <w:tcPr>
            <w:tcW w:w="8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3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1,698</w:t>
            </w:r>
          </w:p>
        </w:tc>
        <w:tc>
          <w:tcPr>
            <w:tcW w:w="100" w:type="dxa"/>
            <w:vAlign w:val="bottom"/>
          </w:tcPr>
          <w:p>
            <w:pPr>
              <w:spacing w:after="0"/>
              <w:rPr>
                <w:sz w:val="19"/>
                <w:szCs w:val="19"/>
                <w:color w:val="auto"/>
              </w:rPr>
            </w:pPr>
          </w:p>
        </w:tc>
      </w:tr>
      <w:tr>
        <w:trPr>
          <w:trHeight w:val="224"/>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banking revenues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9"/>
                <w:szCs w:val="19"/>
                <w:color w:val="auto"/>
              </w:rPr>
            </w:pPr>
          </w:p>
        </w:tc>
      </w:tr>
      <w:tr>
        <w:trPr>
          <w:trHeight w:val="23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FF0FC"/>
          </w:tcPr>
          <w:p>
            <w:pPr>
              <w:spacing w:after="0"/>
              <w:rPr>
                <w:sz w:val="20"/>
                <w:szCs w:val="20"/>
                <w:color w:val="auto"/>
              </w:rPr>
            </w:pPr>
          </w:p>
        </w:tc>
      </w:tr>
      <w:tr>
        <w:trPr>
          <w:trHeight w:val="226"/>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Trust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Pr>
          <w:p>
            <w:pPr>
              <w:spacing w:after="0"/>
              <w:rPr>
                <w:sz w:val="19"/>
                <w:szCs w:val="19"/>
                <w:color w:val="auto"/>
              </w:rPr>
            </w:pPr>
          </w:p>
        </w:tc>
      </w:tr>
      <w:tr>
        <w:trPr>
          <w:trHeight w:val="23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Brokerage services income</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FF0FC"/>
          </w:tcPr>
          <w:p>
            <w:pPr>
              <w:spacing w:after="0"/>
              <w:rPr>
                <w:sz w:val="20"/>
                <w:szCs w:val="20"/>
                <w:color w:val="auto"/>
              </w:rPr>
            </w:pPr>
          </w:p>
        </w:tc>
      </w:tr>
      <w:tr>
        <w:trPr>
          <w:trHeight w:val="226"/>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Trading account and other non-hedging derivative gains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r>
      <w:tr>
        <w:trPr>
          <w:trHeight w:val="23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Gain (loss) on bank investment securities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revenues from operations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Pr>
          <w:p>
            <w:pPr>
              <w:spacing w:after="0"/>
              <w:rPr>
                <w:sz w:val="19"/>
                <w:szCs w:val="19"/>
                <w:color w:val="auto"/>
              </w:rPr>
            </w:pPr>
          </w:p>
        </w:tc>
      </w:tr>
      <w:tr>
        <w:trPr>
          <w:trHeight w:val="223"/>
        </w:trPr>
        <w:tc>
          <w:tcPr>
            <w:tcW w:w="81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other income</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expense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Salaries and employee benefits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100" w:type="dxa"/>
            <w:vAlign w:val="bottom"/>
            <w:shd w:val="clear" w:color="auto" w:fill="CFF0FC"/>
          </w:tcPr>
          <w:p>
            <w:pPr>
              <w:spacing w:after="0"/>
              <w:rPr>
                <w:sz w:val="20"/>
                <w:szCs w:val="20"/>
                <w:color w:val="auto"/>
              </w:rPr>
            </w:pPr>
          </w:p>
        </w:tc>
      </w:tr>
      <w:tr>
        <w:trPr>
          <w:trHeight w:val="226"/>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Equipment and net occupancy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Pr>
          <w:p>
            <w:pPr>
              <w:spacing w:after="0"/>
              <w:rPr>
                <w:sz w:val="19"/>
                <w:szCs w:val="19"/>
                <w:color w:val="auto"/>
              </w:rPr>
            </w:pPr>
          </w:p>
        </w:tc>
      </w:tr>
      <w:tr>
        <w:trPr>
          <w:trHeight w:val="23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Outside data processing and software</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FF0FC"/>
          </w:tcPr>
          <w:p>
            <w:pPr>
              <w:spacing w:after="0"/>
              <w:rPr>
                <w:sz w:val="20"/>
                <w:szCs w:val="20"/>
                <w:color w:val="auto"/>
              </w:rPr>
            </w:pPr>
          </w:p>
        </w:tc>
      </w:tr>
      <w:tr>
        <w:trPr>
          <w:trHeight w:val="226"/>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Professional and other services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19"/>
                <w:szCs w:val="19"/>
                <w:color w:val="auto"/>
              </w:rPr>
            </w:pPr>
          </w:p>
        </w:tc>
      </w:tr>
      <w:tr>
        <w:trPr>
          <w:trHeight w:val="23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FDIC assessments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FF0FC"/>
          </w:tcPr>
          <w:p>
            <w:pPr>
              <w:spacing w:after="0"/>
              <w:rPr>
                <w:sz w:val="20"/>
                <w:szCs w:val="20"/>
                <w:color w:val="auto"/>
              </w:rPr>
            </w:pPr>
          </w:p>
        </w:tc>
      </w:tr>
      <w:tr>
        <w:trPr>
          <w:trHeight w:val="226"/>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Advertising and marketing</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r>
      <w:tr>
        <w:trPr>
          <w:trHeight w:val="23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Amortization of core deposit and other intangible assets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FF0FC"/>
          </w:tcPr>
          <w:p>
            <w:pPr>
              <w:spacing w:after="0"/>
              <w:rPr>
                <w:sz w:val="20"/>
                <w:szCs w:val="20"/>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costs of operations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9"/>
                <w:szCs w:val="19"/>
                <w:color w:val="auto"/>
              </w:rPr>
            </w:pPr>
          </w:p>
        </w:tc>
      </w:tr>
      <w:tr>
        <w:trPr>
          <w:trHeight w:val="223"/>
        </w:trPr>
        <w:tc>
          <w:tcPr>
            <w:tcW w:w="81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other expense</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1,396</w:t>
            </w:r>
          </w:p>
        </w:tc>
        <w:tc>
          <w:tcPr>
            <w:tcW w:w="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100" w:type="dxa"/>
            <w:vAlign w:val="bottom"/>
          </w:tcPr>
          <w:p>
            <w:pPr>
              <w:spacing w:after="0"/>
              <w:rPr>
                <w:sz w:val="19"/>
                <w:szCs w:val="19"/>
                <w:color w:val="auto"/>
              </w:rPr>
            </w:pPr>
          </w:p>
        </w:tc>
      </w:tr>
      <w:tr>
        <w:trPr>
          <w:trHeight w:val="232"/>
        </w:trPr>
        <w:tc>
          <w:tcPr>
            <w:tcW w:w="8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3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4"/>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available to common shareholders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81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tcPr>
          <w:p>
            <w:pPr>
              <w:spacing w:after="0"/>
              <w:rPr>
                <w:sz w:val="19"/>
                <w:szCs w:val="19"/>
                <w:color w:val="auto"/>
              </w:rPr>
            </w:pPr>
          </w:p>
        </w:tc>
      </w:tr>
      <w:tr>
        <w:trPr>
          <w:trHeight w:val="233"/>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shd w:val="clear" w:color="auto" w:fill="CFF0FC"/>
          </w:tcPr>
          <w:p>
            <w:pPr>
              <w:spacing w:after="0"/>
              <w:rPr>
                <w:sz w:val="20"/>
                <w:szCs w:val="20"/>
                <w:color w:val="auto"/>
              </w:rPr>
            </w:pPr>
          </w:p>
        </w:tc>
      </w:tr>
      <w:tr>
        <w:trPr>
          <w:trHeight w:val="228"/>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per common share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shd w:val="clear" w:color="auto" w:fill="CFF0FC"/>
          </w:tcPr>
          <w:p>
            <w:pPr>
              <w:spacing w:after="0"/>
              <w:rPr>
                <w:sz w:val="20"/>
                <w:szCs w:val="20"/>
                <w:color w:val="auto"/>
              </w:rPr>
            </w:pPr>
          </w:p>
        </w:tc>
      </w:tr>
      <w:tr>
        <w:trPr>
          <w:trHeight w:val="226"/>
        </w:trPr>
        <w:tc>
          <w:tcPr>
            <w:tcW w:w="81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tcPr>
          <w:p>
            <w:pPr>
              <w:spacing w:after="0"/>
              <w:rPr>
                <w:sz w:val="19"/>
                <w:szCs w:val="19"/>
                <w:color w:val="auto"/>
              </w:rPr>
            </w:pPr>
          </w:p>
        </w:tc>
      </w:tr>
      <w:tr>
        <w:trPr>
          <w:trHeight w:val="23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Average common shares outstanding</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81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166,460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167,732</w:t>
            </w:r>
          </w:p>
        </w:tc>
        <w:tc>
          <w:tcPr>
            <w:tcW w:w="100" w:type="dxa"/>
            <w:vAlign w:val="bottom"/>
          </w:tcPr>
          <w:p>
            <w:pPr>
              <w:spacing w:after="0"/>
              <w:rPr>
                <w:sz w:val="19"/>
                <w:szCs w:val="19"/>
                <w:color w:val="auto"/>
              </w:rPr>
            </w:pPr>
          </w:p>
        </w:tc>
      </w:tr>
      <w:tr>
        <w:trPr>
          <w:trHeight w:val="233"/>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167,084</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168,410</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-5939790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-5939790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-5048250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-4748530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-4748530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-3265170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-3265170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-1790700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-1490980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COMPREHENSIVE INCOME (Unaudited)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7"/>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4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FF0FC"/>
          </w:tcPr>
          <w:p>
            <w:pPr>
              <w:spacing w:after="0"/>
              <w:rPr>
                <w:sz w:val="20"/>
                <w:szCs w:val="20"/>
                <w:color w:val="auto"/>
              </w:rPr>
            </w:pPr>
          </w:p>
        </w:tc>
      </w:tr>
      <w:tr>
        <w:trPr>
          <w:trHeight w:val="23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 and reclassification adjustments: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gains (losses) on investment securities</w:t>
            </w:r>
          </w:p>
        </w:tc>
        <w:tc>
          <w:tcPr>
            <w:tcW w:w="3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(10 )</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21"/>
                <w:szCs w:val="21"/>
                <w:color w:val="auto"/>
              </w:rPr>
            </w:pPr>
          </w:p>
        </w:tc>
      </w:tr>
      <w:tr>
        <w:trPr>
          <w:trHeight w:val="239"/>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flow hedges adjustments</w:t>
            </w:r>
          </w:p>
        </w:tc>
        <w:tc>
          <w:tcPr>
            <w:tcW w:w="3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(117 )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r>
      <w:tr>
        <w:trPr>
          <w:trHeight w:val="247"/>
        </w:trPr>
        <w:tc>
          <w:tcPr>
            <w:tcW w:w="8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Defined benefit plans liability adjustments</w:t>
            </w:r>
          </w:p>
        </w:tc>
        <w:tc>
          <w:tcPr>
            <w:tcW w:w="3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39"/>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0"/>
        </w:trPr>
        <w:tc>
          <w:tcPr>
            <w:tcW w:w="8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(130 )</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FF0FC"/>
          </w:tcPr>
          <w:p>
            <w:pPr>
              <w:spacing w:after="0"/>
              <w:rPr>
                <w:sz w:val="20"/>
                <w:szCs w:val="20"/>
                <w:color w:val="auto"/>
              </w:rPr>
            </w:pPr>
          </w:p>
        </w:tc>
      </w:tr>
      <w:tr>
        <w:trPr>
          <w:trHeight w:val="236"/>
        </w:trPr>
        <w:tc>
          <w:tcPr>
            <w:tcW w:w="81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40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Borders>
              <w:top w:val="single" w:sz="8" w:color="CFF0FC"/>
            </w:tcBorders>
          </w:tcPr>
          <w:p>
            <w:pPr>
              <w:spacing w:after="0"/>
              <w:rPr>
                <w:sz w:val="20"/>
                <w:szCs w:val="20"/>
                <w:color w:val="auto"/>
              </w:rPr>
            </w:pP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-187960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CASH FLOWS (Unaudited)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20" w:type="dxa"/>
            <w:vAlign w:val="bottom"/>
            <w:gridSpan w:val="5"/>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79"/>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r>
      <w:tr>
        <w:trPr>
          <w:trHeight w:val="169"/>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6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 of premises and equipment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5"/>
                <w:szCs w:val="15"/>
                <w:color w:val="auto"/>
              </w:rPr>
            </w:pPr>
          </w:p>
        </w:tc>
      </w:tr>
      <w:tr>
        <w:trPr>
          <w:trHeight w:val="17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Amortization of capitalized servicing rights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Amortization of core deposit and other intangible assets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5"/>
                <w:szCs w:val="15"/>
                <w:color w:val="auto"/>
              </w:rPr>
            </w:pPr>
          </w:p>
        </w:tc>
      </w:tr>
      <w:tr>
        <w:trPr>
          <w:trHeight w:val="17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Provision for deferred income taxes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Asset write-downs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r>
      <w:tr>
        <w:trPr>
          <w:trHeight w:val="17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Net gain on sales of assets</w:t>
            </w:r>
          </w:p>
        </w:tc>
        <w:tc>
          <w:tcPr>
            <w:tcW w:w="36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(1 )</w:t>
            </w:r>
          </w:p>
        </w:tc>
        <w:tc>
          <w:tcPr>
            <w:tcW w:w="3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(12 )</w:t>
            </w: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change in accrued interest receivable, payable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5"/>
                <w:szCs w:val="15"/>
                <w:color w:val="auto"/>
              </w:rPr>
            </w:pPr>
          </w:p>
        </w:tc>
      </w:tr>
      <w:tr>
        <w:trPr>
          <w:trHeight w:val="17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Net change in other accrued income and expense</w:t>
            </w:r>
          </w:p>
        </w:tc>
        <w:tc>
          <w:tcPr>
            <w:tcW w:w="36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(74 )</w:t>
            </w:r>
          </w:p>
        </w:tc>
        <w:tc>
          <w:tcPr>
            <w:tcW w:w="3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(43 )</w:t>
            </w: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change in loans originated for sale</w:t>
            </w:r>
          </w:p>
        </w:tc>
        <w:tc>
          <w:tcPr>
            <w:tcW w:w="36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(352 )</w:t>
            </w:r>
          </w:p>
        </w:tc>
        <w:tc>
          <w:tcPr>
            <w:tcW w:w="34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(274 )</w:t>
            </w:r>
          </w:p>
        </w:tc>
      </w:tr>
      <w:tr>
        <w:trPr>
          <w:trHeight w:val="17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Net change in trading account and other non-hedging derivative assets and liabilities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(245 )</w:t>
            </w:r>
          </w:p>
        </w:tc>
      </w:tr>
      <w:tr>
        <w:trPr>
          <w:trHeight w:val="169"/>
        </w:trPr>
        <w:tc>
          <w:tcPr>
            <w:tcW w:w="77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608</w:t>
            </w:r>
          </w:p>
        </w:tc>
        <w:tc>
          <w:tcPr>
            <w:tcW w:w="360" w:type="dxa"/>
            <w:vAlign w:val="bottom"/>
            <w:tcBorders>
              <w:top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Borders>
              <w:top w:val="single" w:sz="8" w:color="CFF0FC"/>
            </w:tcBorders>
          </w:tcPr>
          <w:p>
            <w:pPr>
              <w:spacing w:after="0"/>
              <w:rPr>
                <w:sz w:val="14"/>
                <w:szCs w:val="14"/>
                <w:color w:val="auto"/>
              </w:rPr>
            </w:pPr>
          </w:p>
        </w:tc>
      </w:tr>
      <w:tr>
        <w:trPr>
          <w:trHeight w:val="16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sales of investment securities: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Available for sale</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Equity and other securities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00" w:type="dxa"/>
            <w:vAlign w:val="bottom"/>
          </w:tcPr>
          <w:p>
            <w:pPr>
              <w:spacing w:after="0"/>
              <w:rPr>
                <w:sz w:val="15"/>
                <w:szCs w:val="15"/>
                <w:color w:val="auto"/>
              </w:rPr>
            </w:pPr>
          </w:p>
        </w:tc>
      </w:tr>
      <w:tr>
        <w:trPr>
          <w:trHeight w:val="17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maturities of investment securities: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Available for sale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1,989</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00" w:type="dxa"/>
            <w:vAlign w:val="bottom"/>
          </w:tcPr>
          <w:p>
            <w:pPr>
              <w:spacing w:after="0"/>
              <w:rPr>
                <w:sz w:val="15"/>
                <w:szCs w:val="15"/>
                <w:color w:val="auto"/>
              </w:rPr>
            </w:pPr>
          </w:p>
        </w:tc>
      </w:tr>
      <w:tr>
        <w:trPr>
          <w:trHeight w:val="17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Held to maturity</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investment securities: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Available for sale</w:t>
            </w:r>
          </w:p>
        </w:tc>
        <w:tc>
          <w:tcPr>
            <w:tcW w:w="36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(4,145 )</w:t>
            </w:r>
          </w:p>
        </w:tc>
        <w:tc>
          <w:tcPr>
            <w:tcW w:w="3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(337 )</w:t>
            </w: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Held to maturity</w:t>
            </w:r>
          </w:p>
        </w:tc>
        <w:tc>
          <w:tcPr>
            <w:tcW w:w="360" w:type="dxa"/>
            <w:vAlign w:val="bottom"/>
          </w:tcPr>
          <w:p>
            <w:pPr>
              <w:spacing w:after="0"/>
              <w:rPr>
                <w:sz w:val="15"/>
                <w:szCs w:val="15"/>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(2,948 )</w:t>
            </w:r>
          </w:p>
        </w:tc>
      </w:tr>
      <w:tr>
        <w:trPr>
          <w:trHeight w:val="17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Equity and other securities</w:t>
            </w:r>
          </w:p>
        </w:tc>
        <w:tc>
          <w:tcPr>
            <w:tcW w:w="36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(264 )</w:t>
            </w:r>
          </w:p>
        </w:tc>
        <w:tc>
          <w:tcPr>
            <w:tcW w:w="3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(792 )</w:t>
            </w: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in loans and leases</w:t>
            </w:r>
          </w:p>
        </w:tc>
        <w:tc>
          <w:tcPr>
            <w:tcW w:w="36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(724 )</w:t>
            </w:r>
          </w:p>
        </w:tc>
        <w:tc>
          <w:tcPr>
            <w:tcW w:w="34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(1,166 )</w:t>
            </w:r>
          </w:p>
        </w:tc>
      </w:tr>
      <w:tr>
        <w:trPr>
          <w:trHeight w:val="17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(increase) decrease in interest-bearing deposits at banks</w:t>
            </w:r>
          </w:p>
        </w:tc>
        <w:tc>
          <w:tcPr>
            <w:tcW w:w="36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(4,075 )</w:t>
            </w: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2,652</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expenditures, net</w:t>
            </w:r>
          </w:p>
        </w:tc>
        <w:tc>
          <w:tcPr>
            <w:tcW w:w="36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(35 )</w:t>
            </w:r>
          </w:p>
        </w:tc>
        <w:tc>
          <w:tcPr>
            <w:tcW w:w="34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(55 )</w:t>
            </w:r>
          </w:p>
        </w:tc>
      </w:tr>
      <w:tr>
        <w:trPr>
          <w:trHeight w:val="17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decrease in loan servicing advances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36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(280 )</w:t>
            </w:r>
          </w:p>
        </w:tc>
        <w:tc>
          <w:tcPr>
            <w:tcW w:w="34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(251 )</w:t>
            </w:r>
          </w:p>
        </w:tc>
      </w:tr>
      <w:tr>
        <w:trPr>
          <w:trHeight w:val="20"/>
        </w:trPr>
        <w:tc>
          <w:tcPr>
            <w:tcW w:w="7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Net cash used by investing activities</w:t>
            </w:r>
          </w:p>
        </w:tc>
        <w:tc>
          <w:tcPr>
            <w:tcW w:w="36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(7,082 )</w:t>
            </w:r>
          </w:p>
        </w:tc>
        <w:tc>
          <w:tcPr>
            <w:tcW w:w="3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(1,747 )</w:t>
            </w:r>
          </w:p>
        </w:tc>
      </w:tr>
      <w:tr>
        <w:trPr>
          <w:trHeight w:val="169"/>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6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5"/>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increase (decrease) in deposits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3,921</w:t>
            </w: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(4,441 )</w:t>
            </w: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(decrease) in short-term borrowings</w:t>
            </w:r>
          </w:p>
        </w:tc>
        <w:tc>
          <w:tcPr>
            <w:tcW w:w="36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(521 )</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3,440</w:t>
            </w:r>
          </w:p>
        </w:tc>
        <w:tc>
          <w:tcPr>
            <w:tcW w:w="100" w:type="dxa"/>
            <w:vAlign w:val="bottom"/>
          </w:tcPr>
          <w:p>
            <w:pPr>
              <w:spacing w:after="0"/>
              <w:rPr>
                <w:sz w:val="15"/>
                <w:szCs w:val="15"/>
                <w:color w:val="auto"/>
              </w:rPr>
            </w:pPr>
          </w:p>
        </w:tc>
      </w:tr>
      <w:tr>
        <w:trPr>
          <w:trHeight w:val="17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long-term borrowings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3,357</w:t>
            </w: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3,486</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Payments on long-term borrowings</w:t>
            </w:r>
          </w:p>
        </w:tc>
        <w:tc>
          <w:tcPr>
            <w:tcW w:w="36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(49 )</w:t>
            </w:r>
          </w:p>
        </w:tc>
        <w:tc>
          <w:tcPr>
            <w:tcW w:w="34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36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(594 )</w:t>
            </w: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paid — common</w:t>
            </w:r>
          </w:p>
        </w:tc>
        <w:tc>
          <w:tcPr>
            <w:tcW w:w="36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(221 )</w:t>
            </w:r>
          </w:p>
        </w:tc>
        <w:tc>
          <w:tcPr>
            <w:tcW w:w="34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(221 )</w:t>
            </w:r>
          </w:p>
        </w:tc>
      </w:tr>
      <w:tr>
        <w:trPr>
          <w:trHeight w:val="17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paid — preferred</w:t>
            </w:r>
          </w:p>
        </w:tc>
        <w:tc>
          <w:tcPr>
            <w:tcW w:w="36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(34 )</w:t>
            </w:r>
          </w:p>
        </w:tc>
        <w:tc>
          <w:tcPr>
            <w:tcW w:w="3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(34 )</w:t>
            </w: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36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(15 )</w:t>
            </w:r>
          </w:p>
        </w:tc>
        <w:tc>
          <w:tcPr>
            <w:tcW w:w="34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(19 )</w:t>
            </w:r>
          </w:p>
        </w:tc>
      </w:tr>
      <w:tr>
        <w:trPr>
          <w:trHeight w:val="169"/>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6,438</w:t>
            </w:r>
          </w:p>
        </w:tc>
        <w:tc>
          <w:tcPr>
            <w:tcW w:w="3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36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(36 )</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tcPr>
          <w:p>
            <w:pPr>
              <w:spacing w:after="0"/>
              <w:rPr>
                <w:sz w:val="14"/>
                <w:szCs w:val="14"/>
                <w:color w:val="auto"/>
              </w:rPr>
            </w:pPr>
          </w:p>
        </w:tc>
      </w:tr>
      <w:tr>
        <w:trPr>
          <w:trHeight w:val="17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36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1,731</w:t>
            </w:r>
          </w:p>
        </w:tc>
        <w:tc>
          <w:tcPr>
            <w:tcW w:w="3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3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1,695</w:t>
            </w:r>
          </w:p>
        </w:tc>
        <w:tc>
          <w:tcPr>
            <w:tcW w:w="360" w:type="dxa"/>
            <w:vAlign w:val="bottom"/>
          </w:tcPr>
          <w:p>
            <w:pPr>
              <w:spacing w:after="0"/>
              <w:rPr>
                <w:sz w:val="14"/>
                <w:szCs w:val="14"/>
                <w:color w:val="auto"/>
              </w:rPr>
            </w:pPr>
          </w:p>
        </w:tc>
        <w:tc>
          <w:tcPr>
            <w:tcW w:w="3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1,818</w:t>
            </w:r>
          </w:p>
        </w:tc>
        <w:tc>
          <w:tcPr>
            <w:tcW w:w="100" w:type="dxa"/>
            <w:vAlign w:val="bottom"/>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3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received during the period</w:t>
            </w:r>
          </w:p>
        </w:tc>
        <w:tc>
          <w:tcPr>
            <w:tcW w:w="36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2,716</w:t>
            </w:r>
          </w:p>
        </w:tc>
        <w:tc>
          <w:tcPr>
            <w:tcW w:w="360" w:type="dxa"/>
            <w:vAlign w:val="bottom"/>
          </w:tcPr>
          <w:p>
            <w:pPr>
              <w:spacing w:after="0"/>
              <w:rPr>
                <w:sz w:val="15"/>
                <w:szCs w:val="15"/>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2,289</w:t>
            </w:r>
          </w:p>
        </w:tc>
        <w:tc>
          <w:tcPr>
            <w:tcW w:w="100" w:type="dxa"/>
            <w:vAlign w:val="bottom"/>
          </w:tcPr>
          <w:p>
            <w:pPr>
              <w:spacing w:after="0"/>
              <w:rPr>
                <w:sz w:val="15"/>
                <w:szCs w:val="15"/>
                <w:color w:val="auto"/>
              </w:rPr>
            </w:pPr>
          </w:p>
        </w:tc>
      </w:tr>
      <w:tr>
        <w:trPr>
          <w:trHeight w:val="17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 paid during the period</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taxes paid during the period</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5"/>
                <w:szCs w:val="15"/>
                <w:color w:val="auto"/>
              </w:rPr>
            </w:pPr>
          </w:p>
        </w:tc>
      </w:tr>
      <w:tr>
        <w:trPr>
          <w:trHeight w:val="17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schedule of noncash investing and financing activities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 estate acquired in settlement of loans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5"/>
                <w:szCs w:val="15"/>
                <w:color w:val="auto"/>
              </w:rPr>
            </w:pPr>
          </w:p>
        </w:tc>
      </w:tr>
      <w:tr>
        <w:trPr>
          <w:trHeight w:val="17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Additions to right-of-use assets under operating leases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-4319905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-4319905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-2287905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-1156335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-925195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CHANGES IN SHAREHOLDERS’ EQUITY (Unaudited)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e</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Preferred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40" w:type="dxa"/>
            <w:vAlign w:val="bottom"/>
          </w:tcPr>
          <w:p>
            <w:pPr>
              <w:spacing w:after="0"/>
              <w:rPr>
                <w:sz w:val="14"/>
                <w:szCs w:val="14"/>
                <w:color w:val="auto"/>
              </w:rPr>
            </w:pPr>
          </w:p>
        </w:tc>
        <w:tc>
          <w:tcPr>
            <w:tcW w:w="68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 except per share)</w:t>
            </w:r>
          </w:p>
        </w:tc>
        <w:tc>
          <w:tcPr>
            <w:tcW w:w="120" w:type="dxa"/>
            <w:vAlign w:val="bottom"/>
          </w:tcPr>
          <w:p>
            <w:pPr>
              <w:spacing w:after="0"/>
              <w:rPr>
                <w:sz w:val="14"/>
                <w:szCs w:val="14"/>
                <w:color w:val="auto"/>
              </w:rPr>
            </w:pP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40" w:type="dxa"/>
            <w:vAlign w:val="bottom"/>
          </w:tcPr>
          <w:p>
            <w:pPr>
              <w:spacing w:after="0"/>
              <w:rPr>
                <w:sz w:val="14"/>
                <w:szCs w:val="14"/>
                <w:color w:val="auto"/>
              </w:rPr>
            </w:pPr>
          </w:p>
        </w:tc>
        <w:tc>
          <w:tcPr>
            <w:tcW w:w="68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6"/>
              </w:rPr>
              <w:t>Issuable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(Loss), Net</w:t>
            </w:r>
          </w:p>
        </w:tc>
        <w:tc>
          <w:tcPr>
            <w:tcW w:w="1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6"/>
              </w:rPr>
              <w:t>Three Months Ended March 31, 2024</w:t>
            </w:r>
          </w:p>
        </w:tc>
        <w:tc>
          <w:tcPr>
            <w:tcW w:w="9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9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 January 1,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920" w:type="dxa"/>
            <w:vAlign w:val="bottom"/>
            <w:gridSpan w:val="2"/>
            <w:shd w:val="clear" w:color="auto" w:fill="CFF0FC"/>
          </w:tcPr>
          <w:p>
            <w:pPr>
              <w:jc w:val="right"/>
              <w:ind w:right="5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10,020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17,524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(459 )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(2,230 )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(130 )</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Preferred stock cash dividends (a)</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(25 )</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(25 )</w:t>
            </w:r>
          </w:p>
        </w:tc>
        <w:tc>
          <w:tcPr>
            <w:tcW w:w="0" w:type="dxa"/>
            <w:vAlign w:val="bottom"/>
          </w:tcPr>
          <w:p>
            <w:pPr>
              <w:spacing w:after="0"/>
              <w:rPr>
                <w:sz w:val="1"/>
                <w:szCs w:val="1"/>
                <w:color w:val="auto"/>
              </w:rPr>
            </w:pPr>
          </w:p>
        </w:tc>
      </w:tr>
      <w:tr>
        <w:trPr>
          <w:trHeight w:val="130"/>
        </w:trPr>
        <w:tc>
          <w:tcPr>
            <w:tcW w:w="296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3"/>
                <w:szCs w:val="13"/>
                <w:color w:val="auto"/>
              </w:rPr>
              <w:t>Stock-based compensation</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transactions, net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(44 )</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960" w:type="dxa"/>
            <w:vAlign w:val="bottom"/>
            <w:gridSpan w:val="3"/>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Common stock cash dividends —</w:t>
            </w:r>
          </w:p>
        </w:tc>
        <w:tc>
          <w:tcPr>
            <w:tcW w:w="12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(218 )</w:t>
            </w:r>
          </w:p>
        </w:tc>
        <w:tc>
          <w:tcPr>
            <w:tcW w:w="100" w:type="dxa"/>
            <w:vAlign w:val="bottom"/>
            <w:shd w:val="clear" w:color="auto" w:fill="CFF0FC"/>
          </w:tcPr>
          <w:p>
            <w:pPr>
              <w:spacing w:after="0"/>
              <w:rPr>
                <w:sz w:val="11"/>
                <w:szCs w:val="11"/>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(218 )</w:t>
            </w:r>
          </w:p>
        </w:tc>
        <w:tc>
          <w:tcPr>
            <w:tcW w:w="0" w:type="dxa"/>
            <w:vAlign w:val="bottom"/>
          </w:tcPr>
          <w:p>
            <w:pPr>
              <w:spacing w:after="0"/>
              <w:rPr>
                <w:sz w:val="1"/>
                <w:szCs w:val="1"/>
                <w:color w:val="auto"/>
              </w:rPr>
            </w:pPr>
          </w:p>
        </w:tc>
      </w:tr>
      <w:tr>
        <w:trPr>
          <w:trHeight w:val="153"/>
        </w:trPr>
        <w:tc>
          <w:tcPr>
            <w:tcW w:w="20" w:type="dxa"/>
            <w:vAlign w:val="bottom"/>
            <w:shd w:val="clear" w:color="auto" w:fill="CFF0FC"/>
          </w:tcPr>
          <w:p>
            <w:pPr>
              <w:spacing w:after="0"/>
              <w:rPr>
                <w:sz w:val="13"/>
                <w:szCs w:val="13"/>
                <w:color w:val="auto"/>
              </w:rPr>
            </w:pPr>
          </w:p>
        </w:tc>
        <w:tc>
          <w:tcPr>
            <w:tcW w:w="29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$1.30 per share</w:t>
            </w:r>
          </w:p>
        </w:tc>
        <w:tc>
          <w:tcPr>
            <w:tcW w:w="120" w:type="dxa"/>
            <w:vAlign w:val="bottom"/>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22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202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Balance — March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40" w:type="dxa"/>
            <w:vAlign w:val="bottom"/>
          </w:tcPr>
          <w:p>
            <w:pPr>
              <w:spacing w:after="0"/>
              <w:rPr>
                <w:sz w:val="13"/>
                <w:szCs w:val="13"/>
                <w:color w:val="auto"/>
              </w:rPr>
            </w:pPr>
          </w:p>
        </w:tc>
        <w:tc>
          <w:tcPr>
            <w:tcW w:w="680" w:type="dxa"/>
            <w:vAlign w:val="bottom"/>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9,976</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17,812</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(589 )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(2,132 )</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FF0FC"/>
          </w:tcPr>
          <w:p>
            <w:pPr>
              <w:spacing w:after="0"/>
              <w:rPr>
                <w:sz w:val="12"/>
                <w:szCs w:val="12"/>
                <w:color w:val="auto"/>
              </w:rPr>
            </w:pPr>
          </w:p>
        </w:tc>
        <w:tc>
          <w:tcPr>
            <w:tcW w:w="20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Three Months Ended March 31, 2023</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 January 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920" w:type="dxa"/>
            <w:vAlign w:val="bottom"/>
            <w:gridSpan w:val="2"/>
            <w:shd w:val="clear" w:color="auto" w:fill="CFF0FC"/>
          </w:tcPr>
          <w:p>
            <w:pPr>
              <w:jc w:val="right"/>
              <w:ind w:right="5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15,754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(790 )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(1,750 )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25,318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Preferred stock cash dividends (a)</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(25 )</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(25 )</w:t>
            </w:r>
          </w:p>
        </w:tc>
        <w:tc>
          <w:tcPr>
            <w:tcW w:w="0" w:type="dxa"/>
            <w:vAlign w:val="bottom"/>
          </w:tcPr>
          <w:p>
            <w:pPr>
              <w:spacing w:after="0"/>
              <w:rPr>
                <w:sz w:val="1"/>
                <w:szCs w:val="1"/>
                <w:color w:val="auto"/>
              </w:rPr>
            </w:pPr>
          </w:p>
        </w:tc>
      </w:tr>
      <w:tr>
        <w:trPr>
          <w:trHeight w:val="162"/>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(600 )</w:t>
            </w:r>
          </w:p>
        </w:tc>
        <w:tc>
          <w:tcPr>
            <w:tcW w:w="1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(600 )</w:t>
            </w:r>
          </w:p>
        </w:tc>
        <w:tc>
          <w:tcPr>
            <w:tcW w:w="0" w:type="dxa"/>
            <w:vAlign w:val="bottom"/>
          </w:tcPr>
          <w:p>
            <w:pPr>
              <w:spacing w:after="0"/>
              <w:rPr>
                <w:sz w:val="1"/>
                <w:szCs w:val="1"/>
                <w:color w:val="auto"/>
              </w:rPr>
            </w:pPr>
          </w:p>
        </w:tc>
      </w:tr>
      <w:tr>
        <w:trPr>
          <w:trHeight w:val="130"/>
        </w:trPr>
        <w:tc>
          <w:tcPr>
            <w:tcW w:w="2960" w:type="dxa"/>
            <w:vAlign w:val="bottom"/>
            <w:gridSpan w:val="3"/>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Stock-based compensation</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FF0FC"/>
          </w:tcPr>
          <w:p>
            <w:pPr>
              <w:spacing w:after="0"/>
              <w:rPr>
                <w:sz w:val="14"/>
                <w:szCs w:val="14"/>
                <w:color w:val="auto"/>
              </w:rPr>
            </w:pPr>
          </w:p>
        </w:tc>
        <w:tc>
          <w:tcPr>
            <w:tcW w:w="29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transactions, net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(16 )</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6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3"/>
                <w:szCs w:val="13"/>
                <w:color w:val="auto"/>
              </w:rPr>
              <w:t>Common stock cash dividends —</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(218 )</w:t>
            </w:r>
          </w:p>
        </w:tc>
        <w:tc>
          <w:tcPr>
            <w:tcW w:w="100" w:type="dxa"/>
            <w:vAlign w:val="bottom"/>
          </w:tcPr>
          <w:p>
            <w:pPr>
              <w:spacing w:after="0"/>
              <w:rPr>
                <w:sz w:val="11"/>
                <w:szCs w:val="11"/>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(218 )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$1.30 per share</w:t>
            </w: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960" w:type="dxa"/>
            <w:vAlign w:val="bottom"/>
            <w:gridSpan w:val="3"/>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 March 31, 2023</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2,011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90</w:t>
            </w: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9,986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16,212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(645 )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(2,278 )</w:t>
            </w:r>
          </w:p>
        </w:tc>
        <w:tc>
          <w:tcPr>
            <w:tcW w:w="180" w:type="dxa"/>
            <w:vAlign w:val="bottom"/>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25,377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-1259205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-1259205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-1259205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-1259205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-1259205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-1259205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-1259205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-25400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-7620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-25400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-7620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-25400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-25400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4" w:lineRule="exact"/>
        <w:rPr>
          <w:sz w:val="20"/>
          <w:szCs w:val="20"/>
          <w:color w:val="auto"/>
        </w:rPr>
      </w:pPr>
    </w:p>
    <w:p>
      <w:pPr>
        <w:ind w:left="580" w:right="20" w:hanging="378"/>
        <w:spacing w:after="0" w:line="264" w:lineRule="auto"/>
        <w:tabs>
          <w:tab w:leader="none" w:pos="580" w:val="left"/>
        </w:tabs>
        <w:numPr>
          <w:ilvl w:val="0"/>
          <w:numId w:val="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4"/>
          <w:szCs w:val="14"/>
          <w:i w:val="1"/>
          <w:iCs w:val="1"/>
          <w:color w:val="auto"/>
        </w:rPr>
        <w:t>For the three-month periods ended March 31, 2024 and 2023, dividends per preferred share were: Preferred Series E - $16.125; Preferred Series F - $128.125; Preferred Series G - $125.00; Preferred Series H - $0.3516; and Preferred Series I - $87.50.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19030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1"/>
          <w:szCs w:val="21"/>
          <w:color w:val="auto"/>
        </w:rPr>
        <w:t>NOTES TO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 Significant accounting policies</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consolidated interim financial statements of the Company were compiled in accordance with GAAP using the accounting policies set forth in note 1 of Notes to Financial Statements included in the 2023 Annual Report, except as described in the following table. The financial statements contain all adjustments which are, in the opinion of management, necessary for a fair statement of the Company's financial position, results of operations and cash flows for the interim periods presented.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Recent accounting developments</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480" w:type="dxa"/>
            <w:vAlign w:val="bottom"/>
            <w:tcBorders>
              <w:top w:val="single" w:sz="8" w:color="auto"/>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4600" w:type="dxa"/>
            <w:vAlign w:val="bottom"/>
            <w:tcBorders>
              <w:top w:val="single" w:sz="8" w:color="auto"/>
              <w:right w:val="single" w:sz="8" w:color="auto"/>
            </w:tcBorders>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Required date</w:t>
            </w:r>
          </w:p>
        </w:tc>
        <w:tc>
          <w:tcPr>
            <w:tcW w:w="3660" w:type="dxa"/>
            <w:vAlign w:val="bottom"/>
            <w:tcBorders>
              <w:top w:val="single" w:sz="8" w:color="auto"/>
              <w:right w:val="single" w:sz="8" w:color="auto"/>
            </w:tcBorders>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3"/>
        </w:trPr>
        <w:tc>
          <w:tcPr>
            <w:tcW w:w="148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4600" w:type="dxa"/>
            <w:vAlign w:val="bottom"/>
            <w:tcBorders>
              <w:bottom w:val="single" w:sz="8" w:color="auto"/>
              <w:right w:val="single" w:sz="8" w:color="auto"/>
            </w:tcBorders>
            <w:vMerge w:val="continue"/>
          </w:tcPr>
          <w:p>
            <w:pPr>
              <w:spacing w:after="0"/>
              <w:rPr>
                <w:sz w:val="15"/>
                <w:szCs w:val="15"/>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adoption</w:t>
            </w:r>
          </w:p>
        </w:tc>
        <w:tc>
          <w:tcPr>
            <w:tcW w:w="36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80" w:type="dxa"/>
            <w:vAlign w:val="bottom"/>
            <w:tcBorders>
              <w:left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Standards Adopted in 2024</w:t>
            </w:r>
          </w:p>
        </w:tc>
        <w:tc>
          <w:tcPr>
            <w:tcW w:w="1500" w:type="dxa"/>
            <w:vAlign w:val="bottom"/>
            <w:tcBorders>
              <w:bottom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4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Accounting for</w:t>
            </w:r>
          </w:p>
        </w:tc>
        <w:tc>
          <w:tcPr>
            <w:tcW w:w="4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The amendments permit an election to account for tax equity investments,</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January 1, 2024</w:t>
            </w:r>
          </w:p>
        </w:tc>
        <w:tc>
          <w:tcPr>
            <w:tcW w:w="36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As described in note 11, the Company adopted the</w:t>
            </w:r>
          </w:p>
        </w:tc>
        <w:tc>
          <w:tcPr>
            <w:tcW w:w="0" w:type="dxa"/>
            <w:vAlign w:val="bottom"/>
          </w:tcPr>
          <w:p>
            <w:pPr>
              <w:spacing w:after="0"/>
              <w:rPr>
                <w:sz w:val="1"/>
                <w:szCs w:val="1"/>
                <w:color w:val="auto"/>
              </w:rPr>
            </w:pPr>
          </w:p>
        </w:tc>
      </w:tr>
      <w:tr>
        <w:trPr>
          <w:trHeight w:val="148"/>
        </w:trPr>
        <w:tc>
          <w:tcPr>
            <w:tcW w:w="148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Investments in Tax</w:t>
            </w:r>
          </w:p>
        </w:tc>
        <w:tc>
          <w:tcPr>
            <w:tcW w:w="460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regardless of the tax credit program from which the income tax credits are</w:t>
            </w:r>
          </w:p>
        </w:tc>
        <w:tc>
          <w:tcPr>
            <w:tcW w:w="1500" w:type="dxa"/>
            <w:vAlign w:val="bottom"/>
            <w:tcBorders>
              <w:right w:val="single" w:sz="8" w:color="auto"/>
            </w:tcBorders>
          </w:tcPr>
          <w:p>
            <w:pPr>
              <w:spacing w:after="0"/>
              <w:rPr>
                <w:sz w:val="12"/>
                <w:szCs w:val="12"/>
                <w:color w:val="auto"/>
              </w:rPr>
            </w:pPr>
          </w:p>
        </w:tc>
        <w:tc>
          <w:tcPr>
            <w:tcW w:w="366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amended guidance effective January 1, 2024 using a</w:t>
            </w:r>
          </w:p>
        </w:tc>
        <w:tc>
          <w:tcPr>
            <w:tcW w:w="0" w:type="dxa"/>
            <w:vAlign w:val="bottom"/>
          </w:tcPr>
          <w:p>
            <w:pPr>
              <w:spacing w:after="0"/>
              <w:rPr>
                <w:sz w:val="1"/>
                <w:szCs w:val="1"/>
                <w:color w:val="auto"/>
              </w:rPr>
            </w:pPr>
          </w:p>
        </w:tc>
      </w:tr>
      <w:tr>
        <w:trPr>
          <w:trHeight w:val="148"/>
        </w:trPr>
        <w:tc>
          <w:tcPr>
            <w:tcW w:w="148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Credit Structures</w:t>
            </w:r>
          </w:p>
        </w:tc>
        <w:tc>
          <w:tcPr>
            <w:tcW w:w="460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received, using the proportional amortization method if certain conditions</w:t>
            </w:r>
          </w:p>
        </w:tc>
        <w:tc>
          <w:tcPr>
            <w:tcW w:w="1500" w:type="dxa"/>
            <w:vAlign w:val="bottom"/>
            <w:tcBorders>
              <w:right w:val="single" w:sz="8" w:color="auto"/>
            </w:tcBorders>
          </w:tcPr>
          <w:p>
            <w:pPr>
              <w:spacing w:after="0"/>
              <w:rPr>
                <w:sz w:val="12"/>
                <w:szCs w:val="12"/>
                <w:color w:val="auto"/>
              </w:rPr>
            </w:pPr>
          </w:p>
        </w:tc>
        <w:tc>
          <w:tcPr>
            <w:tcW w:w="366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modified retrospective transition. The guidance did not</w:t>
            </w:r>
          </w:p>
        </w:tc>
        <w:tc>
          <w:tcPr>
            <w:tcW w:w="0" w:type="dxa"/>
            <w:vAlign w:val="bottom"/>
          </w:tcPr>
          <w:p>
            <w:pPr>
              <w:spacing w:after="0"/>
              <w:rPr>
                <w:sz w:val="1"/>
                <w:szCs w:val="1"/>
                <w:color w:val="auto"/>
              </w:rPr>
            </w:pPr>
          </w:p>
        </w:tc>
      </w:tr>
      <w:tr>
        <w:trPr>
          <w:trHeight w:val="148"/>
        </w:trPr>
        <w:tc>
          <w:tcPr>
            <w:tcW w:w="148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Using the</w:t>
            </w:r>
          </w:p>
        </w:tc>
        <w:tc>
          <w:tcPr>
            <w:tcW w:w="460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are met.</w:t>
            </w:r>
          </w:p>
        </w:tc>
        <w:tc>
          <w:tcPr>
            <w:tcW w:w="1500" w:type="dxa"/>
            <w:vAlign w:val="bottom"/>
            <w:tcBorders>
              <w:right w:val="single" w:sz="8" w:color="auto"/>
            </w:tcBorders>
          </w:tcPr>
          <w:p>
            <w:pPr>
              <w:spacing w:after="0"/>
              <w:rPr>
                <w:sz w:val="12"/>
                <w:szCs w:val="12"/>
                <w:color w:val="auto"/>
              </w:rPr>
            </w:pPr>
          </w:p>
        </w:tc>
        <w:tc>
          <w:tcPr>
            <w:tcW w:w="366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have a material impact on the Company’s consolidated</w:t>
            </w:r>
          </w:p>
        </w:tc>
        <w:tc>
          <w:tcPr>
            <w:tcW w:w="0" w:type="dxa"/>
            <w:vAlign w:val="bottom"/>
          </w:tcPr>
          <w:p>
            <w:pPr>
              <w:spacing w:after="0"/>
              <w:rPr>
                <w:sz w:val="1"/>
                <w:szCs w:val="1"/>
                <w:color w:val="auto"/>
              </w:rPr>
            </w:pPr>
          </w:p>
        </w:tc>
      </w:tr>
      <w:tr>
        <w:trPr>
          <w:trHeight w:val="148"/>
        </w:trPr>
        <w:tc>
          <w:tcPr>
            <w:tcW w:w="148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Proportional</w:t>
            </w:r>
          </w:p>
        </w:tc>
        <w:tc>
          <w:tcPr>
            <w:tcW w:w="460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Under the proportional amortization method, the initial cost of the</w:t>
            </w:r>
          </w:p>
        </w:tc>
        <w:tc>
          <w:tcPr>
            <w:tcW w:w="1500" w:type="dxa"/>
            <w:vAlign w:val="bottom"/>
            <w:tcBorders>
              <w:right w:val="single" w:sz="8" w:color="auto"/>
            </w:tcBorders>
          </w:tcPr>
          <w:p>
            <w:pPr>
              <w:spacing w:after="0"/>
              <w:rPr>
                <w:sz w:val="12"/>
                <w:szCs w:val="12"/>
                <w:color w:val="auto"/>
              </w:rPr>
            </w:pPr>
          </w:p>
        </w:tc>
        <w:tc>
          <w:tcPr>
            <w:tcW w:w="366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financial statements.</w:t>
            </w:r>
          </w:p>
        </w:tc>
        <w:tc>
          <w:tcPr>
            <w:tcW w:w="0" w:type="dxa"/>
            <w:vAlign w:val="bottom"/>
          </w:tcPr>
          <w:p>
            <w:pPr>
              <w:spacing w:after="0"/>
              <w:rPr>
                <w:sz w:val="1"/>
                <w:szCs w:val="1"/>
                <w:color w:val="auto"/>
              </w:rPr>
            </w:pPr>
          </w:p>
        </w:tc>
      </w:tr>
      <w:tr>
        <w:trPr>
          <w:trHeight w:val="144"/>
        </w:trPr>
        <w:tc>
          <w:tcPr>
            <w:tcW w:w="1480" w:type="dxa"/>
            <w:vAlign w:val="bottom"/>
            <w:tcBorders>
              <w:left w:val="single" w:sz="8" w:color="auto"/>
              <w:right w:val="single" w:sz="8" w:color="auto"/>
            </w:tcBorders>
          </w:tcPr>
          <w:p>
            <w:pPr>
              <w:ind w:left="140"/>
              <w:spacing w:after="0" w:line="145" w:lineRule="exact"/>
              <w:rPr>
                <w:sz w:val="20"/>
                <w:szCs w:val="20"/>
                <w:color w:val="auto"/>
              </w:rPr>
            </w:pPr>
            <w:r>
              <w:rPr>
                <w:rFonts w:ascii="Times New Roman" w:cs="Times New Roman" w:eastAsia="Times New Roman" w:hAnsi="Times New Roman"/>
                <w:sz w:val="14"/>
                <w:szCs w:val="14"/>
                <w:color w:val="auto"/>
              </w:rPr>
              <w:t>Amortization</w:t>
            </w:r>
          </w:p>
        </w:tc>
        <w:tc>
          <w:tcPr>
            <w:tcW w:w="460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36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480" w:type="dxa"/>
            <w:vAlign w:val="bottom"/>
            <w:tcBorders>
              <w:left w:val="single" w:sz="8" w:color="auto"/>
              <w:right w:val="single" w:sz="8" w:color="auto"/>
            </w:tcBorders>
          </w:tcPr>
          <w:p>
            <w:pPr>
              <w:ind w:left="140"/>
              <w:spacing w:after="0" w:line="129" w:lineRule="exact"/>
              <w:rPr>
                <w:sz w:val="20"/>
                <w:szCs w:val="20"/>
                <w:color w:val="auto"/>
              </w:rPr>
            </w:pPr>
            <w:r>
              <w:rPr>
                <w:rFonts w:ascii="Times New Roman" w:cs="Times New Roman" w:eastAsia="Times New Roman" w:hAnsi="Times New Roman"/>
                <w:sz w:val="14"/>
                <w:szCs w:val="14"/>
                <w:color w:val="auto"/>
              </w:rPr>
              <w:t>Method</w:t>
            </w:r>
          </w:p>
        </w:tc>
        <w:tc>
          <w:tcPr>
            <w:tcW w:w="4600" w:type="dxa"/>
            <w:vAlign w:val="bottom"/>
            <w:tcBorders>
              <w:right w:val="single" w:sz="8" w:color="auto"/>
            </w:tcBorders>
          </w:tcPr>
          <w:p>
            <w:pPr>
              <w:ind w:left="140"/>
              <w:spacing w:after="0" w:line="129" w:lineRule="exact"/>
              <w:rPr>
                <w:sz w:val="20"/>
                <w:szCs w:val="20"/>
                <w:color w:val="auto"/>
              </w:rPr>
            </w:pPr>
            <w:r>
              <w:rPr>
                <w:rFonts w:ascii="Times New Roman" w:cs="Times New Roman" w:eastAsia="Times New Roman" w:hAnsi="Times New Roman"/>
                <w:sz w:val="14"/>
                <w:szCs w:val="14"/>
                <w:color w:val="auto"/>
              </w:rPr>
              <w:t>investment is amortized in proportion to the income tax credits and other</w:t>
            </w:r>
          </w:p>
        </w:tc>
        <w:tc>
          <w:tcPr>
            <w:tcW w:w="1500" w:type="dxa"/>
            <w:vAlign w:val="bottom"/>
            <w:tcBorders>
              <w:right w:val="single" w:sz="8" w:color="auto"/>
            </w:tcBorders>
          </w:tcPr>
          <w:p>
            <w:pPr>
              <w:spacing w:after="0"/>
              <w:rPr>
                <w:sz w:val="11"/>
                <w:szCs w:val="11"/>
                <w:color w:val="auto"/>
              </w:rPr>
            </w:pPr>
          </w:p>
        </w:tc>
        <w:tc>
          <w:tcPr>
            <w:tcW w:w="3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80" w:type="dxa"/>
            <w:vAlign w:val="bottom"/>
            <w:tcBorders>
              <w:left w:val="single" w:sz="8" w:color="auto"/>
              <w:right w:val="single" w:sz="8" w:color="auto"/>
            </w:tcBorders>
          </w:tcPr>
          <w:p>
            <w:pPr>
              <w:spacing w:after="0"/>
              <w:rPr>
                <w:sz w:val="11"/>
                <w:szCs w:val="11"/>
                <w:color w:val="auto"/>
              </w:rPr>
            </w:pPr>
          </w:p>
        </w:tc>
        <w:tc>
          <w:tcPr>
            <w:tcW w:w="4600" w:type="dxa"/>
            <w:vAlign w:val="bottom"/>
            <w:tcBorders>
              <w:right w:val="single" w:sz="8" w:color="auto"/>
            </w:tcBorders>
          </w:tcPr>
          <w:p>
            <w:pPr>
              <w:ind w:left="140"/>
              <w:spacing w:after="0" w:line="133" w:lineRule="exact"/>
              <w:rPr>
                <w:sz w:val="20"/>
                <w:szCs w:val="20"/>
                <w:color w:val="auto"/>
              </w:rPr>
            </w:pPr>
            <w:r>
              <w:rPr>
                <w:rFonts w:ascii="Times New Roman" w:cs="Times New Roman" w:eastAsia="Times New Roman" w:hAnsi="Times New Roman"/>
                <w:sz w:val="14"/>
                <w:szCs w:val="14"/>
                <w:color w:val="auto"/>
              </w:rPr>
              <w:t>income tax benefits received and the net amortization and income tax</w:t>
            </w:r>
          </w:p>
        </w:tc>
        <w:tc>
          <w:tcPr>
            <w:tcW w:w="1500" w:type="dxa"/>
            <w:vAlign w:val="bottom"/>
            <w:tcBorders>
              <w:right w:val="single" w:sz="8" w:color="auto"/>
            </w:tcBorders>
          </w:tcPr>
          <w:p>
            <w:pPr>
              <w:spacing w:after="0"/>
              <w:rPr>
                <w:sz w:val="11"/>
                <w:szCs w:val="11"/>
                <w:color w:val="auto"/>
              </w:rPr>
            </w:pPr>
          </w:p>
        </w:tc>
        <w:tc>
          <w:tcPr>
            <w:tcW w:w="3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Borders>
              <w:left w:val="single" w:sz="8" w:color="auto"/>
              <w:right w:val="single" w:sz="8" w:color="auto"/>
            </w:tcBorders>
          </w:tcPr>
          <w:p>
            <w:pPr>
              <w:spacing w:after="0"/>
              <w:rPr>
                <w:sz w:val="12"/>
                <w:szCs w:val="12"/>
                <w:color w:val="auto"/>
              </w:rPr>
            </w:pPr>
          </w:p>
        </w:tc>
        <w:tc>
          <w:tcPr>
            <w:tcW w:w="4600" w:type="dxa"/>
            <w:vAlign w:val="bottom"/>
            <w:tcBorders>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credits and other income tax benefits are recognized in the income</w:t>
            </w:r>
          </w:p>
        </w:tc>
        <w:tc>
          <w:tcPr>
            <w:tcW w:w="1500" w:type="dxa"/>
            <w:vAlign w:val="bottom"/>
            <w:tcBorders>
              <w:right w:val="single" w:sz="8" w:color="auto"/>
            </w:tcBorders>
          </w:tcPr>
          <w:p>
            <w:pPr>
              <w:spacing w:after="0"/>
              <w:rPr>
                <w:sz w:val="12"/>
                <w:szCs w:val="12"/>
                <w:color w:val="auto"/>
              </w:rPr>
            </w:pPr>
          </w:p>
        </w:tc>
        <w:tc>
          <w:tcPr>
            <w:tcW w:w="36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80" w:type="dxa"/>
            <w:vAlign w:val="bottom"/>
            <w:tcBorders>
              <w:left w:val="single" w:sz="8" w:color="auto"/>
              <w:bottom w:val="single" w:sz="8" w:color="auto"/>
              <w:right w:val="single" w:sz="8" w:color="auto"/>
            </w:tcBorders>
          </w:tcPr>
          <w:p>
            <w:pPr>
              <w:spacing w:after="0"/>
              <w:rPr>
                <w:sz w:val="14"/>
                <w:szCs w:val="14"/>
                <w:color w:val="auto"/>
              </w:rPr>
            </w:pPr>
          </w:p>
        </w:tc>
        <w:tc>
          <w:tcPr>
            <w:tcW w:w="46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statement as a component of income tax expense (benefit).</w:t>
            </w:r>
          </w:p>
        </w:tc>
        <w:tc>
          <w:tcPr>
            <w:tcW w:w="1500" w:type="dxa"/>
            <w:vAlign w:val="bottom"/>
            <w:tcBorders>
              <w:bottom w:val="single" w:sz="8" w:color="auto"/>
              <w:right w:val="single" w:sz="8" w:color="auto"/>
            </w:tcBorders>
          </w:tcPr>
          <w:p>
            <w:pPr>
              <w:spacing w:after="0"/>
              <w:rPr>
                <w:sz w:val="14"/>
                <w:szCs w:val="14"/>
                <w:color w:val="auto"/>
              </w:rPr>
            </w:pPr>
          </w:p>
        </w:tc>
        <w:tc>
          <w:tcPr>
            <w:tcW w:w="3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 Divestiture</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On April 29, 2023, the Company sold its CIT business to a private equity firm. The transaction resulted in a pre-tax gain of $225 million ($157 million after-tax effect) that has been included in “other revenues from operations” in the Consolidated Statement of Income in the second quarter of 2023. Prior to the sale, the CIT business contributed $45 million to trust income in the three months ended March 31, 2023. After considering expenses, the results of operations from the CIT business were not material to the Company's consolidated results of operations in that period.</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Investment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amortized cost and estimated fair value of investment securities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94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4500" w:type="dxa"/>
            <w:vAlign w:val="bottom"/>
            <w:gridSpan w:val="2"/>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56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 for sale:</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6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Treasury and federal agencies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7,818</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6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55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Government issued or guaranteed:</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8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Commercial</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558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Residential</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3,053</w:t>
            </w: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Other debt securities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12,397</w:t>
            </w:r>
          </w:p>
        </w:tc>
        <w:tc>
          <w:tcPr>
            <w:tcW w:w="5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5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4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12,134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Investment securities held to maturity:</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6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Treasury and federal agencies</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6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Obligations of states and political subdivisions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6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Government issued or guaranteed:</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558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Commercial</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8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Residential</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9,527</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55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Privately issued</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Other debt securities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15,078</w:t>
            </w:r>
          </w:p>
        </w:tc>
        <w:tc>
          <w:tcPr>
            <w:tcW w:w="5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5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4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13,865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Total debt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27,475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 and other securities: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Readily marketable equity — at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FF0FC"/>
            </w:tcBorders>
            <w:shd w:val="clear" w:color="auto" w:fill="CFF0FC"/>
          </w:tcPr>
          <w:p>
            <w:pPr>
              <w:spacing w:after="0"/>
              <w:rPr>
                <w:sz w:val="20"/>
                <w:szCs w:val="20"/>
                <w:color w:val="auto"/>
              </w:rPr>
            </w:pPr>
          </w:p>
        </w:tc>
        <w:tc>
          <w:tcPr>
            <w:tcW w:w="558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 at cost</w:t>
            </w:r>
          </w:p>
        </w:tc>
        <w:tc>
          <w:tcPr>
            <w:tcW w:w="1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5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Total equity and other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60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 for sale:</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U.S. Treasury and federal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6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Government issued or guaranteed:</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558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Commercial</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8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Residential</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60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debt securities</w:t>
            </w:r>
          </w:p>
        </w:tc>
        <w:tc>
          <w:tcPr>
            <w:tcW w:w="1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5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10,691</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held to maturity:</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U.S. Treasury and federal agencies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6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Obligations of states and political subdivisions</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2,501</w:t>
            </w: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6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55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Government issued or guaranteed:</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8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Commercial</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558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Residential</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9,747</w:t>
            </w: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Privately issued</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60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debt securities</w:t>
            </w:r>
          </w:p>
        </w:tc>
        <w:tc>
          <w:tcPr>
            <w:tcW w:w="1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5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15,330</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debt securities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26,021</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24,748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600" w:type="dxa"/>
            <w:vAlign w:val="bottom"/>
            <w:tcBorders>
              <w:top w:val="single" w:sz="8" w:color="CFF0FC"/>
            </w:tcBorders>
            <w:gridSpan w:val="4"/>
          </w:tcPr>
          <w:p>
            <w:pPr>
              <w:ind w:left="20"/>
              <w:spacing w:after="0"/>
              <w:rPr>
                <w:sz w:val="20"/>
                <w:szCs w:val="20"/>
                <w:color w:val="auto"/>
              </w:rPr>
            </w:pPr>
            <w:r>
              <w:rPr>
                <w:rFonts w:ascii="Times New Roman" w:cs="Times New Roman" w:eastAsia="Times New Roman" w:hAnsi="Times New Roman"/>
                <w:sz w:val="16"/>
                <w:szCs w:val="16"/>
                <w:color w:val="auto"/>
              </w:rPr>
              <w:t>Equity and other securities:</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55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Readily marketable equity — at fair value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Other — at cost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equity and other securities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5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5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-6008370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-6008370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-6008370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-6008370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-4533900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-4533900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-4533900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-3916680</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-3916680</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-3916680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-3916680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-2425065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-2425065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-2425065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-950595</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-950595</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-950595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-642620</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-624840</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-642620</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-624840</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-642620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-624840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Investment securities, continued</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There were no significant gross realized gains or losses from sales of investment securities for the three-month periods ended March 31, 2024 and 2023. Unrealized losses on equity securities are included in "gain (loss) on bank investment securities" in the Consolidated Statement of Income.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 March 31, 2024, the amortized cost and estimated fair value of debt securities by contractual maturity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7"/>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Cost</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available for sale:</w:t>
            </w:r>
          </w:p>
        </w:tc>
        <w:tc>
          <w:tcPr>
            <w:tcW w:w="39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4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shd w:val="clear" w:color="auto" w:fill="CFF0FC"/>
          </w:tcPr>
          <w:p>
            <w:pPr>
              <w:spacing w:after="0"/>
              <w:rPr>
                <w:sz w:val="21"/>
                <w:szCs w:val="21"/>
                <w:color w:val="auto"/>
              </w:rPr>
            </w:pP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tcPr>
          <w:p>
            <w:pPr>
              <w:spacing w:after="0"/>
              <w:rPr>
                <w:sz w:val="20"/>
                <w:szCs w:val="20"/>
                <w:color w:val="auto"/>
              </w:rPr>
            </w:pP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3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1"/>
                <w:szCs w:val="21"/>
                <w:color w:val="auto"/>
              </w:rPr>
            </w:pP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4080" w:type="dxa"/>
            <w:vAlign w:val="bottom"/>
            <w:shd w:val="clear" w:color="auto" w:fill="CFF0FC"/>
          </w:tcPr>
          <w:p>
            <w:pPr>
              <w:spacing w:after="0"/>
              <w:rPr>
                <w:sz w:val="20"/>
                <w:szCs w:val="20"/>
                <w:color w:val="auto"/>
              </w:rPr>
            </w:pPr>
          </w:p>
        </w:tc>
        <w:tc>
          <w:tcPr>
            <w:tcW w:w="39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3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00" w:type="dxa"/>
            <w:vAlign w:val="bottom"/>
            <w:shd w:val="clear" w:color="auto" w:fill="CFF0FC"/>
          </w:tcPr>
          <w:p>
            <w:pPr>
              <w:spacing w:after="0"/>
              <w:rPr>
                <w:sz w:val="20"/>
                <w:szCs w:val="20"/>
                <w:color w:val="auto"/>
              </w:rPr>
            </w:pP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00" w:type="dxa"/>
            <w:vAlign w:val="bottom"/>
          </w:tcPr>
          <w:p>
            <w:pPr>
              <w:spacing w:after="0"/>
              <w:rPr>
                <w:sz w:val="20"/>
                <w:szCs w:val="20"/>
                <w:color w:val="auto"/>
              </w:rPr>
            </w:pPr>
          </w:p>
        </w:tc>
      </w:tr>
      <w:tr>
        <w:trPr>
          <w:trHeight w:val="276"/>
        </w:trPr>
        <w:tc>
          <w:tcPr>
            <w:tcW w:w="4080" w:type="dxa"/>
            <w:vAlign w:val="bottom"/>
            <w:shd w:val="clear" w:color="auto" w:fill="CFF0FC"/>
          </w:tcPr>
          <w:p>
            <w:pPr>
              <w:spacing w:after="0"/>
              <w:rPr>
                <w:sz w:val="24"/>
                <w:szCs w:val="24"/>
                <w:color w:val="auto"/>
              </w:rPr>
            </w:pPr>
          </w:p>
        </w:tc>
        <w:tc>
          <w:tcPr>
            <w:tcW w:w="4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12,134</w:t>
            </w:r>
          </w:p>
        </w:tc>
        <w:tc>
          <w:tcPr>
            <w:tcW w:w="100" w:type="dxa"/>
            <w:vAlign w:val="bottom"/>
            <w:shd w:val="clear" w:color="auto" w:fill="CFF0FC"/>
          </w:tcPr>
          <w:p>
            <w:pPr>
              <w:spacing w:after="0"/>
              <w:rPr>
                <w:sz w:val="24"/>
                <w:szCs w:val="24"/>
                <w:color w:val="auto"/>
              </w:rPr>
            </w:pPr>
          </w:p>
        </w:tc>
      </w:tr>
      <w:tr>
        <w:trPr>
          <w:trHeight w:val="224"/>
        </w:trPr>
        <w:tc>
          <w:tcPr>
            <w:tcW w:w="4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Debt securities held to maturity:</w:t>
            </w:r>
          </w:p>
        </w:tc>
        <w:tc>
          <w:tcPr>
            <w:tcW w:w="39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8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4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FF0FC"/>
          </w:tcPr>
          <w:p>
            <w:pPr>
              <w:spacing w:after="0"/>
              <w:rPr>
                <w:sz w:val="21"/>
                <w:szCs w:val="21"/>
                <w:color w:val="auto"/>
              </w:rPr>
            </w:pP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0"/>
                <w:szCs w:val="20"/>
                <w:color w:val="auto"/>
              </w:rPr>
            </w:pP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3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FF0FC"/>
          </w:tcPr>
          <w:p>
            <w:pPr>
              <w:spacing w:after="0"/>
              <w:rPr>
                <w:sz w:val="21"/>
                <w:szCs w:val="21"/>
                <w:color w:val="auto"/>
              </w:rPr>
            </w:pP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3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20"/>
                <w:szCs w:val="20"/>
                <w:color w:val="auto"/>
              </w:rPr>
            </w:pPr>
          </w:p>
        </w:tc>
      </w:tr>
      <w:tr>
        <w:trPr>
          <w:trHeight w:val="241"/>
        </w:trPr>
        <w:tc>
          <w:tcPr>
            <w:tcW w:w="4080" w:type="dxa"/>
            <w:vAlign w:val="bottom"/>
            <w:shd w:val="clear" w:color="auto" w:fill="CFF0FC"/>
          </w:tcPr>
          <w:p>
            <w:pPr>
              <w:spacing w:after="0"/>
              <w:rPr>
                <w:sz w:val="20"/>
                <w:szCs w:val="20"/>
                <w:color w:val="auto"/>
              </w:rPr>
            </w:pPr>
          </w:p>
        </w:tc>
        <w:tc>
          <w:tcPr>
            <w:tcW w:w="3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shd w:val="clear" w:color="auto" w:fill="CFF0FC"/>
          </w:tcPr>
          <w:p>
            <w:pPr>
              <w:spacing w:after="0"/>
              <w:rPr>
                <w:sz w:val="20"/>
                <w:szCs w:val="20"/>
                <w:color w:val="auto"/>
              </w:rPr>
            </w:pP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11,603</w:t>
            </w: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100" w:type="dxa"/>
            <w:vAlign w:val="bottom"/>
          </w:tcPr>
          <w:p>
            <w:pPr>
              <w:spacing w:after="0"/>
              <w:rPr>
                <w:sz w:val="20"/>
                <w:szCs w:val="20"/>
                <w:color w:val="auto"/>
              </w:rPr>
            </w:pPr>
          </w:p>
        </w:tc>
      </w:tr>
      <w:tr>
        <w:trPr>
          <w:trHeight w:val="276"/>
        </w:trPr>
        <w:tc>
          <w:tcPr>
            <w:tcW w:w="4080" w:type="dxa"/>
            <w:vAlign w:val="bottom"/>
            <w:shd w:val="clear" w:color="auto" w:fill="CFF0FC"/>
          </w:tcPr>
          <w:p>
            <w:pPr>
              <w:spacing w:after="0"/>
              <w:rPr>
                <w:sz w:val="24"/>
                <w:szCs w:val="24"/>
                <w:color w:val="auto"/>
              </w:rPr>
            </w:pPr>
          </w:p>
        </w:tc>
        <w:tc>
          <w:tcPr>
            <w:tcW w:w="4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13,865</w:t>
            </w:r>
          </w:p>
        </w:tc>
        <w:tc>
          <w:tcPr>
            <w:tcW w:w="100" w:type="dxa"/>
            <w:vAlign w:val="bottom"/>
            <w:shd w:val="clear" w:color="auto" w:fill="CFF0FC"/>
          </w:tcPr>
          <w:p>
            <w:pPr>
              <w:spacing w:after="0"/>
              <w:rPr>
                <w:sz w:val="24"/>
                <w:szCs w:val="24"/>
                <w:color w:val="auto"/>
              </w:rPr>
            </w:pPr>
          </w:p>
        </w:tc>
      </w:tr>
      <w:tr>
        <w:trPr>
          <w:trHeight w:val="633"/>
        </w:trPr>
        <w:tc>
          <w:tcPr>
            <w:tcW w:w="4080" w:type="dxa"/>
            <w:vAlign w:val="bottom"/>
            <w:tcBorders>
              <w:top w:val="single" w:sz="8" w:color="CFF0FC"/>
            </w:tcBorders>
          </w:tcPr>
          <w:p>
            <w:pPr>
              <w:spacing w:after="0"/>
              <w:rPr>
                <w:sz w:val="24"/>
                <w:szCs w:val="24"/>
                <w:color w:val="auto"/>
              </w:rPr>
            </w:pPr>
          </w:p>
        </w:tc>
        <w:tc>
          <w:tcPr>
            <w:tcW w:w="3940" w:type="dxa"/>
            <w:vAlign w:val="bottom"/>
            <w:tcBorders>
              <w:top w:val="single" w:sz="8" w:color="CFF0FC"/>
            </w:tcBorders>
          </w:tcPr>
          <w:p>
            <w:pPr>
              <w:jc w:val="right"/>
              <w:ind w:right="2110"/>
              <w:spacing w:after="0"/>
              <w:rPr>
                <w:sz w:val="20"/>
                <w:szCs w:val="20"/>
                <w:color w:val="auto"/>
              </w:rPr>
            </w:pPr>
            <w:r>
              <w:rPr>
                <w:rFonts w:ascii="Times New Roman" w:cs="Times New Roman" w:eastAsia="Times New Roman" w:hAnsi="Times New Roman"/>
                <w:sz w:val="18"/>
                <w:szCs w:val="18"/>
                <w:color w:val="auto"/>
              </w:rPr>
              <w:t>- 11 -</w:t>
            </w: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-2211070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-2193925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-934085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-916940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Investment securities, continued</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 summary of investment securities that as of March 31, 2024 and December 31, 2023 had been in a continuous unrealized loss position for less than twelve months and those that had been in a continuous unrealized loss position for twelve months or longer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12 Months or More</w:t>
            </w:r>
          </w:p>
        </w:tc>
      </w:tr>
      <w:tr>
        <w:trPr>
          <w:trHeight w:val="131"/>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5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3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3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71"/>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r>
      <w:tr>
        <w:trPr>
          <w:trHeight w:val="187"/>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6"/>
                <w:szCs w:val="16"/>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8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183"/>
        </w:trPr>
        <w:tc>
          <w:tcPr>
            <w:tcW w:w="20" w:type="dxa"/>
            <w:vAlign w:val="bottom"/>
          </w:tcPr>
          <w:p>
            <w:pPr>
              <w:spacing w:after="0"/>
              <w:rPr>
                <w:sz w:val="15"/>
                <w:szCs w:val="15"/>
                <w:color w:val="auto"/>
              </w:rPr>
            </w:pPr>
          </w:p>
        </w:tc>
        <w:tc>
          <w:tcPr>
            <w:tcW w:w="120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4320" w:type="dxa"/>
            <w:vAlign w:val="bottom"/>
            <w:gridSpan w:val="2"/>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70"/>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55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28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10</w:t>
            </w:r>
          </w:p>
        </w:tc>
        <w:tc>
          <w:tcPr>
            <w:tcW w:w="6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5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5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52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3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21"/>
                <w:szCs w:val="21"/>
                <w:color w:val="auto"/>
              </w:rPr>
            </w:pPr>
          </w:p>
        </w:tc>
      </w:tr>
      <w:tr>
        <w:trPr>
          <w:trHeight w:val="243"/>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debt securities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r>
      <w:tr>
        <w:trPr>
          <w:trHeight w:val="232"/>
        </w:trPr>
        <w:tc>
          <w:tcPr>
            <w:tcW w:w="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40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38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22</w:t>
            </w:r>
          </w:p>
        </w:tc>
        <w:tc>
          <w:tcPr>
            <w:tcW w:w="3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3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5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r>
      <w:tr>
        <w:trPr>
          <w:trHeight w:val="247"/>
        </w:trPr>
        <w:tc>
          <w:tcPr>
            <w:tcW w:w="55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5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52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5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20"/>
                <w:szCs w:val="20"/>
                <w:color w:val="auto"/>
              </w:rPr>
            </w:pP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552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Privately issued</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2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40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38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22</w:t>
            </w:r>
          </w:p>
        </w:tc>
        <w:tc>
          <w:tcPr>
            <w:tcW w:w="3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3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bottom w:val="single" w:sz="8" w:color="CFF0FC"/>
            </w:tcBorders>
          </w:tcPr>
          <w:p>
            <w:pPr>
              <w:spacing w:after="0"/>
              <w:rPr>
                <w:sz w:val="20"/>
                <w:szCs w:val="20"/>
                <w:color w:val="auto"/>
              </w:rPr>
            </w:pPr>
          </w:p>
        </w:tc>
      </w:tr>
      <w:tr>
        <w:trPr>
          <w:trHeight w:val="281"/>
        </w:trPr>
        <w:tc>
          <w:tcPr>
            <w:tcW w:w="55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3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44</w:t>
            </w:r>
          </w:p>
        </w:tc>
        <w:tc>
          <w:tcPr>
            <w:tcW w:w="3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3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40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63"/>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7"/>
        </w:trPr>
        <w:tc>
          <w:tcPr>
            <w:tcW w:w="55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8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24"/>
                <w:szCs w:val="24"/>
                <w:color w:val="auto"/>
              </w:rPr>
            </w:pPr>
          </w:p>
        </w:tc>
      </w:tr>
      <w:tr>
        <w:trPr>
          <w:trHeight w:val="263"/>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7"/>
        </w:trPr>
        <w:tc>
          <w:tcPr>
            <w:tcW w:w="20" w:type="dxa"/>
            <w:vAlign w:val="bottom"/>
            <w:shd w:val="clear" w:color="auto" w:fill="CFF0FC"/>
          </w:tcPr>
          <w:p>
            <w:pPr>
              <w:spacing w:after="0"/>
              <w:rPr>
                <w:sz w:val="24"/>
                <w:szCs w:val="24"/>
                <w:color w:val="auto"/>
              </w:rPr>
            </w:pPr>
          </w:p>
        </w:tc>
        <w:tc>
          <w:tcPr>
            <w:tcW w:w="55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26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5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r>
      <w:tr>
        <w:trPr>
          <w:trHeight w:val="277"/>
        </w:trPr>
        <w:tc>
          <w:tcPr>
            <w:tcW w:w="20" w:type="dxa"/>
            <w:vAlign w:val="bottom"/>
            <w:shd w:val="clear" w:color="auto" w:fill="CFF0FC"/>
          </w:tcPr>
          <w:p>
            <w:pPr>
              <w:spacing w:after="0"/>
              <w:rPr>
                <w:sz w:val="24"/>
                <w:szCs w:val="24"/>
                <w:color w:val="auto"/>
              </w:rPr>
            </w:pPr>
          </w:p>
        </w:tc>
        <w:tc>
          <w:tcPr>
            <w:tcW w:w="552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8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3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FF0FC"/>
          </w:tcPr>
          <w:p>
            <w:pPr>
              <w:spacing w:after="0"/>
              <w:rPr>
                <w:sz w:val="24"/>
                <w:szCs w:val="24"/>
                <w:color w:val="auto"/>
              </w:rPr>
            </w:pPr>
          </w:p>
        </w:tc>
      </w:tr>
      <w:tr>
        <w:trPr>
          <w:trHeight w:val="256"/>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debt securities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r>
      <w:tr>
        <w:trPr>
          <w:trHeight w:val="244"/>
        </w:trPr>
        <w:tc>
          <w:tcPr>
            <w:tcW w:w="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40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3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63"/>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7"/>
        </w:trPr>
        <w:tc>
          <w:tcPr>
            <w:tcW w:w="55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26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3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4"/>
                <w:szCs w:val="24"/>
                <w:color w:val="auto"/>
              </w:rPr>
            </w:pPr>
          </w:p>
        </w:tc>
      </w:tr>
      <w:tr>
        <w:trPr>
          <w:trHeight w:val="263"/>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2"/>
                <w:szCs w:val="22"/>
                <w:color w:val="auto"/>
              </w:rPr>
            </w:pPr>
          </w:p>
        </w:tc>
      </w:tr>
      <w:tr>
        <w:trPr>
          <w:trHeight w:val="277"/>
        </w:trPr>
        <w:tc>
          <w:tcPr>
            <w:tcW w:w="55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6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5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7"/>
        </w:trPr>
        <w:tc>
          <w:tcPr>
            <w:tcW w:w="20" w:type="dxa"/>
            <w:vAlign w:val="bottom"/>
            <w:shd w:val="clear" w:color="auto" w:fill="CFF0FC"/>
          </w:tcPr>
          <w:p>
            <w:pPr>
              <w:spacing w:after="0"/>
              <w:rPr>
                <w:sz w:val="24"/>
                <w:szCs w:val="24"/>
                <w:color w:val="auto"/>
              </w:rPr>
            </w:pPr>
          </w:p>
        </w:tc>
        <w:tc>
          <w:tcPr>
            <w:tcW w:w="552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8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3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FF0FC"/>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5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22"/>
                <w:szCs w:val="22"/>
                <w:color w:val="auto"/>
              </w:rPr>
            </w:pPr>
          </w:p>
        </w:tc>
      </w:tr>
      <w:tr>
        <w:trPr>
          <w:trHeight w:val="263"/>
        </w:trPr>
        <w:tc>
          <w:tcPr>
            <w:tcW w:w="20" w:type="dxa"/>
            <w:vAlign w:val="bottom"/>
            <w:tcBorders>
              <w:bottom w:val="single" w:sz="8" w:color="CFF0FC"/>
            </w:tcBorders>
            <w:shd w:val="clear" w:color="auto" w:fill="CFF0FC"/>
          </w:tcPr>
          <w:p>
            <w:pPr>
              <w:spacing w:after="0"/>
              <w:rPr>
                <w:sz w:val="22"/>
                <w:szCs w:val="22"/>
                <w:color w:val="auto"/>
              </w:rPr>
            </w:pPr>
          </w:p>
        </w:tc>
        <w:tc>
          <w:tcPr>
            <w:tcW w:w="552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Privately issued</w:t>
            </w: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3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23</w:t>
            </w:r>
          </w:p>
        </w:tc>
        <w:tc>
          <w:tcPr>
            <w:tcW w:w="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1"/>
                <w:szCs w:val="21"/>
                <w:color w:val="auto"/>
              </w:rPr>
            </w:pPr>
          </w:p>
        </w:tc>
      </w:tr>
      <w:tr>
        <w:trPr>
          <w:trHeight w:val="283"/>
        </w:trPr>
        <w:tc>
          <w:tcPr>
            <w:tcW w:w="55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27</w:t>
            </w:r>
          </w:p>
        </w:tc>
        <w:tc>
          <w:tcPr>
            <w:tcW w:w="3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21,761</w:t>
            </w:r>
          </w:p>
        </w:tc>
        <w:tc>
          <w:tcPr>
            <w:tcW w:w="3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-5013960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-5013960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-5013960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-5013960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-3771265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-3771265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-3771265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-3445510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-3428365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-3608070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-3445510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-3428365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-3608070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-3445510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-3428365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-3608070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-1731010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-1731010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-1731010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-359410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-359410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-359410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Investment securities, continued</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Company owned 4,088 individual debt securities with aggregate gross unrealized losses of $1.5 billion at March 31, 2024. Based on a review of each of the securities in the investment securities portfolio at March 31, 2024, the Company concluded that it expected to recover the amortized cost basis of its investment. As of March 31, 2024, the Company does not intend to sell, nor is it anticipated that it would be required to sell, any of its impaired investment securities at a loss. At March 31, 2024, the Company has not identified events or changes in circumstances which may have a significant adverse effect on the fair value of the $928 million of cost method equity securities.</w:t>
      </w:r>
    </w:p>
    <w:p>
      <w:pPr>
        <w:spacing w:after="0" w:line="7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Company estimated no material allowance for credit losses for its investment securities classified as held-to-maturity at March 31, 2024 or December 31, 2023.</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At March 31, 2024 and December 31, 2023, investment securities with carrying values of $9.6 billion (including $357 million related to repurchase transactions) and $8.2 billion (including $393 million related to repurchase transactions), respectively, were pledged to secure borrowings, lines of credit and governmental deposits.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summary of current, past due and nonaccrual loans as of March 31, 2024 and December 31, 2023 follows:</w:t>
      </w:r>
    </w:p>
    <w:p>
      <w:pPr>
        <w:spacing w:after="0" w:line="118"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Accruing</w:t>
      </w:r>
    </w:p>
    <w:p>
      <w:pPr>
        <w:spacing w:after="0" w:line="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Loans Past</w:t>
      </w: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92"/>
              <w:spacing w:after="0" w:line="145" w:lineRule="exact"/>
              <w:rPr>
                <w:sz w:val="20"/>
                <w:szCs w:val="20"/>
                <w:color w:val="auto"/>
              </w:rPr>
            </w:pPr>
            <w:r>
              <w:rPr>
                <w:rFonts w:ascii="Times New Roman" w:cs="Times New Roman" w:eastAsia="Times New Roman" w:hAnsi="Times New Roman"/>
                <w:sz w:val="14"/>
                <w:szCs w:val="14"/>
                <w:b w:val="1"/>
                <w:bCs w:val="1"/>
                <w:color w:val="auto"/>
              </w:rPr>
              <w:t>Due 90</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Days or</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More</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320" w:type="dxa"/>
            <w:vAlign w:val="bottom"/>
            <w:gridSpan w:val="4"/>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56,803</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(a)</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24,119</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Residential (b)</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Recreational finance</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3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130,964</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134,973</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FF0FC"/>
            </w:tcBorders>
          </w:tcPr>
          <w:p>
            <w:pPr>
              <w:spacing w:after="0"/>
              <w:rPr>
                <w:sz w:val="19"/>
                <w:szCs w:val="19"/>
                <w:color w:val="auto"/>
              </w:rPr>
            </w:pPr>
          </w:p>
        </w:tc>
        <w:tc>
          <w:tcPr>
            <w:tcW w:w="120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8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8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56,091</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(a)</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Residential (b)</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21,080</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Recreational finance</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430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129,839</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-2373630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-2356485</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-2373630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-2356485</wp:posOffset>
            </wp:positionV>
            <wp:extent cx="768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-2373630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-2356485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-2373630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-2356485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-187960</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-187960</wp:posOffset>
            </wp:positionV>
            <wp:extent cx="768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Commercial real estate loans held for sale were $563 million at March 31, 2024 and $189 million at December 31, 2023.</w:t>
      </w:r>
    </w:p>
    <w:p>
      <w:pPr>
        <w:spacing w:after="0" w:line="5" w:lineRule="exact"/>
        <w:rPr>
          <w:rFonts w:ascii="Times New Roman" w:cs="Times New Roman" w:eastAsia="Times New Roman" w:hAnsi="Times New Roman"/>
          <w:sz w:val="14"/>
          <w:szCs w:val="14"/>
          <w:i w:val="1"/>
          <w:iCs w:val="1"/>
          <w:color w:val="auto"/>
        </w:rPr>
      </w:pPr>
    </w:p>
    <w:p>
      <w:pPr>
        <w:ind w:left="520" w:hanging="512"/>
        <w:spacing w:after="0"/>
        <w:tabs>
          <w:tab w:leader="none" w:pos="52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One-to-four family residential mortgage loans held for sale were $165 million at March 31, 2024 and $190 million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90309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ind w:right="5500" w:firstLine="8"/>
        <w:spacing w:after="0" w:line="349" w:lineRule="auto"/>
        <w:tabs>
          <w:tab w:leader="none" w:pos="207" w:val="left"/>
        </w:tabs>
        <w:numPr>
          <w:ilvl w:val="0"/>
          <w:numId w:val="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Loans and leases and the allowance for credit losses, continued </w:t>
      </w:r>
      <w:r>
        <w:rPr>
          <w:rFonts w:ascii="Times New Roman" w:cs="Times New Roman" w:eastAsia="Times New Roman" w:hAnsi="Times New Roman"/>
          <w:sz w:val="21"/>
          <w:szCs w:val="21"/>
          <w:b w:val="1"/>
          <w:bCs w:val="1"/>
          <w:i w:val="1"/>
          <w:iCs w:val="1"/>
          <w:color w:val="auto"/>
        </w:rPr>
        <w:t>Credit quality indicators</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Company utilizes a loan grading system to differentiate risk amongst its commercial and industrial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w:t>
      </w:r>
    </w:p>
    <w:p>
      <w:pPr>
        <w:spacing w:after="0" w:line="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Line of business personnel in different geographic locations with support from and review by the Company’s credit risk personnel review and reassign loan grades based on their detailed knowledge of individual borrowers and their judgment of the impact on such borrowers resulting from changing conditions in their respective regions. Factors considered in assigning loan grades include borrower-specific information related to expected future cash flows and operating results, collateral values, geographic location, financial condition and performance, payment status, and other information. The Company’s policy is that at least annually, updated financial information be obtained from commercial borrowers associated with pass grade loans and additional analysis performed. On a quarterly basis, the Company’s credit personnel review all criticized commercial and industrial loans and commercial real estate loans greater than $5 million to determine the appropriateness of the assigned loan grade, including whether the loan should be reported as accruing or nonaccruing.</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following table summarizes the loan grades applied at March 31, 2024 to the various classes of the Company’s commercial and industrial loans and commercial real estate loans and gross charge-offs for those types of loans for the three-month period ended March 31, 2024 by origination year.</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104"/>
              <w:spacing w:after="0"/>
              <w:rPr>
                <w:sz w:val="20"/>
                <w:szCs w:val="20"/>
                <w:color w:val="auto"/>
              </w:rPr>
            </w:pPr>
            <w:r>
              <w:rPr>
                <w:rFonts w:ascii="Times New Roman" w:cs="Times New Roman" w:eastAsia="Times New Roman" w:hAnsi="Times New Roman"/>
                <w:sz w:val="12"/>
                <w:szCs w:val="12"/>
                <w:b w:val="1"/>
                <w:bCs w:val="1"/>
                <w:color w:val="auto"/>
                <w:w w:val="97"/>
              </w:rPr>
              <w:t>Revolving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84"/>
              <w:spacing w:after="0" w:line="135" w:lineRule="exact"/>
              <w:rPr>
                <w:sz w:val="20"/>
                <w:szCs w:val="20"/>
                <w:color w:val="auto"/>
              </w:rPr>
            </w:pPr>
            <w:r>
              <w:rPr>
                <w:rFonts w:ascii="Times New Roman" w:cs="Times New Roman" w:eastAsia="Times New Roman" w:hAnsi="Times New Roman"/>
                <w:sz w:val="12"/>
                <w:szCs w:val="12"/>
                <w:b w:val="1"/>
                <w:bCs w:val="1"/>
                <w:color w:val="auto"/>
              </w:rPr>
              <w:t>Loans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5"/>
            <w:vMerge w:val="restart"/>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w w:val="97"/>
              </w:rPr>
              <w:t>Term Loans by Origination Year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Converted to</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5"/>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Revolving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64"/>
              <w:spacing w:after="0"/>
              <w:rPr>
                <w:sz w:val="20"/>
                <w:szCs w:val="20"/>
                <w:color w:val="auto"/>
              </w:rPr>
            </w:pPr>
            <w:r>
              <w:rPr>
                <w:rFonts w:ascii="Times New Roman" w:cs="Times New Roman" w:eastAsia="Times New Roman" w:hAnsi="Times New Roman"/>
                <w:sz w:val="12"/>
                <w:szCs w:val="12"/>
                <w:b w:val="1"/>
                <w:bCs w:val="1"/>
                <w:color w:val="auto"/>
                <w:w w:val="90"/>
              </w:rPr>
              <w:t>Term</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180" w:type="dxa"/>
            <w:vAlign w:val="bottom"/>
          </w:tcPr>
          <w:p>
            <w:pPr>
              <w:spacing w:after="0"/>
              <w:rPr>
                <w:sz w:val="13"/>
                <w:szCs w:val="13"/>
                <w:color w:val="auto"/>
              </w:rPr>
            </w:pPr>
          </w:p>
        </w:tc>
        <w:tc>
          <w:tcPr>
            <w:tcW w:w="66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24"/>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44"/>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24"/>
              <w:spacing w:after="0"/>
              <w:rPr>
                <w:sz w:val="20"/>
                <w:szCs w:val="20"/>
                <w:color w:val="auto"/>
              </w:rPr>
            </w:pPr>
            <w:r>
              <w:rPr>
                <w:rFonts w:ascii="Times New Roman" w:cs="Times New Roman" w:eastAsia="Times New Roman" w:hAnsi="Times New Roman"/>
                <w:sz w:val="12"/>
                <w:szCs w:val="12"/>
                <w:b w:val="1"/>
                <w:bCs w:val="1"/>
                <w:color w:val="auto"/>
              </w:rPr>
              <w:t>2020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Prior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204"/>
              <w:spacing w:after="0"/>
              <w:rPr>
                <w:sz w:val="20"/>
                <w:szCs w:val="20"/>
                <w:color w:val="auto"/>
              </w:rPr>
            </w:pPr>
            <w:r>
              <w:rPr>
                <w:rFonts w:ascii="Times New Roman" w:cs="Times New Roman" w:eastAsia="Times New Roman" w:hAnsi="Times New Roman"/>
                <w:sz w:val="12"/>
                <w:szCs w:val="12"/>
                <w:b w:val="1"/>
                <w:bCs w:val="1"/>
                <w:color w:val="auto"/>
              </w:rPr>
              <w:t>Loans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64"/>
              <w:spacing w:after="0"/>
              <w:rPr>
                <w:sz w:val="20"/>
                <w:szCs w:val="20"/>
                <w:color w:val="auto"/>
              </w:rPr>
            </w:pPr>
            <w:r>
              <w:rPr>
                <w:rFonts w:ascii="Times New Roman" w:cs="Times New Roman" w:eastAsia="Times New Roman" w:hAnsi="Times New Roman"/>
                <w:sz w:val="12"/>
                <w:szCs w:val="12"/>
                <w:b w:val="1"/>
                <w:bCs w:val="1"/>
                <w:color w:val="auto"/>
                <w:w w:val="95"/>
              </w:rPr>
              <w:t>Loans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2"/>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Commercial and industrial:</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Pass</w:t>
            </w:r>
          </w:p>
        </w:tc>
        <w:tc>
          <w:tcPr>
            <w:tcW w:w="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2,012</w:t>
            </w:r>
          </w:p>
        </w:tc>
        <w:tc>
          <w:tcPr>
            <w:tcW w:w="4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8,129</w:t>
            </w:r>
          </w:p>
        </w:tc>
        <w:tc>
          <w:tcPr>
            <w:tcW w:w="4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7,567</w:t>
            </w:r>
          </w:p>
        </w:tc>
        <w:tc>
          <w:tcPr>
            <w:tcW w:w="4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4,441</w:t>
            </w:r>
          </w:p>
        </w:tc>
        <w:tc>
          <w:tcPr>
            <w:tcW w:w="40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2,099</w:t>
            </w:r>
          </w:p>
        </w:tc>
        <w:tc>
          <w:tcPr>
            <w:tcW w:w="380" w:type="dxa"/>
            <w:vAlign w:val="bottom"/>
            <w:gridSpan w:val="2"/>
            <w:shd w:val="clear" w:color="auto" w:fill="CFF0FC"/>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6,456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22,719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40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53,497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Criticized accrual</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Criticized nonaccrual</w:t>
            </w: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364</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commercial and industrial</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2,046</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8,489</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8,078</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4,780</w:t>
            </w:r>
          </w:p>
        </w:tc>
        <w:tc>
          <w:tcPr>
            <w:tcW w:w="400" w:type="dxa"/>
            <w:vAlign w:val="bottom"/>
            <w:gridSpan w:val="2"/>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2,287</w:t>
            </w:r>
          </w:p>
        </w:tc>
        <w:tc>
          <w:tcPr>
            <w:tcW w:w="380" w:type="dxa"/>
            <w:vAlign w:val="bottom"/>
            <w:gridSpan w:val="2"/>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24,828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400" w:type="dxa"/>
            <w:vAlign w:val="bottom"/>
            <w:gridSpan w:val="2"/>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57,897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4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4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40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380" w:type="dxa"/>
            <w:vAlign w:val="bottom"/>
            <w:gridSpan w:val="2"/>
            <w:shd w:val="clear" w:color="auto" w:fill="CFF0FC"/>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Real estate:</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Commercial:</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Pass</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1,783</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1,652</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1,331</w:t>
            </w:r>
          </w:p>
        </w:tc>
        <w:tc>
          <w:tcPr>
            <w:tcW w:w="400" w:type="dxa"/>
            <w:vAlign w:val="bottom"/>
            <w:gridSpan w:val="2"/>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2,013</w:t>
            </w:r>
          </w:p>
        </w:tc>
        <w:tc>
          <w:tcPr>
            <w:tcW w:w="380" w:type="dxa"/>
            <w:vAlign w:val="bottom"/>
            <w:gridSpan w:val="2"/>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11,278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Criticized accrual</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464</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Criticized nonaccrual</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695</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Total commercial real estate</w:t>
            </w:r>
          </w:p>
        </w:tc>
        <w:tc>
          <w:tcPr>
            <w:tcW w:w="1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696</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2,056</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2,513</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1,806</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2,672</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14,981</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444</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25,168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940" w:type="dxa"/>
            <w:vAlign w:val="bottom"/>
            <w:shd w:val="clear" w:color="auto" w:fill="CFF0FC"/>
          </w:tcPr>
          <w:p>
            <w:pPr>
              <w:ind w:left="20"/>
              <w:spacing w:after="0" w:line="121" w:lineRule="exact"/>
              <w:rPr>
                <w:sz w:val="20"/>
                <w:szCs w:val="20"/>
                <w:color w:val="auto"/>
              </w:rPr>
            </w:pPr>
            <w:r>
              <w:rPr>
                <w:rFonts w:ascii="Times New Roman" w:cs="Times New Roman" w:eastAsia="Times New Roman" w:hAnsi="Times New Roman"/>
                <w:sz w:val="12"/>
                <w:szCs w:val="12"/>
                <w:color w:val="auto"/>
              </w:rPr>
              <w:t>Residential builder and</w:t>
            </w: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developer:</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Pass</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400" w:type="dxa"/>
            <w:vAlign w:val="bottom"/>
            <w:gridSpan w:val="2"/>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380" w:type="dxa"/>
            <w:vAlign w:val="bottom"/>
            <w:gridSpan w:val="2"/>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Criticized accrual</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Criticized nonaccrual</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Total residential builder</w:t>
            </w:r>
          </w:p>
        </w:tc>
        <w:tc>
          <w:tcPr>
            <w:tcW w:w="1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24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511</w:t>
            </w:r>
          </w:p>
        </w:tc>
        <w:tc>
          <w:tcPr>
            <w:tcW w:w="24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22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22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vMerge w:val="restart"/>
            <w:shd w:val="clear" w:color="auto" w:fill="CFF0FC"/>
          </w:tcPr>
          <w:p>
            <w:pPr>
              <w:spacing w:after="0"/>
              <w:rPr>
                <w:sz w:val="11"/>
                <w:szCs w:val="11"/>
                <w:color w:val="auto"/>
              </w:rPr>
            </w:pPr>
          </w:p>
        </w:tc>
        <w:tc>
          <w:tcPr>
            <w:tcW w:w="160" w:type="dxa"/>
            <w:vAlign w:val="bottom"/>
            <w:vMerge w:val="restart"/>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22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20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1,035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940" w:type="dxa"/>
            <w:vAlign w:val="bottom"/>
            <w:tcBorders>
              <w:bottom w:val="single" w:sz="8" w:color="CFF0FC"/>
            </w:tcBorders>
            <w:shd w:val="clear" w:color="auto" w:fill="CFF0FC"/>
          </w:tcPr>
          <w:p>
            <w:pPr>
              <w:ind w:left="100"/>
              <w:spacing w:after="0" w:line="96" w:lineRule="exact"/>
              <w:rPr>
                <w:sz w:val="20"/>
                <w:szCs w:val="20"/>
                <w:color w:val="auto"/>
              </w:rPr>
            </w:pPr>
            <w:r>
              <w:rPr>
                <w:rFonts w:ascii="Times New Roman" w:cs="Times New Roman" w:eastAsia="Times New Roman" w:hAnsi="Times New Roman"/>
                <w:sz w:val="11"/>
                <w:szCs w:val="11"/>
                <w:color w:val="auto"/>
              </w:rPr>
              <w:t>and developer</w:t>
            </w: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60" w:type="dxa"/>
            <w:vAlign w:val="bottom"/>
            <w:tcBorders>
              <w:bottom w:val="single" w:sz="8" w:color="auto"/>
            </w:tcBorders>
            <w:vMerge w:val="continue"/>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20" w:type="dxa"/>
            <w:vAlign w:val="bottom"/>
            <w:tcBorders>
              <w:bottom w:val="single" w:sz="8" w:color="auto"/>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vMerge w:val="continue"/>
            <w:shd w:val="clear" w:color="auto" w:fill="CFF0FC"/>
          </w:tcPr>
          <w:p>
            <w:pPr>
              <w:spacing w:after="0"/>
              <w:rPr>
                <w:sz w:val="13"/>
                <w:szCs w:val="13"/>
                <w:color w:val="auto"/>
              </w:rPr>
            </w:pPr>
          </w:p>
        </w:tc>
        <w:tc>
          <w:tcPr>
            <w:tcW w:w="120" w:type="dxa"/>
            <w:vAlign w:val="bottom"/>
            <w:tcBorders>
              <w:bottom w:val="single" w:sz="8" w:color="auto"/>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gridSpan w:val="3"/>
          </w:tcPr>
          <w:p>
            <w:pPr>
              <w:jc w:val="right"/>
              <w:ind w:right="67"/>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3"/>
          </w:tcPr>
          <w:p>
            <w:pPr>
              <w:jc w:val="right"/>
              <w:ind w:right="47"/>
              <w:spacing w:after="0"/>
              <w:rPr>
                <w:sz w:val="20"/>
                <w:szCs w:val="20"/>
                <w:color w:val="auto"/>
              </w:rPr>
            </w:pPr>
            <w:r>
              <w:rPr>
                <w:rFonts w:ascii="Times New Roman" w:cs="Times New Roman" w:eastAsia="Times New Roman" w:hAnsi="Times New Roman"/>
                <w:sz w:val="12"/>
                <w:szCs w:val="12"/>
                <w:color w:val="auto"/>
                <w:w w:val="71"/>
              </w:rPr>
              <w:t>—</w:t>
            </w: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3"/>
          </w:tcPr>
          <w:p>
            <w:pPr>
              <w:jc w:val="right"/>
              <w:ind w:right="67"/>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Other commercial construction:</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Pass</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990</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1,231</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w:t>
            </w:r>
          </w:p>
        </w:tc>
        <w:tc>
          <w:tcPr>
            <w:tcW w:w="400" w:type="dxa"/>
            <w:vAlign w:val="bottom"/>
            <w:gridSpan w:val="2"/>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380" w:type="dxa"/>
            <w:vAlign w:val="bottom"/>
            <w:gridSpan w:val="2"/>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Criticized accrual</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567</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Criticized nonaccrual</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Total other commercial</w:t>
            </w:r>
          </w:p>
        </w:tc>
        <w:tc>
          <w:tcPr>
            <w:tcW w:w="1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4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1,065</w:t>
            </w:r>
          </w:p>
        </w:tc>
        <w:tc>
          <w:tcPr>
            <w:tcW w:w="24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1,780</w:t>
            </w:r>
          </w:p>
        </w:tc>
        <w:tc>
          <w:tcPr>
            <w:tcW w:w="22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1,060</w:t>
            </w:r>
          </w:p>
        </w:tc>
        <w:tc>
          <w:tcPr>
            <w:tcW w:w="22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885</w:t>
            </w:r>
          </w:p>
        </w:tc>
        <w:tc>
          <w:tcPr>
            <w:tcW w:w="220" w:type="dxa"/>
            <w:vAlign w:val="bottom"/>
            <w:vMerge w:val="restart"/>
            <w:shd w:val="clear" w:color="auto" w:fill="CFF0FC"/>
          </w:tcPr>
          <w:p>
            <w:pPr>
              <w:spacing w:after="0"/>
              <w:rPr>
                <w:sz w:val="11"/>
                <w:szCs w:val="11"/>
                <w:color w:val="auto"/>
              </w:rPr>
            </w:pPr>
          </w:p>
        </w:tc>
        <w:tc>
          <w:tcPr>
            <w:tcW w:w="160" w:type="dxa"/>
            <w:vAlign w:val="bottom"/>
            <w:vMerge w:val="restart"/>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1,351</w:t>
            </w:r>
          </w:p>
        </w:tc>
        <w:tc>
          <w:tcPr>
            <w:tcW w:w="22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20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6,213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940" w:type="dxa"/>
            <w:vAlign w:val="bottom"/>
            <w:tcBorders>
              <w:bottom w:val="single" w:sz="8" w:color="CFF0FC"/>
            </w:tcBorders>
            <w:shd w:val="clear" w:color="auto" w:fill="CFF0FC"/>
          </w:tcPr>
          <w:p>
            <w:pPr>
              <w:ind w:left="100"/>
              <w:spacing w:after="0" w:line="96" w:lineRule="exact"/>
              <w:rPr>
                <w:sz w:val="20"/>
                <w:szCs w:val="20"/>
                <w:color w:val="auto"/>
              </w:rPr>
            </w:pPr>
            <w:r>
              <w:rPr>
                <w:rFonts w:ascii="Times New Roman" w:cs="Times New Roman" w:eastAsia="Times New Roman" w:hAnsi="Times New Roman"/>
                <w:sz w:val="11"/>
                <w:szCs w:val="11"/>
                <w:color w:val="auto"/>
              </w:rPr>
              <w:t>construction</w:t>
            </w: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60" w:type="dxa"/>
            <w:vAlign w:val="bottom"/>
            <w:tcBorders>
              <w:bottom w:val="single" w:sz="8" w:color="auto"/>
            </w:tcBorders>
            <w:vMerge w:val="continue"/>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20" w:type="dxa"/>
            <w:vAlign w:val="bottom"/>
            <w:tcBorders>
              <w:bottom w:val="single" w:sz="8" w:color="auto"/>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vMerge w:val="continue"/>
            <w:shd w:val="clear" w:color="auto" w:fill="CFF0FC"/>
          </w:tcPr>
          <w:p>
            <w:pPr>
              <w:spacing w:after="0"/>
              <w:rPr>
                <w:sz w:val="13"/>
                <w:szCs w:val="13"/>
                <w:color w:val="auto"/>
              </w:rPr>
            </w:pPr>
          </w:p>
        </w:tc>
        <w:tc>
          <w:tcPr>
            <w:tcW w:w="120" w:type="dxa"/>
            <w:vAlign w:val="bottom"/>
            <w:tcBorders>
              <w:bottom w:val="single" w:sz="8" w:color="auto"/>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tcPr>
          <w:p>
            <w:pPr>
              <w:jc w:val="right"/>
              <w:ind w:right="67"/>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-2630805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-2630805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-2630805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-2630805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-2630805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-2630805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-2630805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-2630805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-2390775</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-2373630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-2390775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-2373630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-2390775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-2373630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-2390775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-2373630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-2390775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-2373630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-2390775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-2373630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-2390775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-2373630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-2390775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-2373630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-1739265</wp:posOffset>
            </wp:positionV>
            <wp:extent cx="768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-1722120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-1739265</wp:posOffset>
            </wp:positionV>
            <wp:extent cx="768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-1722120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-1739265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-1722120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-1739265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-1722120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-1739265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-1722120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-1739265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-1722120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-1739265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-1722120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-1739265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-1722120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-890905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-873760</wp:posOffset>
            </wp:positionV>
            <wp:extent cx="768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-890905</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-873760</wp:posOffset>
            </wp:positionV>
            <wp:extent cx="768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-890905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-873760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-890905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-873760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-890905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-873760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-890905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-873760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-890905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-873760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-890905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-873760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-153670</wp:posOffset>
            </wp:positionV>
            <wp:extent cx="768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-136525</wp:posOffset>
            </wp:positionV>
            <wp:extent cx="768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-153670</wp:posOffset>
            </wp:positionV>
            <wp:extent cx="768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-136525</wp:posOffset>
            </wp:positionV>
            <wp:extent cx="768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-153670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-136525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-153670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-136525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-153670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-136525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-153670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-136525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-153670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-136525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-153670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-136525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Company considers repayment performance a significant indicator of credit quality for its residential real estate loan and consumer loan portfolios. A summary of loans in accrual and nonaccrual status at March 31, 2024 for the various classes of the Company’s residential real estate loans and consumer loans and gross charge-offs for those types of loans for the three-month period ended March 31, 2024 by origination year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Revolving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Loans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4"/>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97"/>
              </w:rPr>
              <w:t>Term Loans by Origination Year</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Converted to</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4"/>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8"/>
              </w:rPr>
              <w:t>Term</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80" w:type="dxa"/>
            <w:vAlign w:val="bottom"/>
          </w:tcPr>
          <w:p>
            <w:pPr>
              <w:spacing w:after="0"/>
              <w:rPr>
                <w:sz w:val="12"/>
                <w:szCs w:val="12"/>
                <w:color w:val="auto"/>
              </w:rPr>
            </w:pPr>
          </w:p>
        </w:tc>
        <w:tc>
          <w:tcPr>
            <w:tcW w:w="62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Prior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Loans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8"/>
        </w:trPr>
        <w:tc>
          <w:tcPr>
            <w:tcW w:w="2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Residential:</w:t>
            </w: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Current</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478</w:t>
            </w:r>
          </w:p>
        </w:tc>
        <w:tc>
          <w:tcPr>
            <w:tcW w:w="44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1,499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4,667</w:t>
            </w:r>
          </w:p>
        </w:tc>
        <w:tc>
          <w:tcPr>
            <w:tcW w:w="4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3,717</w:t>
            </w:r>
          </w:p>
        </w:tc>
        <w:tc>
          <w:tcPr>
            <w:tcW w:w="4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2,533</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8,131</w:t>
            </w:r>
          </w:p>
        </w:tc>
        <w:tc>
          <w:tcPr>
            <w:tcW w:w="3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21,118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30-89 days past due</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60" w:type="dxa"/>
            <w:vAlign w:val="bottom"/>
            <w:shd w:val="clear" w:color="auto" w:fill="CFF0FC"/>
          </w:tcPr>
          <w:p>
            <w:pPr>
              <w:ind w:left="160"/>
              <w:spacing w:after="0" w:line="125" w:lineRule="exact"/>
              <w:rPr>
                <w:sz w:val="20"/>
                <w:szCs w:val="20"/>
                <w:color w:val="auto"/>
              </w:rPr>
            </w:pPr>
            <w:r>
              <w:rPr>
                <w:rFonts w:ascii="Times New Roman" w:cs="Times New Roman" w:eastAsia="Times New Roman" w:hAnsi="Times New Roman"/>
                <w:sz w:val="11"/>
                <w:szCs w:val="11"/>
                <w:color w:val="auto"/>
              </w:rPr>
              <w:t>Accruing loans past due</w:t>
            </w: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90 days or more</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Nonaccrual</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Total residential</w:t>
            </w: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478</w:t>
            </w:r>
          </w:p>
        </w:tc>
        <w:tc>
          <w:tcPr>
            <w:tcW w:w="2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1,508</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4,810</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3,808</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2,580</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8,914</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2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22,192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charge-offs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Residential - limited documentation:</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Current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801</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30-89 days past due</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6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Accruing loans past due</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90 days or more</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Nonaccrual</w:t>
            </w: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6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Total residential - limited</w:t>
            </w:r>
          </w:p>
        </w:tc>
        <w:tc>
          <w:tcPr>
            <w:tcW w:w="1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884</w:t>
            </w:r>
          </w:p>
        </w:tc>
        <w:tc>
          <w:tcPr>
            <w:tcW w:w="3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tcPr>
          <w:p>
            <w:pPr>
              <w:ind w:left="100"/>
              <w:spacing w:after="0" w:line="89" w:lineRule="exact"/>
              <w:rPr>
                <w:sz w:val="20"/>
                <w:szCs w:val="20"/>
                <w:color w:val="auto"/>
              </w:rPr>
            </w:pPr>
            <w:r>
              <w:rPr>
                <w:rFonts w:ascii="Times New Roman" w:cs="Times New Roman" w:eastAsia="Times New Roman" w:hAnsi="Times New Roman"/>
                <w:sz w:val="10"/>
                <w:szCs w:val="10"/>
                <w:color w:val="auto"/>
              </w:rPr>
              <w:t>documentation</w:t>
            </w:r>
          </w:p>
        </w:tc>
        <w:tc>
          <w:tcPr>
            <w:tcW w:w="1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Gross charge-offs</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6"/>
        </w:trPr>
        <w:tc>
          <w:tcPr>
            <w:tcW w:w="2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Consumer:</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Home equity lines and loans:</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Current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4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1,356</w:t>
            </w:r>
          </w:p>
        </w:tc>
        <w:tc>
          <w:tcPr>
            <w:tcW w:w="4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30-89 days past due</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6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Accruing loans past due</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90 days or more</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Nonaccrual</w:t>
            </w: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home equity lines and loans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4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1,468</w:t>
            </w:r>
          </w:p>
        </w:tc>
        <w:tc>
          <w:tcPr>
            <w:tcW w:w="4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Gross charge-offs</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60" w:type="dxa"/>
            <w:vAlign w:val="bottom"/>
            <w:tcBorders>
              <w:top w:val="single" w:sz="8" w:color="CFF0FC"/>
            </w:tcBorders>
          </w:tcPr>
          <w:p>
            <w:pPr>
              <w:ind w:left="20"/>
              <w:spacing w:after="0" w:line="125" w:lineRule="exact"/>
              <w:rPr>
                <w:sz w:val="20"/>
                <w:szCs w:val="20"/>
                <w:color w:val="auto"/>
              </w:rPr>
            </w:pPr>
            <w:r>
              <w:rPr>
                <w:rFonts w:ascii="Times New Roman" w:cs="Times New Roman" w:eastAsia="Times New Roman" w:hAnsi="Times New Roman"/>
                <w:sz w:val="11"/>
                <w:szCs w:val="11"/>
                <w:color w:val="auto"/>
              </w:rPr>
              <w:t>Recreational finance:</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Current</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1,028</w:t>
            </w:r>
          </w:p>
        </w:tc>
        <w:tc>
          <w:tcPr>
            <w:tcW w:w="44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2,531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2,252</w:t>
            </w:r>
          </w:p>
        </w:tc>
        <w:tc>
          <w:tcPr>
            <w:tcW w:w="4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1,790</w:t>
            </w:r>
          </w:p>
        </w:tc>
        <w:tc>
          <w:tcPr>
            <w:tcW w:w="4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1,233</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1,719</w:t>
            </w:r>
          </w:p>
        </w:tc>
        <w:tc>
          <w:tcPr>
            <w:tcW w:w="3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10,553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30-89 days past due</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60" w:type="dxa"/>
            <w:vAlign w:val="bottom"/>
            <w:shd w:val="clear" w:color="auto" w:fill="CFF0FC"/>
          </w:tcPr>
          <w:p>
            <w:pPr>
              <w:ind w:left="160"/>
              <w:spacing w:after="0" w:line="125" w:lineRule="exact"/>
              <w:rPr>
                <w:sz w:val="20"/>
                <w:szCs w:val="20"/>
                <w:color w:val="auto"/>
              </w:rPr>
            </w:pPr>
            <w:r>
              <w:rPr>
                <w:rFonts w:ascii="Times New Roman" w:cs="Times New Roman" w:eastAsia="Times New Roman" w:hAnsi="Times New Roman"/>
                <w:sz w:val="11"/>
                <w:szCs w:val="11"/>
                <w:color w:val="auto"/>
              </w:rPr>
              <w:t>Accruing loans past due</w:t>
            </w: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90 days or more</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0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Nonaccrual</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Total recreational finance</w:t>
            </w: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1,029</w:t>
            </w:r>
          </w:p>
        </w:tc>
        <w:tc>
          <w:tcPr>
            <w:tcW w:w="2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2,546</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2,270</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1,810</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1,250</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1,749</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10,654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charge-offs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4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4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Automobile:</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Current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684</w:t>
            </w:r>
          </w:p>
        </w:tc>
        <w:tc>
          <w:tcPr>
            <w:tcW w:w="4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1,004</w:t>
            </w:r>
          </w:p>
        </w:tc>
        <w:tc>
          <w:tcPr>
            <w:tcW w:w="4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w:t>
            </w:r>
          </w:p>
        </w:tc>
        <w:tc>
          <w:tcPr>
            <w:tcW w:w="4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30-89 days past due</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6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Accruing loans past due</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90 days or more</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Nonaccrual</w:t>
            </w: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automobile</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685</w:t>
            </w:r>
          </w:p>
        </w:tc>
        <w:tc>
          <w:tcPr>
            <w:tcW w:w="4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1,017</w:t>
            </w:r>
          </w:p>
        </w:tc>
        <w:tc>
          <w:tcPr>
            <w:tcW w:w="4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956</w:t>
            </w:r>
          </w:p>
        </w:tc>
        <w:tc>
          <w:tcPr>
            <w:tcW w:w="4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Gross charge-offs</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4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4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3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60" w:type="dxa"/>
            <w:vAlign w:val="bottom"/>
            <w:tcBorders>
              <w:top w:val="single" w:sz="8" w:color="CFF0FC"/>
            </w:tcBorders>
          </w:tcPr>
          <w:p>
            <w:pPr>
              <w:ind w:left="20"/>
              <w:spacing w:after="0" w:line="125" w:lineRule="exact"/>
              <w:rPr>
                <w:sz w:val="20"/>
                <w:szCs w:val="20"/>
                <w:color w:val="auto"/>
              </w:rPr>
            </w:pPr>
            <w:r>
              <w:rPr>
                <w:rFonts w:ascii="Times New Roman" w:cs="Times New Roman" w:eastAsia="Times New Roman" w:hAnsi="Times New Roman"/>
                <w:sz w:val="11"/>
                <w:szCs w:val="11"/>
                <w:color w:val="auto"/>
              </w:rPr>
              <w:t>Other:</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Current</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44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4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4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3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3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1,378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1,982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30-89 days past due</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60" w:type="dxa"/>
            <w:vAlign w:val="bottom"/>
            <w:shd w:val="clear" w:color="auto" w:fill="CFF0FC"/>
          </w:tcPr>
          <w:p>
            <w:pPr>
              <w:ind w:left="160"/>
              <w:spacing w:after="0" w:line="125" w:lineRule="exact"/>
              <w:rPr>
                <w:sz w:val="20"/>
                <w:szCs w:val="20"/>
                <w:color w:val="auto"/>
              </w:rPr>
            </w:pPr>
            <w:r>
              <w:rPr>
                <w:rFonts w:ascii="Times New Roman" w:cs="Times New Roman" w:eastAsia="Times New Roman" w:hAnsi="Times New Roman"/>
                <w:sz w:val="11"/>
                <w:szCs w:val="11"/>
                <w:color w:val="auto"/>
              </w:rPr>
              <w:t>Accruing loans past due</w:t>
            </w: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rPr>
              <w:t>90 days or more</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Nonaccrual</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Total other</w:t>
            </w: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2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159</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1,449</w:t>
            </w:r>
          </w:p>
        </w:tc>
        <w:tc>
          <w:tcPr>
            <w:tcW w:w="2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2,064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charge-offs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4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6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Total loans and leases at</w:t>
            </w:r>
          </w:p>
        </w:tc>
        <w:tc>
          <w:tcPr>
            <w:tcW w:w="180" w:type="dxa"/>
            <w:vAlign w:val="bottom"/>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5,121</w:t>
            </w:r>
          </w:p>
        </w:tc>
        <w:tc>
          <w:tcPr>
            <w:tcW w:w="440" w:type="dxa"/>
            <w:vAlign w:val="bottom"/>
            <w:gridSpan w:val="2"/>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17,431</w:t>
            </w:r>
          </w:p>
        </w:tc>
        <w:tc>
          <w:tcPr>
            <w:tcW w:w="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20,835</w:t>
            </w:r>
          </w:p>
        </w:tc>
        <w:tc>
          <w:tcPr>
            <w:tcW w:w="420" w:type="dxa"/>
            <w:vAlign w:val="bottom"/>
            <w:gridSpan w:val="2"/>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14,385</w:t>
            </w:r>
          </w:p>
        </w:tc>
        <w:tc>
          <w:tcPr>
            <w:tcW w:w="420" w:type="dxa"/>
            <w:vAlign w:val="bottom"/>
            <w:gridSpan w:val="2"/>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10,088</w:t>
            </w:r>
          </w:p>
        </w:tc>
        <w:tc>
          <w:tcPr>
            <w:tcW w:w="380" w:type="dxa"/>
            <w:vAlign w:val="bottom"/>
            <w:gridSpan w:val="2"/>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35,581</w:t>
            </w:r>
          </w:p>
        </w:tc>
        <w:tc>
          <w:tcPr>
            <w:tcW w:w="340" w:type="dxa"/>
            <w:vAlign w:val="bottom"/>
            <w:gridSpan w:val="2"/>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29,937</w:t>
            </w:r>
          </w:p>
        </w:tc>
        <w:tc>
          <w:tcPr>
            <w:tcW w:w="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1,595</w:t>
            </w:r>
          </w:p>
        </w:tc>
        <w:tc>
          <w:tcPr>
            <w:tcW w:w="400" w:type="dxa"/>
            <w:vAlign w:val="bottom"/>
            <w:gridSpan w:val="2"/>
            <w:vMerge w:val="restart"/>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134,973</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060" w:type="dxa"/>
            <w:vAlign w:val="bottom"/>
            <w:shd w:val="clear" w:color="auto" w:fill="CFF0FC"/>
          </w:tcPr>
          <w:p>
            <w:pPr>
              <w:ind w:left="100"/>
              <w:spacing w:after="0" w:line="91" w:lineRule="exact"/>
              <w:rPr>
                <w:sz w:val="20"/>
                <w:szCs w:val="20"/>
                <w:color w:val="auto"/>
              </w:rPr>
            </w:pPr>
            <w:r>
              <w:rPr>
                <w:rFonts w:ascii="Times New Roman" w:cs="Times New Roman" w:eastAsia="Times New Roman" w:hAnsi="Times New Roman"/>
                <w:sz w:val="10"/>
                <w:szCs w:val="10"/>
                <w:b w:val="1"/>
                <w:bCs w:val="1"/>
                <w:color w:val="auto"/>
              </w:rPr>
              <w:t>March 31, 2024</w:t>
            </w:r>
          </w:p>
        </w:tc>
        <w:tc>
          <w:tcPr>
            <w:tcW w:w="180" w:type="dxa"/>
            <w:vAlign w:val="bottom"/>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440" w:type="dxa"/>
            <w:vAlign w:val="bottom"/>
            <w:gridSpan w:val="2"/>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340" w:type="dxa"/>
            <w:vAlign w:val="bottom"/>
            <w:gridSpan w:val="2"/>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420" w:type="dxa"/>
            <w:vAlign w:val="bottom"/>
            <w:gridSpan w:val="2"/>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420" w:type="dxa"/>
            <w:vAlign w:val="bottom"/>
            <w:gridSpan w:val="2"/>
            <w:vMerge w:val="continue"/>
            <w:shd w:val="clear" w:color="auto" w:fill="CFF0FC"/>
          </w:tcPr>
          <w:p>
            <w:pPr>
              <w:spacing w:after="0"/>
              <w:rPr>
                <w:sz w:val="13"/>
                <w:szCs w:val="13"/>
                <w:color w:val="auto"/>
              </w:rPr>
            </w:pPr>
          </w:p>
        </w:tc>
        <w:tc>
          <w:tcPr>
            <w:tcW w:w="600" w:type="dxa"/>
            <w:vAlign w:val="bottom"/>
            <w:vMerge w:val="continue"/>
            <w:shd w:val="clear" w:color="auto" w:fill="CFF0FC"/>
          </w:tcPr>
          <w:p>
            <w:pPr>
              <w:spacing w:after="0"/>
              <w:rPr>
                <w:sz w:val="13"/>
                <w:szCs w:val="13"/>
                <w:color w:val="auto"/>
              </w:rPr>
            </w:pPr>
          </w:p>
        </w:tc>
        <w:tc>
          <w:tcPr>
            <w:tcW w:w="380" w:type="dxa"/>
            <w:vAlign w:val="bottom"/>
            <w:gridSpan w:val="2"/>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340" w:type="dxa"/>
            <w:vAlign w:val="bottom"/>
            <w:gridSpan w:val="2"/>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280" w:type="dxa"/>
            <w:vAlign w:val="bottom"/>
            <w:gridSpan w:val="2"/>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400" w:type="dxa"/>
            <w:vAlign w:val="bottom"/>
            <w:gridSpan w:val="2"/>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60" w:type="dxa"/>
            <w:vAlign w:val="bottom"/>
            <w:tcBorders>
              <w:top w:val="single" w:sz="8" w:color="CFF0FC"/>
            </w:tcBorders>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Total gross charge-offs for</w:t>
            </w: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6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rPr>
              <w:t>the three months ended</w:t>
            </w:r>
          </w:p>
        </w:tc>
        <w:tc>
          <w:tcPr>
            <w:tcW w:w="1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4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42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38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3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60" w:type="dxa"/>
            <w:vAlign w:val="bottom"/>
          </w:tcPr>
          <w:p>
            <w:pPr>
              <w:ind w:left="100"/>
              <w:spacing w:after="0" w:line="91" w:lineRule="exact"/>
              <w:rPr>
                <w:sz w:val="20"/>
                <w:szCs w:val="20"/>
                <w:color w:val="auto"/>
              </w:rPr>
            </w:pPr>
            <w:r>
              <w:rPr>
                <w:rFonts w:ascii="Times New Roman" w:cs="Times New Roman" w:eastAsia="Times New Roman" w:hAnsi="Times New Roman"/>
                <w:sz w:val="10"/>
                <w:szCs w:val="10"/>
                <w:b w:val="1"/>
                <w:bCs w:val="1"/>
                <w:color w:val="auto"/>
              </w:rPr>
              <w:t>March 31, 2024</w:t>
            </w:r>
          </w:p>
        </w:tc>
        <w:tc>
          <w:tcPr>
            <w:tcW w:w="1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-4697095</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-4679950</wp:posOffset>
            </wp:positionV>
            <wp:extent cx="768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-4697095</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-4679950</wp:posOffset>
            </wp:positionV>
            <wp:extent cx="768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-4697095</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-4679950</wp:posOffset>
            </wp:positionV>
            <wp:extent cx="774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-4697095</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-4679950</wp:posOffset>
            </wp:positionV>
            <wp:extent cx="774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-4697095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-4679950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-4697095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-4679950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-4697095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-4679950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-4697095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-4679950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-4697095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-4679950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-4002405</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-4002405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-4002405</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-4002405</wp:posOffset>
            </wp:positionV>
            <wp:extent cx="774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-4002405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-4002405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-4002405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-4002405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-4002405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-3728085</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-3710940</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-3728085</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-3710940</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-3728085</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-3710940</wp:posOffset>
            </wp:positionV>
            <wp:extent cx="774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-3728085</wp:posOffset>
            </wp:positionV>
            <wp:extent cx="774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-3710940</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-3728085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-3710940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-3728085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-3710940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-3728085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-3710940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-3728085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-3710940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-3728085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-3710940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-3059430</wp:posOffset>
            </wp:positionV>
            <wp:extent cx="768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-3059430</wp:posOffset>
            </wp:positionV>
            <wp:extent cx="768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-3059430</wp:posOffset>
            </wp:positionV>
            <wp:extent cx="7747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-3059430</wp:posOffset>
            </wp:positionV>
            <wp:extent cx="774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-3059430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-3059430</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-3059430</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-3059430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-2836545</wp:posOffset>
            </wp:positionV>
            <wp:extent cx="768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-2819400</wp:posOffset>
            </wp:positionV>
            <wp:extent cx="768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-2836545</wp:posOffset>
            </wp:positionV>
            <wp:extent cx="768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-2819400</wp:posOffset>
            </wp:positionV>
            <wp:extent cx="7683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-2836545</wp:posOffset>
            </wp:positionV>
            <wp:extent cx="774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-2819400</wp:posOffset>
            </wp:positionV>
            <wp:extent cx="7747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-2836545</wp:posOffset>
            </wp:positionV>
            <wp:extent cx="774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-2819400</wp:posOffset>
            </wp:positionV>
            <wp:extent cx="7747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-2836545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-2819400</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-2836545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-2819400</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-2836545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-2819400</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-2836545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-2819400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-2159635</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-2142490</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-2159635</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-2142490</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-2159635</wp:posOffset>
            </wp:positionV>
            <wp:extent cx="77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-2142490</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-2159635</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-2142490</wp:posOffset>
            </wp:positionV>
            <wp:extent cx="774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-2159635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-2142490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-2159635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-2142490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-2159635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-2142490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-2159635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-2142490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-1464945</wp:posOffset>
            </wp:positionV>
            <wp:extent cx="768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-1464945</wp:posOffset>
            </wp:positionV>
            <wp:extent cx="76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-1464945</wp:posOffset>
            </wp:positionV>
            <wp:extent cx="774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-1464945</wp:posOffset>
            </wp:positionV>
            <wp:extent cx="774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-1464945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-1464945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-1464945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-1464945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-1242695</wp:posOffset>
            </wp:positionV>
            <wp:extent cx="768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-1224915</wp:posOffset>
            </wp:positionV>
            <wp:extent cx="7683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-1242695</wp:posOffset>
            </wp:positionV>
            <wp:extent cx="768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-1224915</wp:posOffset>
            </wp:positionV>
            <wp:extent cx="768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-1242695</wp:posOffset>
            </wp:positionV>
            <wp:extent cx="7747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-1224915</wp:posOffset>
            </wp:positionV>
            <wp:extent cx="774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-1242695</wp:posOffset>
            </wp:positionV>
            <wp:extent cx="774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-1224915</wp:posOffset>
            </wp:positionV>
            <wp:extent cx="774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-1242695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-1224915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-1242695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-1224915</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-1242695</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-1224915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-1242695</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-1224915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-565150</wp:posOffset>
            </wp:positionV>
            <wp:extent cx="768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-548005</wp:posOffset>
            </wp:positionV>
            <wp:extent cx="768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-565150</wp:posOffset>
            </wp:positionV>
            <wp:extent cx="768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-548005</wp:posOffset>
            </wp:positionV>
            <wp:extent cx="768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-565150</wp:posOffset>
            </wp:positionV>
            <wp:extent cx="7747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-548005</wp:posOffset>
            </wp:positionV>
            <wp:extent cx="774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-565150</wp:posOffset>
            </wp:positionV>
            <wp:extent cx="774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-548005</wp:posOffset>
            </wp:positionV>
            <wp:extent cx="7747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-565150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-548005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-565150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-548005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-565150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-548005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-565150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-548005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-273685</wp:posOffset>
            </wp:positionV>
            <wp:extent cx="7683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-256540</wp:posOffset>
            </wp:positionV>
            <wp:extent cx="768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-273685</wp:posOffset>
            </wp:positionV>
            <wp:extent cx="7683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-256540</wp:posOffset>
            </wp:positionV>
            <wp:extent cx="768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-273685</wp:posOffset>
            </wp:positionV>
            <wp:extent cx="7747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-256540</wp:posOffset>
            </wp:positionV>
            <wp:extent cx="774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-273685</wp:posOffset>
            </wp:positionV>
            <wp:extent cx="7747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-256540</wp:posOffset>
            </wp:positionV>
            <wp:extent cx="774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-273685</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-256540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-273685</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-256540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-273685</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-256540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-273685</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-256540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The following table summarizes the loan grades applied at December 31, 2023 to the various classes of the Company’s commercial and industrial loans and commercial real estate loans by origination year.</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82"/>
              <w:spacing w:after="0"/>
              <w:rPr>
                <w:sz w:val="20"/>
                <w:szCs w:val="20"/>
                <w:color w:val="auto"/>
              </w:rPr>
            </w:pPr>
            <w:r>
              <w:rPr>
                <w:rFonts w:ascii="Times New Roman" w:cs="Times New Roman" w:eastAsia="Times New Roman" w:hAnsi="Times New Roman"/>
                <w:sz w:val="12"/>
                <w:szCs w:val="12"/>
                <w:b w:val="1"/>
                <w:bCs w:val="1"/>
                <w:color w:val="auto"/>
                <w:w w:val="97"/>
              </w:rPr>
              <w:t>Revolving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2"/>
                <w:szCs w:val="12"/>
                <w:b w:val="1"/>
                <w:bCs w:val="1"/>
                <w:color w:val="auto"/>
                <w:w w:val="95"/>
              </w:rPr>
              <w:t>Loans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gridSpan w:val="4"/>
            <w:vMerge w:val="restart"/>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w w:val="95"/>
              </w:rPr>
              <w:t>Term Loans by Origination Year</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Converted to</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4"/>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Revolving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0"/>
              </w:rPr>
              <w:t>Term</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180" w:type="dxa"/>
            <w:vAlign w:val="bottom"/>
          </w:tcPr>
          <w:p>
            <w:pPr>
              <w:spacing w:after="0"/>
              <w:rPr>
                <w:sz w:val="13"/>
                <w:szCs w:val="13"/>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2019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Prior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Loans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5"/>
              </w:rPr>
              <w:t>Loans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2"/>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Commercial and industrial:</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Pass</w:t>
            </w:r>
          </w:p>
        </w:tc>
        <w:tc>
          <w:tcPr>
            <w:tcW w:w="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8,689</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8,087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4,800</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2,248</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2,169</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4,843</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22,345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53,251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Criticized accrual</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Criticized nonaccrual</w:t>
            </w: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2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commercial and industrial</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9,010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8,434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24,048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Real estate:</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Commercial:</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Pass</w:t>
            </w:r>
          </w:p>
        </w:tc>
        <w:tc>
          <w:tcPr>
            <w:tcW w:w="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2,048</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1,742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1,367</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3,059</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8,491</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19,158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Criticized accrual</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891</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Criticized nonaccrual</w:t>
            </w: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2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611</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commercial real estate</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11,340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940" w:type="dxa"/>
            <w:vAlign w:val="bottom"/>
            <w:shd w:val="clear" w:color="auto" w:fill="CFF0FC"/>
          </w:tcPr>
          <w:p>
            <w:pPr>
              <w:ind w:left="20"/>
              <w:spacing w:after="0" w:line="121" w:lineRule="exact"/>
              <w:rPr>
                <w:sz w:val="20"/>
                <w:szCs w:val="20"/>
                <w:color w:val="auto"/>
              </w:rPr>
            </w:pPr>
            <w:r>
              <w:rPr>
                <w:rFonts w:ascii="Times New Roman" w:cs="Times New Roman" w:eastAsia="Times New Roman" w:hAnsi="Times New Roman"/>
                <w:sz w:val="12"/>
                <w:szCs w:val="12"/>
                <w:color w:val="auto"/>
              </w:rPr>
              <w:t>Residential builder and</w:t>
            </w:r>
          </w:p>
        </w:tc>
        <w:tc>
          <w:tcPr>
            <w:tcW w:w="1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developer:</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Pass</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Criticized accrual</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Criticized nonaccrual</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Total residential builder</w:t>
            </w:r>
          </w:p>
        </w:tc>
        <w:tc>
          <w:tcPr>
            <w:tcW w:w="1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531</w:t>
            </w:r>
          </w:p>
        </w:tc>
        <w:tc>
          <w:tcPr>
            <w:tcW w:w="4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4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4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4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3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1,073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940" w:type="dxa"/>
            <w:vAlign w:val="bottom"/>
            <w:shd w:val="clear" w:color="auto" w:fill="CFF0FC"/>
          </w:tcPr>
          <w:p>
            <w:pPr>
              <w:ind w:left="100"/>
              <w:spacing w:after="0" w:line="96" w:lineRule="exact"/>
              <w:rPr>
                <w:sz w:val="20"/>
                <w:szCs w:val="20"/>
                <w:color w:val="auto"/>
              </w:rPr>
            </w:pPr>
            <w:r>
              <w:rPr>
                <w:rFonts w:ascii="Times New Roman" w:cs="Times New Roman" w:eastAsia="Times New Roman" w:hAnsi="Times New Roman"/>
                <w:sz w:val="11"/>
                <w:szCs w:val="11"/>
                <w:color w:val="auto"/>
              </w:rPr>
              <w:t>and developer</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2"/>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2"/>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20" w:type="dxa"/>
            <w:vAlign w:val="bottom"/>
            <w:gridSpan w:val="2"/>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00" w:type="dxa"/>
            <w:vAlign w:val="bottom"/>
            <w:gridSpan w:val="2"/>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400" w:type="dxa"/>
            <w:vAlign w:val="bottom"/>
            <w:gridSpan w:val="2"/>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320" w:type="dxa"/>
            <w:vAlign w:val="bottom"/>
            <w:gridSpan w:val="2"/>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320" w:type="dxa"/>
            <w:vAlign w:val="bottom"/>
            <w:gridSpan w:val="2"/>
            <w:vMerge w:val="continue"/>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420" w:type="dxa"/>
            <w:vAlign w:val="bottom"/>
            <w:gridSpan w:val="2"/>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2"/>
                <w:szCs w:val="12"/>
                <w:color w:val="auto"/>
              </w:rPr>
              <w:t>Other commercial construction:</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Pass</w:t>
            </w:r>
          </w:p>
        </w:tc>
        <w:tc>
          <w:tcPr>
            <w:tcW w:w="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813</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1,366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651</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373</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646</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187</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Criticized accrual</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Criticized nonaccrual</w:t>
            </w: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other commercial</w:t>
            </w:r>
          </w:p>
        </w:tc>
        <w:tc>
          <w:tcPr>
            <w:tcW w:w="180" w:type="dxa"/>
            <w:vAlign w:val="bottom"/>
            <w:vMerge w:val="restart"/>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866</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1,771</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1,051</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1,110</w:t>
            </w:r>
          </w:p>
        </w:tc>
        <w:tc>
          <w:tcPr>
            <w:tcW w:w="4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4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562</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6,653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940" w:type="dxa"/>
            <w:vAlign w:val="bottom"/>
          </w:tcPr>
          <w:p>
            <w:pPr>
              <w:ind w:left="100"/>
              <w:spacing w:after="0" w:line="96" w:lineRule="exact"/>
              <w:rPr>
                <w:sz w:val="20"/>
                <w:szCs w:val="20"/>
                <w:color w:val="auto"/>
              </w:rPr>
            </w:pPr>
            <w:r>
              <w:rPr>
                <w:rFonts w:ascii="Times New Roman" w:cs="Times New Roman" w:eastAsia="Times New Roman" w:hAnsi="Times New Roman"/>
                <w:sz w:val="11"/>
                <w:szCs w:val="11"/>
                <w:color w:val="auto"/>
              </w:rPr>
              <w:t>construction</w:t>
            </w:r>
          </w:p>
        </w:tc>
        <w:tc>
          <w:tcPr>
            <w:tcW w:w="1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-2091055</wp:posOffset>
            </wp:positionV>
            <wp:extent cx="7747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-2091055</wp:posOffset>
            </wp:positionV>
            <wp:extent cx="7683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-2091055</wp:posOffset>
            </wp:positionV>
            <wp:extent cx="7747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-2091055</wp:posOffset>
            </wp:positionV>
            <wp:extent cx="7747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-2091055</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-2091055</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-2091055</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-2091055</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-1439545</wp:posOffset>
            </wp:positionV>
            <wp:extent cx="774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-1439545</wp:posOffset>
            </wp:positionV>
            <wp:extent cx="76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-1439545</wp:posOffset>
            </wp:positionV>
            <wp:extent cx="774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-1439545</wp:posOffset>
            </wp:positionV>
            <wp:extent cx="774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-1439545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-1439545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-1439545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-1439545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-633730</wp:posOffset>
            </wp:positionV>
            <wp:extent cx="774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-616585</wp:posOffset>
            </wp:positionV>
            <wp:extent cx="7747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-633730</wp:posOffset>
            </wp:positionV>
            <wp:extent cx="768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-616585</wp:posOffset>
            </wp:positionV>
            <wp:extent cx="768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-633730</wp:posOffset>
            </wp:positionV>
            <wp:extent cx="774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-616585</wp:posOffset>
            </wp:positionV>
            <wp:extent cx="774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-633730</wp:posOffset>
            </wp:positionV>
            <wp:extent cx="774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-616585</wp:posOffset>
            </wp:positionV>
            <wp:extent cx="774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-633730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-616585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-633730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-616585</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-633730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-616585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-633730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-616585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-196215</wp:posOffset>
            </wp:positionV>
            <wp:extent cx="7747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-196215</wp:posOffset>
            </wp:positionV>
            <wp:extent cx="768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-196215</wp:posOffset>
            </wp:positionV>
            <wp:extent cx="774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-196215</wp:posOffset>
            </wp:positionV>
            <wp:extent cx="7747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-196215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-196215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-196215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-196215</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A summary of loans in accrual and nonaccrual status at December 31, 2023 for the various classes of the Company’s residential real estate loans and consumer loans by origination year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82"/>
              <w:spacing w:after="0"/>
              <w:rPr>
                <w:sz w:val="20"/>
                <w:szCs w:val="20"/>
                <w:color w:val="auto"/>
              </w:rPr>
            </w:pPr>
            <w:r>
              <w:rPr>
                <w:rFonts w:ascii="Times New Roman" w:cs="Times New Roman" w:eastAsia="Times New Roman" w:hAnsi="Times New Roman"/>
                <w:sz w:val="12"/>
                <w:szCs w:val="12"/>
                <w:b w:val="1"/>
                <w:bCs w:val="1"/>
                <w:color w:val="auto"/>
                <w:w w:val="97"/>
              </w:rPr>
              <w:t>Revolving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2"/>
                <w:szCs w:val="12"/>
                <w:b w:val="1"/>
                <w:bCs w:val="1"/>
                <w:color w:val="auto"/>
                <w:w w:val="95"/>
              </w:rPr>
              <w:t>Loans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gridSpan w:val="4"/>
            <w:vMerge w:val="restart"/>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w w:val="95"/>
              </w:rPr>
              <w:t>Term Loans by Origination Year</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Converted to</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4"/>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Revolving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0"/>
              </w:rPr>
              <w:t>Term</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180" w:type="dxa"/>
            <w:vAlign w:val="bottom"/>
          </w:tcPr>
          <w:p>
            <w:pPr>
              <w:spacing w:after="0"/>
              <w:rPr>
                <w:sz w:val="13"/>
                <w:szCs w:val="13"/>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2020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2019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Prior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Loans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5"/>
              </w:rPr>
              <w:t>Loans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2"/>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Residential:</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Current</w:t>
            </w:r>
          </w:p>
        </w:tc>
        <w:tc>
          <w:tcPr>
            <w:tcW w:w="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1,726</w:t>
            </w:r>
          </w:p>
        </w:tc>
        <w:tc>
          <w:tcPr>
            <w:tcW w:w="4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4,709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3,732</w:t>
            </w:r>
          </w:p>
        </w:tc>
        <w:tc>
          <w:tcPr>
            <w:tcW w:w="4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2,543</w:t>
            </w:r>
          </w:p>
        </w:tc>
        <w:tc>
          <w:tcPr>
            <w:tcW w:w="400" w:type="dxa"/>
            <w:vAlign w:val="bottom"/>
            <w:gridSpan w:val="2"/>
            <w:shd w:val="clear" w:color="auto" w:fill="CFF0FC"/>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1,215</w:t>
            </w:r>
          </w:p>
        </w:tc>
        <w:tc>
          <w:tcPr>
            <w:tcW w:w="4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7,060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21,080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30-89 days past due</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Accruing loans past due</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90 days or more</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Nonaccrual</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Total residential</w:t>
            </w:r>
          </w:p>
        </w:tc>
        <w:tc>
          <w:tcPr>
            <w:tcW w:w="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1,746</w:t>
            </w:r>
          </w:p>
        </w:tc>
        <w:tc>
          <w:tcPr>
            <w:tcW w:w="4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4,876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3,858</w:t>
            </w:r>
          </w:p>
        </w:tc>
        <w:tc>
          <w:tcPr>
            <w:tcW w:w="4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2,615</w:t>
            </w:r>
          </w:p>
        </w:tc>
        <w:tc>
          <w:tcPr>
            <w:tcW w:w="400" w:type="dxa"/>
            <w:vAlign w:val="bottom"/>
            <w:gridSpan w:val="2"/>
            <w:shd w:val="clear" w:color="auto" w:fill="CFF0FC"/>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4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7,901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22,353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940" w:type="dxa"/>
            <w:vAlign w:val="bottom"/>
            <w:tcBorders>
              <w:top w:val="single" w:sz="8" w:color="CFF0FC"/>
            </w:tcBorders>
          </w:tcPr>
          <w:p>
            <w:pPr>
              <w:ind w:left="20"/>
              <w:spacing w:after="0" w:line="119" w:lineRule="exact"/>
              <w:rPr>
                <w:sz w:val="20"/>
                <w:szCs w:val="20"/>
                <w:color w:val="auto"/>
              </w:rPr>
            </w:pPr>
            <w:r>
              <w:rPr>
                <w:rFonts w:ascii="Times New Roman" w:cs="Times New Roman" w:eastAsia="Times New Roman" w:hAnsi="Times New Roman"/>
                <w:sz w:val="12"/>
                <w:szCs w:val="12"/>
                <w:b w:val="1"/>
                <w:bCs w:val="1"/>
                <w:color w:val="auto"/>
              </w:rPr>
              <w:t>Residential - limited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documentation:</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Current</w:t>
            </w:r>
          </w:p>
        </w:tc>
        <w:tc>
          <w:tcPr>
            <w:tcW w:w="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shd w:val="clear" w:color="auto" w:fill="CFF0FC"/>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30-89 days past due</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Accruing loans past due</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90 days or more</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1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Nonaccrual</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940" w:type="dxa"/>
            <w:vAlign w:val="bottom"/>
            <w:shd w:val="clear" w:color="auto" w:fill="CFF0FC"/>
          </w:tcPr>
          <w:p>
            <w:pPr>
              <w:ind w:left="20"/>
              <w:spacing w:after="0" w:line="134" w:lineRule="exact"/>
              <w:rPr>
                <w:sz w:val="20"/>
                <w:szCs w:val="20"/>
                <w:color w:val="auto"/>
              </w:rPr>
            </w:pPr>
            <w:r>
              <w:rPr>
                <w:rFonts w:ascii="Times New Roman" w:cs="Times New Roman" w:eastAsia="Times New Roman" w:hAnsi="Times New Roman"/>
                <w:sz w:val="12"/>
                <w:szCs w:val="12"/>
                <w:color w:val="auto"/>
              </w:rPr>
              <w:t>Total residential - limited</w:t>
            </w:r>
          </w:p>
        </w:tc>
        <w:tc>
          <w:tcPr>
            <w:tcW w:w="1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vMerge w:val="restart"/>
            <w:shd w:val="clear" w:color="auto" w:fill="CFF0FC"/>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911</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911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940" w:type="dxa"/>
            <w:vAlign w:val="bottom"/>
            <w:shd w:val="clear" w:color="auto" w:fill="CFF0FC"/>
          </w:tcPr>
          <w:p>
            <w:pPr>
              <w:ind w:left="100"/>
              <w:spacing w:after="0" w:line="96" w:lineRule="exact"/>
              <w:rPr>
                <w:sz w:val="20"/>
                <w:szCs w:val="20"/>
                <w:color w:val="auto"/>
              </w:rPr>
            </w:pPr>
            <w:r>
              <w:rPr>
                <w:rFonts w:ascii="Times New Roman" w:cs="Times New Roman" w:eastAsia="Times New Roman" w:hAnsi="Times New Roman"/>
                <w:sz w:val="11"/>
                <w:szCs w:val="11"/>
                <w:color w:val="auto"/>
              </w:rPr>
              <w:t>documentation</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2"/>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2"/>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20" w:type="dxa"/>
            <w:vAlign w:val="bottom"/>
            <w:gridSpan w:val="2"/>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00" w:type="dxa"/>
            <w:vAlign w:val="bottom"/>
            <w:gridSpan w:val="2"/>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400" w:type="dxa"/>
            <w:vAlign w:val="bottom"/>
            <w:gridSpan w:val="2"/>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320" w:type="dxa"/>
            <w:vAlign w:val="bottom"/>
            <w:gridSpan w:val="2"/>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320" w:type="dxa"/>
            <w:vAlign w:val="bottom"/>
            <w:gridSpan w:val="2"/>
            <w:vMerge w:val="continue"/>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420" w:type="dxa"/>
            <w:vAlign w:val="bottom"/>
            <w:gridSpan w:val="2"/>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Consumer:</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Home equity lines and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Current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00" w:type="dxa"/>
            <w:vAlign w:val="bottom"/>
            <w:gridSpan w:val="2"/>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1,391</w:t>
            </w:r>
          </w:p>
        </w:tc>
        <w:tc>
          <w:tcPr>
            <w:tcW w:w="42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30-89 days past due</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Accruing loans past due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9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90 days or more</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19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Nonaccrual</w:t>
            </w: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940" w:type="dxa"/>
            <w:vAlign w:val="bottom"/>
          </w:tcPr>
          <w:p>
            <w:pPr>
              <w:ind w:left="20"/>
              <w:spacing w:after="0" w:line="134" w:lineRule="exact"/>
              <w:rPr>
                <w:sz w:val="20"/>
                <w:szCs w:val="20"/>
                <w:color w:val="auto"/>
              </w:rPr>
            </w:pPr>
            <w:r>
              <w:rPr>
                <w:rFonts w:ascii="Times New Roman" w:cs="Times New Roman" w:eastAsia="Times New Roman" w:hAnsi="Times New Roman"/>
                <w:sz w:val="12"/>
                <w:szCs w:val="12"/>
                <w:color w:val="auto"/>
              </w:rPr>
              <w:t>Total home equity lines and</w:t>
            </w:r>
          </w:p>
        </w:tc>
        <w:tc>
          <w:tcPr>
            <w:tcW w:w="180" w:type="dxa"/>
            <w:vAlign w:val="bottom"/>
            <w:vMerge w:val="restart"/>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2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00" w:type="dxa"/>
            <w:vAlign w:val="bottom"/>
            <w:gridSpan w:val="2"/>
            <w:vMerge w:val="restart"/>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40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3,025</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1,501</w:t>
            </w:r>
          </w:p>
        </w:tc>
        <w:tc>
          <w:tcPr>
            <w:tcW w:w="42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4,649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940" w:type="dxa"/>
            <w:vAlign w:val="bottom"/>
          </w:tcPr>
          <w:p>
            <w:pPr>
              <w:ind w:left="100"/>
              <w:spacing w:after="0" w:line="96" w:lineRule="exact"/>
              <w:rPr>
                <w:sz w:val="20"/>
                <w:szCs w:val="20"/>
                <w:color w:val="auto"/>
              </w:rPr>
            </w:pPr>
            <w:r>
              <w:rPr>
                <w:rFonts w:ascii="Times New Roman" w:cs="Times New Roman" w:eastAsia="Times New Roman" w:hAnsi="Times New Roman"/>
                <w:sz w:val="11"/>
                <w:szCs w:val="11"/>
                <w:color w:val="auto"/>
              </w:rPr>
              <w:t>loans</w:t>
            </w:r>
          </w:p>
        </w:tc>
        <w:tc>
          <w:tcPr>
            <w:tcW w:w="1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Recreational finance:</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Current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2,653</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1,857</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1,286</w:t>
            </w:r>
          </w:p>
        </w:tc>
        <w:tc>
          <w:tcPr>
            <w:tcW w:w="400" w:type="dxa"/>
            <w:vAlign w:val="bottom"/>
            <w:gridSpan w:val="2"/>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781</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30-89 days past due</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Accruing loans past due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9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90 days or more</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19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Nonaccrual</w:t>
            </w: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recreational finance</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2,667</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1,884</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1,306</w:t>
            </w:r>
          </w:p>
        </w:tc>
        <w:tc>
          <w:tcPr>
            <w:tcW w:w="400" w:type="dxa"/>
            <w:vAlign w:val="bottom"/>
            <w:gridSpan w:val="2"/>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Automobile:</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Current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1,063</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1,047</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w:t>
            </w:r>
          </w:p>
        </w:tc>
        <w:tc>
          <w:tcPr>
            <w:tcW w:w="400" w:type="dxa"/>
            <w:vAlign w:val="bottom"/>
            <w:gridSpan w:val="2"/>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30-89 days past due</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Accruing loans past due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9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90 days or more</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19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Nonaccrual</w:t>
            </w: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automobile</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1,073</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1,067</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w:t>
            </w:r>
          </w:p>
        </w:tc>
        <w:tc>
          <w:tcPr>
            <w:tcW w:w="400" w:type="dxa"/>
            <w:vAlign w:val="bottom"/>
            <w:gridSpan w:val="2"/>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Current</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400" w:type="dxa"/>
            <w:vAlign w:val="bottom"/>
            <w:gridSpan w:val="2"/>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42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30-89 days past due</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Accruing loans past due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9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90 days or more</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Nonaccrual</w:t>
            </w: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other</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400" w:type="dxa"/>
            <w:vAlign w:val="bottom"/>
            <w:gridSpan w:val="2"/>
          </w:tcPr>
          <w:p>
            <w:pPr>
              <w:jc w:val="right"/>
              <w:ind w:right="47"/>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42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94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2"/>
                <w:szCs w:val="12"/>
                <w:b w:val="1"/>
                <w:bCs w:val="1"/>
                <w:color w:val="auto"/>
              </w:rPr>
              <w:t>Total loans and leases at</w:t>
            </w:r>
          </w:p>
        </w:tc>
        <w:tc>
          <w:tcPr>
            <w:tcW w:w="1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18,423</w:t>
            </w:r>
          </w:p>
        </w:tc>
        <w:tc>
          <w:tcPr>
            <w:tcW w:w="240" w:type="dxa"/>
            <w:vAlign w:val="bottom"/>
            <w:vMerge w:val="restart"/>
            <w:shd w:val="clear" w:color="auto" w:fill="CFF0FC"/>
          </w:tcPr>
          <w:p>
            <w:pPr>
              <w:spacing w:after="0"/>
              <w:rPr>
                <w:sz w:val="10"/>
                <w:szCs w:val="10"/>
                <w:color w:val="auto"/>
              </w:rPr>
            </w:pPr>
          </w:p>
        </w:tc>
        <w:tc>
          <w:tcPr>
            <w:tcW w:w="1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21,683</w:t>
            </w:r>
          </w:p>
        </w:tc>
        <w:tc>
          <w:tcPr>
            <w:tcW w:w="260" w:type="dxa"/>
            <w:vAlign w:val="bottom"/>
            <w:vMerge w:val="restart"/>
            <w:shd w:val="clear" w:color="auto" w:fill="CFF0FC"/>
          </w:tcPr>
          <w:p>
            <w:pPr>
              <w:spacing w:after="0"/>
              <w:rPr>
                <w:sz w:val="10"/>
                <w:szCs w:val="10"/>
                <w:color w:val="auto"/>
              </w:rPr>
            </w:pP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15,025</w:t>
            </w:r>
          </w:p>
        </w:tc>
        <w:tc>
          <w:tcPr>
            <w:tcW w:w="240" w:type="dxa"/>
            <w:vAlign w:val="bottom"/>
            <w:vMerge w:val="restart"/>
            <w:shd w:val="clear" w:color="auto" w:fill="CFF0FC"/>
          </w:tcPr>
          <w:p>
            <w:pPr>
              <w:spacing w:after="0"/>
              <w:rPr>
                <w:sz w:val="10"/>
                <w:szCs w:val="10"/>
                <w:color w:val="auto"/>
              </w:rPr>
            </w:pPr>
          </w:p>
        </w:tc>
        <w:tc>
          <w:tcPr>
            <w:tcW w:w="1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10,555</w:t>
            </w:r>
          </w:p>
        </w:tc>
        <w:tc>
          <w:tcPr>
            <w:tcW w:w="240" w:type="dxa"/>
            <w:vAlign w:val="bottom"/>
            <w:vMerge w:val="restart"/>
            <w:shd w:val="clear" w:color="auto" w:fill="CFF0FC"/>
          </w:tcPr>
          <w:p>
            <w:pPr>
              <w:spacing w:after="0"/>
              <w:rPr>
                <w:sz w:val="10"/>
                <w:szCs w:val="10"/>
                <w:color w:val="auto"/>
              </w:rPr>
            </w:pPr>
          </w:p>
        </w:tc>
        <w:tc>
          <w:tcPr>
            <w:tcW w:w="160" w:type="dxa"/>
            <w:vAlign w:val="bottom"/>
            <w:vMerge w:val="restart"/>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10,062</w:t>
            </w:r>
          </w:p>
        </w:tc>
        <w:tc>
          <w:tcPr>
            <w:tcW w:w="220" w:type="dxa"/>
            <w:vAlign w:val="bottom"/>
            <w:vMerge w:val="restart"/>
            <w:shd w:val="clear" w:color="auto" w:fill="CFF0FC"/>
          </w:tcPr>
          <w:p>
            <w:pPr>
              <w:spacing w:after="0"/>
              <w:rPr>
                <w:sz w:val="10"/>
                <w:szCs w:val="10"/>
                <w:color w:val="auto"/>
              </w:rPr>
            </w:pPr>
          </w:p>
        </w:tc>
        <w:tc>
          <w:tcPr>
            <w:tcW w:w="1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27,464</w:t>
            </w:r>
          </w:p>
        </w:tc>
        <w:tc>
          <w:tcPr>
            <w:tcW w:w="220" w:type="dxa"/>
            <w:vAlign w:val="bottom"/>
            <w:vMerge w:val="restart"/>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29,237</w:t>
            </w:r>
          </w:p>
        </w:tc>
        <w:tc>
          <w:tcPr>
            <w:tcW w:w="200" w:type="dxa"/>
            <w:vAlign w:val="bottom"/>
            <w:vMerge w:val="restart"/>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1,619</w:t>
            </w:r>
          </w:p>
        </w:tc>
        <w:tc>
          <w:tcPr>
            <w:tcW w:w="220" w:type="dxa"/>
            <w:vAlign w:val="bottom"/>
            <w:vMerge w:val="restart"/>
            <w:shd w:val="clear" w:color="auto" w:fill="CFF0FC"/>
          </w:tcPr>
          <w:p>
            <w:pPr>
              <w:spacing w:after="0"/>
              <w:rPr>
                <w:sz w:val="10"/>
                <w:szCs w:val="10"/>
                <w:color w:val="auto"/>
              </w:rPr>
            </w:pPr>
          </w:p>
        </w:tc>
        <w:tc>
          <w:tcPr>
            <w:tcW w:w="20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134,068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940" w:type="dxa"/>
            <w:vAlign w:val="bottom"/>
            <w:tcBorders>
              <w:bottom w:val="single" w:sz="8" w:color="CFF0FC"/>
            </w:tcBorders>
            <w:shd w:val="clear" w:color="auto" w:fill="CFF0FC"/>
          </w:tcPr>
          <w:p>
            <w:pPr>
              <w:ind w:left="100"/>
              <w:spacing w:after="0" w:line="99"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260" w:type="dxa"/>
            <w:vAlign w:val="bottom"/>
            <w:tcBorders>
              <w:bottom w:val="single" w:sz="8" w:color="CFF0FC"/>
            </w:tcBorders>
            <w:vMerge w:val="continue"/>
            <w:shd w:val="clear" w:color="auto" w:fill="CFF0FC"/>
          </w:tcPr>
          <w:p>
            <w:pPr>
              <w:spacing w:after="0"/>
              <w:rPr>
                <w:sz w:val="13"/>
                <w:szCs w:val="13"/>
                <w:color w:val="auto"/>
              </w:rPr>
            </w:pPr>
          </w:p>
        </w:tc>
        <w:tc>
          <w:tcPr>
            <w:tcW w:w="60" w:type="dxa"/>
            <w:vAlign w:val="bottom"/>
            <w:tcBorders>
              <w:bottom w:val="single" w:sz="8" w:color="auto"/>
            </w:tcBorders>
            <w:vMerge w:val="continue"/>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160" w:type="dxa"/>
            <w:vAlign w:val="bottom"/>
            <w:tcBorders>
              <w:bottom w:val="single" w:sz="8" w:color="auto"/>
            </w:tcBorders>
            <w:vMerge w:val="continue"/>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vMerge w:val="continue"/>
            <w:shd w:val="clear" w:color="auto" w:fill="CFF0FC"/>
          </w:tcPr>
          <w:p>
            <w:pPr>
              <w:spacing w:after="0"/>
              <w:rPr>
                <w:sz w:val="13"/>
                <w:szCs w:val="13"/>
                <w:color w:val="auto"/>
              </w:rPr>
            </w:pPr>
          </w:p>
        </w:tc>
        <w:tc>
          <w:tcPr>
            <w:tcW w:w="120" w:type="dxa"/>
            <w:vAlign w:val="bottom"/>
            <w:tcBorders>
              <w:bottom w:val="single" w:sz="8" w:color="auto"/>
            </w:tcBorders>
            <w:vMerge w:val="continue"/>
            <w:shd w:val="clear" w:color="auto" w:fill="CFF0FC"/>
          </w:tcPr>
          <w:p>
            <w:pPr>
              <w:spacing w:after="0"/>
              <w:rPr>
                <w:sz w:val="13"/>
                <w:szCs w:val="13"/>
                <w:color w:val="auto"/>
              </w:rPr>
            </w:pPr>
          </w:p>
        </w:tc>
        <w:tc>
          <w:tcPr>
            <w:tcW w:w="68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200" w:type="dxa"/>
            <w:vAlign w:val="bottom"/>
            <w:tcBorders>
              <w:bottom w:val="single" w:sz="8" w:color="auto"/>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-4208145</wp:posOffset>
            </wp:positionV>
            <wp:extent cx="7747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-4191000</wp:posOffset>
            </wp:positionV>
            <wp:extent cx="7747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-4208145</wp:posOffset>
            </wp:positionV>
            <wp:extent cx="7683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-4191000</wp:posOffset>
            </wp:positionV>
            <wp:extent cx="768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-4208145</wp:posOffset>
            </wp:positionV>
            <wp:extent cx="7747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-4191000</wp:posOffset>
            </wp:positionV>
            <wp:extent cx="7747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-4208145</wp:posOffset>
            </wp:positionV>
            <wp:extent cx="7747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-4191000</wp:posOffset>
            </wp:positionV>
            <wp:extent cx="7747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-4208145</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-4191000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-4208145</wp:posOffset>
            </wp:positionV>
            <wp:extent cx="685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-4191000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-4208145</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-4191000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-4208145</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-4191000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-3325495</wp:posOffset>
            </wp:positionV>
            <wp:extent cx="7747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-3308350</wp:posOffset>
            </wp:positionV>
            <wp:extent cx="7747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-3325495</wp:posOffset>
            </wp:positionV>
            <wp:extent cx="768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-3308350</wp:posOffset>
            </wp:positionV>
            <wp:extent cx="768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-3325495</wp:posOffset>
            </wp:positionV>
            <wp:extent cx="7747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-3308350</wp:posOffset>
            </wp:positionV>
            <wp:extent cx="7747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-3325495</wp:posOffset>
            </wp:positionV>
            <wp:extent cx="7747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-3308350</wp:posOffset>
            </wp:positionV>
            <wp:extent cx="7747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-3325495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-3308350</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-3325495</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-3308350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-3325495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-3308350</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-3325495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-3308350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-2596515</wp:posOffset>
            </wp:positionV>
            <wp:extent cx="7747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-2596515</wp:posOffset>
            </wp:positionV>
            <wp:extent cx="7683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-2596515</wp:posOffset>
            </wp:positionV>
            <wp:extent cx="7747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-2596515</wp:posOffset>
            </wp:positionV>
            <wp:extent cx="7747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-2596515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-2596515</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-2596515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-2596515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-1799590</wp:posOffset>
            </wp:positionV>
            <wp:extent cx="7747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-1799590</wp:posOffset>
            </wp:positionV>
            <wp:extent cx="7683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-1799590</wp:posOffset>
            </wp:positionV>
            <wp:extent cx="7747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-1799590</wp:posOffset>
            </wp:positionV>
            <wp:extent cx="7747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-1799590</wp:posOffset>
            </wp:positionV>
            <wp:extent cx="685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-1799590</wp:posOffset>
            </wp:positionV>
            <wp:extent cx="685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-1799590</wp:posOffset>
            </wp:positionV>
            <wp:extent cx="685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-1799590</wp:posOffset>
            </wp:positionV>
            <wp:extent cx="685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-1062355</wp:posOffset>
            </wp:positionV>
            <wp:extent cx="7747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-1062355</wp:posOffset>
            </wp:positionV>
            <wp:extent cx="7683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-1062355</wp:posOffset>
            </wp:positionV>
            <wp:extent cx="7747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-1062355</wp:posOffset>
            </wp:positionV>
            <wp:extent cx="774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-1062355</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-1062355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-1062355</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-1062355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-325120</wp:posOffset>
            </wp:positionV>
            <wp:extent cx="774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-325120</wp:posOffset>
            </wp:positionV>
            <wp:extent cx="768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-325120</wp:posOffset>
            </wp:positionV>
            <wp:extent cx="7747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-325120</wp:posOffset>
            </wp:positionV>
            <wp:extent cx="7747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-325120</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-325120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-325120</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-325120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-24765</wp:posOffset>
            </wp:positionV>
            <wp:extent cx="7747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-7620</wp:posOffset>
            </wp:positionV>
            <wp:extent cx="7747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-24765</wp:posOffset>
            </wp:positionV>
            <wp:extent cx="7683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-7620</wp:posOffset>
            </wp:positionV>
            <wp:extent cx="7683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-24765</wp:posOffset>
            </wp:positionV>
            <wp:extent cx="7747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-7620</wp:posOffset>
            </wp:positionV>
            <wp:extent cx="7747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-24765</wp:posOffset>
            </wp:positionV>
            <wp:extent cx="7747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7747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ind w:right="5500" w:firstLine="8"/>
        <w:spacing w:after="0" w:line="349" w:lineRule="auto"/>
        <w:tabs>
          <w:tab w:leader="none" w:pos="207" w:val="left"/>
        </w:tabs>
        <w:numPr>
          <w:ilvl w:val="0"/>
          <w:numId w:val="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Loans and leases and the allowance for credit losses, continued </w:t>
      </w:r>
      <w:r>
        <w:rPr>
          <w:rFonts w:ascii="Times New Roman" w:cs="Times New Roman" w:eastAsia="Times New Roman" w:hAnsi="Times New Roman"/>
          <w:sz w:val="21"/>
          <w:szCs w:val="21"/>
          <w:b w:val="1"/>
          <w:bCs w:val="1"/>
          <w:i w:val="1"/>
          <w:iCs w:val="1"/>
          <w:color w:val="auto"/>
        </w:rPr>
        <w:t>Allowance for credit losses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purposes of determining the level of the allowance for credit losses, the Company evaluates its loan and lease portfolio by type.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Changes in the allowance for credit losses for the three months ended March 31, 2024 and 2023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60" w:type="dxa"/>
            <w:vAlign w:val="bottom"/>
          </w:tcPr>
          <w:p>
            <w:pPr>
              <w:spacing w:after="0"/>
              <w:rPr>
                <w:sz w:val="13"/>
                <w:szCs w:val="13"/>
                <w:color w:val="auto"/>
              </w:rPr>
            </w:pPr>
          </w:p>
        </w:tc>
        <w:tc>
          <w:tcPr>
            <w:tcW w:w="1720" w:type="dxa"/>
            <w:vAlign w:val="bottom"/>
            <w:gridSpan w:val="4"/>
            <w:vMerge w:val="restart"/>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6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and</w:t>
            </w: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industrial</w:t>
            </w: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2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Consumer</w:t>
            </w:r>
          </w:p>
        </w:tc>
        <w:tc>
          <w:tcPr>
            <w:tcW w:w="1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3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(78 )</w:t>
            </w:r>
          </w:p>
        </w:tc>
        <w:tc>
          <w:tcPr>
            <w:tcW w:w="3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(59 )</w:t>
            </w: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56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1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(73 )</w:t>
            </w:r>
          </w:p>
        </w:tc>
        <w:tc>
          <w:tcPr>
            <w:tcW w:w="3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(46 )</w:t>
            </w: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77"/>
        </w:trPr>
        <w:tc>
          <w:tcPr>
            <w:tcW w:w="56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(20 )</w:t>
            </w:r>
          </w:p>
        </w:tc>
        <w:tc>
          <w:tcPr>
            <w:tcW w:w="3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(44 )</w:t>
            </w: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56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1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(10 )</w:t>
            </w:r>
          </w:p>
        </w:tc>
        <w:tc>
          <w:tcPr>
            <w:tcW w:w="3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(31 )</w:t>
            </w: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72"/>
        </w:trPr>
        <w:tc>
          <w:tcPr>
            <w:tcW w:w="56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3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top w:val="single" w:sz="8" w:color="auto"/>
              <w:bottom w:val="single" w:sz="8" w:color="auto"/>
            </w:tcBorders>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3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-1765300</wp:posOffset>
            </wp:positionV>
            <wp:extent cx="7747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-1765300</wp:posOffset>
            </wp:positionV>
            <wp:extent cx="7747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-1765300</wp:posOffset>
            </wp:positionV>
            <wp:extent cx="6858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-1765300</wp:posOffset>
            </wp:positionV>
            <wp:extent cx="6858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-1439545</wp:posOffset>
            </wp:positionV>
            <wp:extent cx="7747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-1422400</wp:posOffset>
            </wp:positionV>
            <wp:extent cx="7747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-1439545</wp:posOffset>
            </wp:positionV>
            <wp:extent cx="7747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-1422400</wp:posOffset>
            </wp:positionV>
            <wp:extent cx="7747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-1439545</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-1422400</wp:posOffset>
            </wp:positionV>
            <wp:extent cx="685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-1439545</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-1422400</wp:posOffset>
            </wp:positionV>
            <wp:extent cx="6858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-351155</wp:posOffset>
            </wp:positionV>
            <wp:extent cx="7747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-351155</wp:posOffset>
            </wp:positionV>
            <wp:extent cx="7747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-351155</wp:posOffset>
            </wp:positionV>
            <wp:extent cx="6858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-351155</wp:posOffset>
            </wp:positionV>
            <wp:extent cx="6858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-25400</wp:posOffset>
            </wp:positionV>
            <wp:extent cx="7747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7747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7747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7747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6858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858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858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Despite the allocation in the preceding tables, the allowance for credit losses is general in nature and is available to absorb losses from any loan or lease type. In determining the allowance for credit losses, accruing loans with similar risk characteristics are generally evaluated collectively. The Company utilizes statistically developed models to project principal balances over the remaining contractual lives of the loan portfolios and to determine estimated credit losses through a reasonable and supportable forecast period. Individual loan credit quality indicators, including loan grade and borrower repayment performance, can inform the models, which have been statistically developed based on historical correlations of credit losses with prevailing economic metrics, including unemployment, GDP and real estate prices. Model forecasts may be adjusted for inherent limitations or biases that have been identified through independent validation and back-testing of model performance to actual realized results. At each of March 31, 2024 and December 31, 2023, the Company utilized a reasonable and supportable forecast period of two years. Subsequent to this forecast period the Company reverted, ratably over a one-year period, to historical loss experience to inform its estimate of losses for the remaining contractual life of each portfolio.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Company also estimates losses attributable to specific troubled credits identified through both normal and targeted credit review processes. The amounts of specific loss components in the Company’s loan and lease portfolios are determined through a loan-by-loan analysis of larger balance commercial and industrial loans and commercial real estate loans that are in nonaccrual status. Such loss estimates are typically based on expected future cash flows, collateral values and other factors that may impact the borrower’s ability to pay. To the extent that those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values as determined by line of business and/or loan workout personnel. Those adjustments are reviewed and assessed for reasonableness by the Company’s credit risk personnel. Accordingly, for real estate collateral securing larger nonaccrual commercial and industrial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For residential real estate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When evaluating individual home equity loans and lines of credit for charge-off and for purposes of estimating losses in determining the allowance for credit losses, the Company gives consideration to the required repayment of any first lien positions related to collateral property.</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Changes in the amount of the allowance for credit losses reflect the outcome of the procedures described herein, including the impact of changes in macroeconomic forecasts as compared with previous forecasts, as well as the impact of portfolio concentrations, imprecision in economic forecasts, geopolitical conditions and other risk factors that might influence the loss estimation process.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Company’s reserve for off-balance sheet credit exposures was not material at March 31, 2024 and December 31, 2023.</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Information with respect to loans and leases that were considered nonaccrual at the beginning and end of the reporting period and the interest income recognized on such loans for the three-month periods ended March 31, 2024 and 2023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5220" w:type="dxa"/>
            <w:vAlign w:val="bottom"/>
          </w:tcPr>
          <w:p>
            <w:pPr>
              <w:spacing w:after="0"/>
              <w:rPr>
                <w:sz w:val="11"/>
                <w:szCs w:val="11"/>
                <w:color w:val="auto"/>
              </w:rPr>
            </w:pPr>
          </w:p>
        </w:tc>
        <w:tc>
          <w:tcPr>
            <w:tcW w:w="9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Amortized Cost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81"/>
              <w:spacing w:after="0" w:line="135" w:lineRule="exact"/>
              <w:rPr>
                <w:sz w:val="20"/>
                <w:szCs w:val="20"/>
                <w:color w:val="auto"/>
              </w:rPr>
            </w:pPr>
            <w:r>
              <w:rPr>
                <w:rFonts w:ascii="Times New Roman" w:cs="Times New Roman" w:eastAsia="Times New Roman" w:hAnsi="Times New Roman"/>
                <w:sz w:val="13"/>
                <w:szCs w:val="13"/>
                <w:b w:val="1"/>
                <w:bCs w:val="1"/>
                <w:color w:val="auto"/>
              </w:rPr>
              <w:t>without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Interest Income</w:t>
            </w:r>
          </w:p>
        </w:tc>
      </w:tr>
      <w:tr>
        <w:trPr>
          <w:trHeight w:val="167"/>
        </w:trPr>
        <w:tc>
          <w:tcPr>
            <w:tcW w:w="52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with Allowance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1120" w:type="dxa"/>
            <w:vAlign w:val="bottom"/>
            <w:gridSpan w:val="3"/>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Recognized</w:t>
            </w:r>
          </w:p>
        </w:tc>
      </w:tr>
      <w:tr>
        <w:trPr>
          <w:trHeight w:val="123"/>
        </w:trPr>
        <w:tc>
          <w:tcPr>
            <w:tcW w:w="52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auto"/>
                <w:w w:val="96"/>
              </w:rPr>
              <w:t>Three Months</w:t>
            </w:r>
          </w:p>
        </w:tc>
        <w:tc>
          <w:tcPr>
            <w:tcW w:w="100" w:type="dxa"/>
            <w:vAlign w:val="bottom"/>
          </w:tcPr>
          <w:p>
            <w:pPr>
              <w:spacing w:after="0"/>
              <w:rPr>
                <w:sz w:val="10"/>
                <w:szCs w:val="10"/>
                <w:color w:val="auto"/>
              </w:rPr>
            </w:pPr>
          </w:p>
        </w:tc>
      </w:tr>
      <w:tr>
        <w:trPr>
          <w:trHeight w:val="135"/>
        </w:trPr>
        <w:tc>
          <w:tcPr>
            <w:tcW w:w="5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March</w:t>
            </w:r>
          </w:p>
        </w:tc>
      </w:tr>
      <w:tr>
        <w:trPr>
          <w:trHeight w:val="135"/>
        </w:trPr>
        <w:tc>
          <w:tcPr>
            <w:tcW w:w="5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3"/>
                <w:szCs w:val="13"/>
                <w:b w:val="1"/>
                <w:bCs w:val="1"/>
                <w:color w:val="auto"/>
                <w:w w:val="98"/>
              </w:rPr>
              <w:t>31,</w:t>
            </w:r>
          </w:p>
        </w:tc>
        <w:tc>
          <w:tcPr>
            <w:tcW w:w="100" w:type="dxa"/>
            <w:vAlign w:val="bottom"/>
          </w:tcPr>
          <w:p>
            <w:pPr>
              <w:spacing w:after="0"/>
              <w:rPr>
                <w:sz w:val="11"/>
                <w:szCs w:val="11"/>
                <w:color w:val="auto"/>
              </w:rPr>
            </w:pPr>
          </w:p>
        </w:tc>
      </w:tr>
      <w:tr>
        <w:trPr>
          <w:trHeight w:val="169"/>
        </w:trPr>
        <w:tc>
          <w:tcPr>
            <w:tcW w:w="5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January 1, 2024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4"/>
                <w:szCs w:val="14"/>
                <w:color w:val="auto"/>
              </w:rPr>
            </w:pPr>
          </w:p>
        </w:tc>
      </w:tr>
      <w:tr>
        <w:trPr>
          <w:trHeight w:val="223"/>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48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5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62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4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9"/>
                <w:szCs w:val="19"/>
                <w:color w:val="auto"/>
              </w:rPr>
            </w:pPr>
          </w:p>
        </w:tc>
      </w:tr>
      <w:tr>
        <w:trPr>
          <w:trHeight w:val="22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Commercial</w:t>
            </w:r>
          </w:p>
        </w:tc>
        <w:tc>
          <w:tcPr>
            <w:tcW w:w="3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20"/>
                <w:szCs w:val="20"/>
                <w:color w:val="auto"/>
              </w:rPr>
            </w:pPr>
          </w:p>
        </w:tc>
      </w:tr>
      <w:tr>
        <w:trPr>
          <w:trHeight w:val="220"/>
        </w:trPr>
        <w:tc>
          <w:tcPr>
            <w:tcW w:w="5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Residential builder and developer</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commercial construction</w:t>
            </w:r>
          </w:p>
        </w:tc>
        <w:tc>
          <w:tcPr>
            <w:tcW w:w="3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Residential</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r>
      <w:tr>
        <w:trPr>
          <w:trHeight w:val="239"/>
        </w:trPr>
        <w:tc>
          <w:tcPr>
            <w:tcW w:w="5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Residential — limited documentation</w:t>
            </w:r>
          </w:p>
        </w:tc>
        <w:tc>
          <w:tcPr>
            <w:tcW w:w="3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20"/>
                <w:szCs w:val="20"/>
                <w:color w:val="auto"/>
              </w:rPr>
            </w:pPr>
          </w:p>
        </w:tc>
      </w:tr>
      <w:tr>
        <w:trPr>
          <w:trHeight w:val="22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Home equity lines and loans</w:t>
            </w:r>
          </w:p>
        </w:tc>
        <w:tc>
          <w:tcPr>
            <w:tcW w:w="3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20"/>
                <w:szCs w:val="20"/>
                <w:color w:val="auto"/>
              </w:rPr>
            </w:pPr>
          </w:p>
        </w:tc>
      </w:tr>
      <w:tr>
        <w:trPr>
          <w:trHeight w:val="220"/>
        </w:trPr>
        <w:tc>
          <w:tcPr>
            <w:tcW w:w="5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Recreational finance</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Automobile</w:t>
            </w:r>
          </w:p>
        </w:tc>
        <w:tc>
          <w:tcPr>
            <w:tcW w:w="3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63"/>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0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91"/>
        </w:trPr>
        <w:tc>
          <w:tcPr>
            <w:tcW w:w="5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Three Months</w:t>
            </w:r>
          </w:p>
        </w:tc>
      </w:tr>
      <w:tr>
        <w:trPr>
          <w:trHeight w:val="135"/>
        </w:trPr>
        <w:tc>
          <w:tcPr>
            <w:tcW w:w="5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March</w:t>
            </w:r>
          </w:p>
        </w:tc>
      </w:tr>
      <w:tr>
        <w:trPr>
          <w:trHeight w:val="135"/>
        </w:trPr>
        <w:tc>
          <w:tcPr>
            <w:tcW w:w="5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3"/>
                <w:szCs w:val="13"/>
                <w:b w:val="1"/>
                <w:bCs w:val="1"/>
                <w:color w:val="auto"/>
                <w:w w:val="98"/>
              </w:rPr>
              <w:t>31,</w:t>
            </w:r>
          </w:p>
        </w:tc>
        <w:tc>
          <w:tcPr>
            <w:tcW w:w="100" w:type="dxa"/>
            <w:vAlign w:val="bottom"/>
          </w:tcPr>
          <w:p>
            <w:pPr>
              <w:spacing w:after="0"/>
              <w:rPr>
                <w:sz w:val="11"/>
                <w:szCs w:val="11"/>
                <w:color w:val="auto"/>
              </w:rPr>
            </w:pPr>
          </w:p>
        </w:tc>
      </w:tr>
      <w:tr>
        <w:trPr>
          <w:trHeight w:val="169"/>
        </w:trPr>
        <w:tc>
          <w:tcPr>
            <w:tcW w:w="5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March 31, 2023</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January 1, 2023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4"/>
                <w:szCs w:val="14"/>
                <w:color w:val="auto"/>
              </w:rPr>
            </w:pPr>
          </w:p>
        </w:tc>
      </w:tr>
      <w:tr>
        <w:trPr>
          <w:trHeight w:val="223"/>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48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5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62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4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9"/>
                <w:szCs w:val="19"/>
                <w:color w:val="auto"/>
              </w:rPr>
            </w:pPr>
          </w:p>
        </w:tc>
      </w:tr>
      <w:tr>
        <w:trPr>
          <w:trHeight w:val="22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Commercial</w:t>
            </w:r>
          </w:p>
        </w:tc>
        <w:tc>
          <w:tcPr>
            <w:tcW w:w="3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20"/>
                <w:szCs w:val="20"/>
                <w:color w:val="auto"/>
              </w:rPr>
            </w:pPr>
          </w:p>
        </w:tc>
      </w:tr>
      <w:tr>
        <w:trPr>
          <w:trHeight w:val="220"/>
        </w:trPr>
        <w:tc>
          <w:tcPr>
            <w:tcW w:w="5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Residential builder and developer</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commercial construction</w:t>
            </w:r>
          </w:p>
        </w:tc>
        <w:tc>
          <w:tcPr>
            <w:tcW w:w="3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20"/>
                <w:szCs w:val="20"/>
                <w:color w:val="auto"/>
              </w:rPr>
            </w:pPr>
          </w:p>
        </w:tc>
      </w:tr>
      <w:tr>
        <w:trPr>
          <w:trHeight w:val="220"/>
        </w:trPr>
        <w:tc>
          <w:tcPr>
            <w:tcW w:w="5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Residential</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r>
      <w:tr>
        <w:trPr>
          <w:trHeight w:val="239"/>
        </w:trPr>
        <w:tc>
          <w:tcPr>
            <w:tcW w:w="5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Residential — limited documentation</w:t>
            </w:r>
          </w:p>
        </w:tc>
        <w:tc>
          <w:tcPr>
            <w:tcW w:w="3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Home equity lines and loans</w:t>
            </w:r>
          </w:p>
        </w:tc>
        <w:tc>
          <w:tcPr>
            <w:tcW w:w="3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20"/>
                <w:szCs w:val="20"/>
                <w:color w:val="auto"/>
              </w:rPr>
            </w:pPr>
          </w:p>
        </w:tc>
      </w:tr>
      <w:tr>
        <w:trPr>
          <w:trHeight w:val="220"/>
        </w:trPr>
        <w:tc>
          <w:tcPr>
            <w:tcW w:w="5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Recreational finance</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Automobile</w:t>
            </w:r>
          </w:p>
        </w:tc>
        <w:tc>
          <w:tcPr>
            <w:tcW w:w="3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63"/>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10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-2433955</wp:posOffset>
            </wp:positionV>
            <wp:extent cx="7747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-2416810</wp:posOffset>
            </wp:positionV>
            <wp:extent cx="7747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-2433955</wp:posOffset>
            </wp:positionV>
            <wp:extent cx="6858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-2416810</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-2433955</wp:posOffset>
            </wp:positionV>
            <wp:extent cx="685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-2416810</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-2433955</wp:posOffset>
            </wp:positionV>
            <wp:extent cx="6858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-2416810</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7747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7747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6858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6858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6858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ind w:right="5560" w:firstLine="8"/>
        <w:spacing w:after="0" w:line="349" w:lineRule="auto"/>
        <w:tabs>
          <w:tab w:leader="none" w:pos="207" w:val="left"/>
        </w:tabs>
        <w:numPr>
          <w:ilvl w:val="0"/>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Loans and leases and the allowance for credit losses, continued </w:t>
      </w:r>
      <w:r>
        <w:rPr>
          <w:rFonts w:ascii="Times New Roman" w:cs="Times New Roman" w:eastAsia="Times New Roman" w:hAnsi="Times New Roman"/>
          <w:sz w:val="21"/>
          <w:szCs w:val="21"/>
          <w:b w:val="1"/>
          <w:bCs w:val="1"/>
          <w:i w:val="1"/>
          <w:iCs w:val="1"/>
          <w:color w:val="auto"/>
        </w:rPr>
        <w:t>Loan modifications</w:t>
      </w:r>
    </w:p>
    <w:p>
      <w:pPr>
        <w:spacing w:after="0" w:line="2" w:lineRule="exact"/>
        <w:rPr>
          <w:sz w:val="20"/>
          <w:szCs w:val="20"/>
          <w:color w:val="auto"/>
        </w:rPr>
      </w:pPr>
    </w:p>
    <w:p>
      <w:pPr>
        <w:jc w:val="both"/>
        <w:ind w:right="60"/>
        <w:spacing w:after="0" w:line="248" w:lineRule="auto"/>
        <w:rPr>
          <w:sz w:val="20"/>
          <w:szCs w:val="20"/>
          <w:color w:val="auto"/>
        </w:rPr>
      </w:pPr>
      <w:r>
        <w:rPr>
          <w:rFonts w:ascii="Times New Roman" w:cs="Times New Roman" w:eastAsia="Times New Roman" w:hAnsi="Times New Roman"/>
          <w:sz w:val="21"/>
          <w:szCs w:val="21"/>
          <w:color w:val="auto"/>
        </w:rPr>
        <w:t>During the normal course of business, the Company modifies loans to maximize recovery efforts from borrowers experiencing financial difficulty. Such loan modifications typically include payment deferrals and interest rate reductions but may also include other modified terms. Those modified loans may be considered nonaccrual if the Company does not expect to collect the contractual cash flows owed under the loan agreement. The table that follows summarizes the Company’s loan modification activities to borrowers experiencing financial difficulty for the three-month periods ended March 31, 2024 and 2023:</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Amortized cost at March 31, 2024</w:t>
            </w: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Combination</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Rate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Total (b) (c)</w:t>
            </w:r>
          </w:p>
        </w:tc>
        <w:tc>
          <w:tcPr>
            <w:tcW w:w="24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Total Loan</w:t>
            </w:r>
          </w:p>
        </w:tc>
        <w:tc>
          <w:tcPr>
            <w:tcW w:w="0" w:type="dxa"/>
            <w:vAlign w:val="bottom"/>
          </w:tcPr>
          <w:p>
            <w:pPr>
              <w:spacing w:after="0"/>
              <w:rPr>
                <w:sz w:val="1"/>
                <w:szCs w:val="1"/>
                <w:color w:val="auto"/>
              </w:rPr>
            </w:pPr>
          </w:p>
        </w:tc>
      </w:tr>
      <w:tr>
        <w:trPr>
          <w:trHeight w:val="187"/>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Deferral</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Types (a)</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2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2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5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FF0FC"/>
          </w:tcPr>
          <w:p>
            <w:pPr>
              <w:spacing w:after="0"/>
              <w:rPr>
                <w:sz w:val="21"/>
                <w:szCs w:val="21"/>
                <w:color w:val="auto"/>
              </w:rPr>
            </w:pPr>
          </w:p>
        </w:tc>
        <w:tc>
          <w:tcPr>
            <w:tcW w:w="48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26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8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2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8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2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shd w:val="clear" w:color="auto" w:fill="CFF0FC"/>
          </w:tcPr>
          <w:p>
            <w:pPr>
              <w:spacing w:after="0"/>
              <w:rPr>
                <w:sz w:val="21"/>
                <w:szCs w:val="21"/>
                <w:color w:val="auto"/>
              </w:rPr>
            </w:pPr>
          </w:p>
        </w:tc>
        <w:tc>
          <w:tcPr>
            <w:tcW w:w="48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2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Recreational finance</w:t>
            </w:r>
          </w:p>
        </w:tc>
        <w:tc>
          <w:tcPr>
            <w:tcW w:w="26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shd w:val="clear" w:color="auto" w:fill="CFF0FC"/>
          </w:tcPr>
          <w:p>
            <w:pPr>
              <w:spacing w:after="0"/>
              <w:rPr>
                <w:sz w:val="21"/>
                <w:szCs w:val="21"/>
                <w:color w:val="auto"/>
              </w:rPr>
            </w:pPr>
          </w:p>
        </w:tc>
        <w:tc>
          <w:tcPr>
            <w:tcW w:w="48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2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634</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Amortized cost at March 31, 2023</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Combination</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Total (b) (c)</w:t>
            </w:r>
          </w:p>
        </w:tc>
        <w:tc>
          <w:tcPr>
            <w:tcW w:w="24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Total Loan</w:t>
            </w:r>
          </w:p>
        </w:tc>
        <w:tc>
          <w:tcPr>
            <w:tcW w:w="0" w:type="dxa"/>
            <w:vAlign w:val="bottom"/>
          </w:tcPr>
          <w:p>
            <w:pPr>
              <w:spacing w:after="0"/>
              <w:rPr>
                <w:sz w:val="1"/>
                <w:szCs w:val="1"/>
                <w:color w:val="auto"/>
              </w:rPr>
            </w:pPr>
          </w:p>
        </w:tc>
      </w:tr>
      <w:tr>
        <w:trPr>
          <w:trHeight w:val="187"/>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Deferral</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Types (a)</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2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2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5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FF0FC"/>
          </w:tcPr>
          <w:p>
            <w:pPr>
              <w:spacing w:after="0"/>
              <w:rPr>
                <w:sz w:val="21"/>
                <w:szCs w:val="21"/>
                <w:color w:val="auto"/>
              </w:rPr>
            </w:pPr>
          </w:p>
        </w:tc>
        <w:tc>
          <w:tcPr>
            <w:tcW w:w="48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8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8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shd w:val="clear" w:color="auto" w:fill="CFF0FC"/>
          </w:tcPr>
          <w:p>
            <w:pPr>
              <w:spacing w:after="0"/>
              <w:rPr>
                <w:sz w:val="21"/>
                <w:szCs w:val="21"/>
                <w:color w:val="auto"/>
              </w:rPr>
            </w:pPr>
          </w:p>
        </w:tc>
        <w:tc>
          <w:tcPr>
            <w:tcW w:w="48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2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Recreational finance</w:t>
            </w:r>
          </w:p>
        </w:tc>
        <w:tc>
          <w:tcPr>
            <w:tcW w:w="26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shd w:val="clear" w:color="auto" w:fill="CFF0FC"/>
          </w:tcPr>
          <w:p>
            <w:pPr>
              <w:spacing w:after="0"/>
              <w:rPr>
                <w:sz w:val="21"/>
                <w:szCs w:val="21"/>
                <w:color w:val="auto"/>
              </w:rPr>
            </w:pPr>
          </w:p>
        </w:tc>
        <w:tc>
          <w:tcPr>
            <w:tcW w:w="48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2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tcPr>
          <w:p>
            <w:pPr>
              <w:spacing w:after="0"/>
              <w:rPr>
                <w:sz w:val="20"/>
                <w:szCs w:val="20"/>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-4911090</wp:posOffset>
            </wp:positionV>
            <wp:extent cx="7132320" cy="15430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-3051175</wp:posOffset>
            </wp:positionV>
            <wp:extent cx="7132320" cy="17970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15430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8034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3"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Predominantly payment deferrals combined with interest rate reductions.</w:t>
      </w:r>
    </w:p>
    <w:p>
      <w:pPr>
        <w:spacing w:after="0" w:line="5" w:lineRule="exact"/>
        <w:rPr>
          <w:rFonts w:ascii="Times New Roman" w:cs="Times New Roman" w:eastAsia="Times New Roman" w:hAnsi="Times New Roman"/>
          <w:sz w:val="14"/>
          <w:szCs w:val="14"/>
          <w:i w:val="1"/>
          <w:iCs w:val="1"/>
          <w:color w:val="auto"/>
        </w:rPr>
      </w:pPr>
    </w:p>
    <w:p>
      <w:pPr>
        <w:ind w:left="520" w:right="140" w:hanging="512"/>
        <w:spacing w:after="0" w:line="221" w:lineRule="auto"/>
        <w:tabs>
          <w:tab w:leader="none" w:pos="5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approximately $44 million and $23 million of loans guaranteed by government-related entities (predominantly first lien residential mortgage loans) for the three-month periods ended March 31, 2024 and 2023, respectively.</w:t>
      </w:r>
    </w:p>
    <w:p>
      <w:pPr>
        <w:ind w:left="520" w:hanging="512"/>
        <w:spacing w:after="0"/>
        <w:tabs>
          <w:tab w:leader="none" w:pos="5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unfunded commitments to extend credit totaling $29 million and $11 million for the three-month periods ended March 31, 2024 and 2023, respectively.</w:t>
      </w:r>
    </w:p>
    <w:p>
      <w:pPr>
        <w:spacing w:after="0" w:line="299"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-710565</wp:posOffset>
            </wp:positionV>
            <wp:extent cx="190309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9030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financial effects of the modifications for the three-month periods ended March 31, 2024 and 2023 include an increase in the weighted-average remaining term for commercial and industrial loans of 0.7 years and 1.2 years, respectively, for commercial real estate loans, inclusive of residential builder and development loans and other commercial construction loans of 0.8 years and 1.2 years, respectively, and for residential real estate loans of 11.4 years and 9.1 years, respectively.</w:t>
      </w:r>
    </w:p>
    <w:p>
      <w:pPr>
        <w:spacing w:after="0" w:line="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Modified loans to borrowers experiencing financial difficulty are subject to the allowance for credit losses methodology described herein, including the use of models to inform credit loss estimates and, to the extent larger balance commercial and industrial loans and commercial real estate loans are in nonaccrual status, a loan-by-loan analysis of expected credit losses on those individual loans. Loans to borrowers experiencing financial difficulty that were modified during the three months ended March 31, 2023 and for which there was a subsequent payment default during that period were not material. The following table summarizes the payment status, at March 31, 2024, of loans that were modified during the twelve-month period ended March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Payment status at March 31, 2024 (amortized cost)</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Past Due 90</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30-89 Days Past</w:t>
            </w:r>
          </w:p>
        </w:tc>
        <w:tc>
          <w:tcPr>
            <w:tcW w:w="360" w:type="dxa"/>
            <w:vAlign w:val="bottom"/>
          </w:tcPr>
          <w:p>
            <w:pPr>
              <w:spacing w:after="0"/>
              <w:rPr>
                <w:sz w:val="15"/>
                <w:szCs w:val="15"/>
                <w:color w:val="auto"/>
              </w:rPr>
            </w:pPr>
          </w:p>
        </w:tc>
        <w:tc>
          <w:tcPr>
            <w:tcW w:w="14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Days or More</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8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Due</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2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58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Twelve Months Ended March 31, 2024</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43"/>
        </w:trPr>
        <w:tc>
          <w:tcPr>
            <w:tcW w:w="20" w:type="dxa"/>
            <w:vAlign w:val="bottom"/>
            <w:shd w:val="clear" w:color="auto" w:fill="CFF0FC"/>
          </w:tcPr>
          <w:p>
            <w:pPr>
              <w:spacing w:after="0"/>
              <w:rPr>
                <w:sz w:val="21"/>
                <w:szCs w:val="21"/>
                <w:color w:val="auto"/>
              </w:rPr>
            </w:pPr>
          </w:p>
        </w:tc>
        <w:tc>
          <w:tcPr>
            <w:tcW w:w="2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440" w:type="dxa"/>
            <w:vAlign w:val="bottom"/>
            <w:gridSpan w:val="2"/>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6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8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8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Residential (b)</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8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8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Recreational finance</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shd w:val="clear" w:color="auto" w:fill="CFF0FC"/>
          </w:tcPr>
          <w:p>
            <w:pPr>
              <w:spacing w:after="0"/>
              <w:rPr>
                <w:sz w:val="21"/>
                <w:szCs w:val="21"/>
                <w:color w:val="auto"/>
              </w:rPr>
            </w:pPr>
          </w:p>
        </w:tc>
        <w:tc>
          <w:tcPr>
            <w:tcW w:w="58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tcPr>
          <w:p>
            <w:pPr>
              <w:spacing w:after="0"/>
              <w:rPr>
                <w:sz w:val="20"/>
                <w:szCs w:val="20"/>
                <w:color w:val="auto"/>
              </w:rPr>
            </w:pP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58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6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8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shd w:val="clear" w:color="auto" w:fill="CFF0FC"/>
          </w:tcPr>
          <w:p>
            <w:pPr>
              <w:spacing w:after="0"/>
              <w:rPr>
                <w:sz w:val="24"/>
                <w:szCs w:val="24"/>
                <w:color w:val="auto"/>
              </w:rPr>
            </w:pPr>
          </w:p>
        </w:tc>
      </w:tr>
      <w:tr>
        <w:trPr>
          <w:trHeight w:val="39"/>
        </w:trPr>
        <w:tc>
          <w:tcPr>
            <w:tcW w:w="20" w:type="dxa"/>
            <w:vAlign w:val="bottom"/>
            <w:tcBorders>
              <w:top w:val="single" w:sz="8" w:color="CFF0FC"/>
              <w:bottom w:val="single" w:sz="8" w:color="auto"/>
            </w:tcBorders>
          </w:tcPr>
          <w:p>
            <w:pPr>
              <w:spacing w:after="0"/>
              <w:rPr>
                <w:sz w:val="3"/>
                <w:szCs w:val="3"/>
                <w:color w:val="auto"/>
              </w:rPr>
            </w:pPr>
          </w:p>
        </w:tc>
        <w:tc>
          <w:tcPr>
            <w:tcW w:w="2360" w:type="dxa"/>
            <w:vAlign w:val="bottom"/>
            <w:tcBorders>
              <w:top w:val="single" w:sz="8" w:color="CFF0FC"/>
              <w:bottom w:val="single" w:sz="8" w:color="auto"/>
            </w:tcBorders>
          </w:tcPr>
          <w:p>
            <w:pPr>
              <w:spacing w:after="0"/>
              <w:rPr>
                <w:sz w:val="3"/>
                <w:szCs w:val="3"/>
                <w:color w:val="auto"/>
              </w:rPr>
            </w:pPr>
          </w:p>
        </w:tc>
        <w:tc>
          <w:tcPr>
            <w:tcW w:w="620" w:type="dxa"/>
            <w:vAlign w:val="bottom"/>
            <w:tcBorders>
              <w:top w:val="single" w:sz="8" w:color="CFF0FC"/>
              <w:bottom w:val="single" w:sz="8" w:color="auto"/>
            </w:tcBorders>
          </w:tcPr>
          <w:p>
            <w:pPr>
              <w:spacing w:after="0"/>
              <w:rPr>
                <w:sz w:val="3"/>
                <w:szCs w:val="3"/>
                <w:color w:val="auto"/>
              </w:rPr>
            </w:pPr>
          </w:p>
        </w:tc>
        <w:tc>
          <w:tcPr>
            <w:tcW w:w="2820" w:type="dxa"/>
            <w:vAlign w:val="bottom"/>
            <w:tcBorders>
              <w:top w:val="single" w:sz="8" w:color="CFF0FC"/>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380" w:type="dxa"/>
            <w:vAlign w:val="bottom"/>
            <w:tcBorders>
              <w:top w:val="single" w:sz="8" w:color="CFF0FC"/>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360" w:type="dxa"/>
            <w:vAlign w:val="bottom"/>
            <w:tcBorders>
              <w:top w:val="single" w:sz="8" w:color="CFF0FC"/>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380" w:type="dxa"/>
            <w:vAlign w:val="bottom"/>
            <w:tcBorders>
              <w:top w:val="single" w:sz="8" w:color="CFF0FC"/>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-67945</wp:posOffset>
            </wp:positionV>
            <wp:extent cx="7683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-50800</wp:posOffset>
            </wp:positionV>
            <wp:extent cx="7683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-67945</wp:posOffset>
            </wp:positionV>
            <wp:extent cx="6858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-50800</wp:posOffset>
            </wp:positionV>
            <wp:extent cx="6858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-67945</wp:posOffset>
            </wp:positionV>
            <wp:extent cx="6858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-50800</wp:posOffset>
            </wp:positionV>
            <wp:extent cx="6858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-67945</wp:posOffset>
            </wp:positionV>
            <wp:extent cx="6858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-50800</wp:posOffset>
            </wp:positionV>
            <wp:extent cx="6858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400" w:hanging="392"/>
        <w:spacing w:after="0"/>
        <w:tabs>
          <w:tab w:leader="none" w:pos="40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Predominantly loan modifications with payment deferrals.</w:t>
      </w:r>
    </w:p>
    <w:p>
      <w:pPr>
        <w:spacing w:after="0" w:line="5" w:lineRule="exact"/>
        <w:rPr>
          <w:rFonts w:ascii="Times New Roman" w:cs="Times New Roman" w:eastAsia="Times New Roman" w:hAnsi="Times New Roman"/>
          <w:sz w:val="14"/>
          <w:szCs w:val="14"/>
          <w:i w:val="1"/>
          <w:iCs w:val="1"/>
          <w:color w:val="auto"/>
        </w:rPr>
      </w:pPr>
    </w:p>
    <w:p>
      <w:pPr>
        <w:ind w:left="400" w:hanging="392"/>
        <w:spacing w:after="0"/>
        <w:tabs>
          <w:tab w:leader="none" w:pos="40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loans guaranteed by government-related entities classified as 30 to 89 days past due of $30 million and as past due 90 days or more of $27 million.</w:t>
      </w:r>
    </w:p>
    <w:p>
      <w:pPr>
        <w:spacing w:after="0" w:line="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amount of foreclosed property held by the Company, predominantly consisting of residential real estate, was $38 million and $39 million at March 31, 2024 and December 31, 2023, respectively. There were $165 million and $170 million at March 31, 2024 and December 31, 2023, respectively, of loans secured by residential real estate that were in the process of foreclosure. Of all loans in the process of foreclosure at March 31, 2024, approximately 35% were government guaranteed.</w:t>
      </w: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At March 31, 2024, approximately $14.9 billion of commercial and industrial loans, including leases, $16.2 billion of commercial real estate loans, $18.6 billion of one-to-four family residential real estate loans, $2.6 billion of home equity loans and lines of credit and $10.9 billion of other consumer loans were pledged to secure outstanding borrowings and available lines of credit from FHLB and the FRB of New York. At December 31, 2023, approximately $13.4 billion of commercial and industrial loans, including leases, $16.4 billion of commercial real estate loans, $18.8 billion of one-to-four family residential real estate loans, $2.6 billion of home equity loans and lines of credit and $11.0 billion of other consumer loans were pledged to secure outstanding borrowings and available lines of credit from the FHLB and the FRB of New York as described in note 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5. Borrowings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13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borrowings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7"/>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Federal funds purchased and repurchase agreements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FHLB advances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r>
      <w:tr>
        <w:trPr>
          <w:trHeight w:val="276"/>
        </w:trPr>
        <w:tc>
          <w:tcPr>
            <w:tcW w:w="77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short-term borrowings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00" w:type="dxa"/>
            <w:vAlign w:val="bottom"/>
            <w:shd w:val="clear" w:color="auto" w:fill="CFF0FC"/>
          </w:tcPr>
          <w:p>
            <w:pPr>
              <w:spacing w:after="0"/>
              <w:rPr>
                <w:sz w:val="24"/>
                <w:szCs w:val="24"/>
                <w:color w:val="auto"/>
              </w:rPr>
            </w:pPr>
          </w:p>
        </w:tc>
      </w:tr>
      <w:tr>
        <w:trPr>
          <w:trHeight w:val="228"/>
        </w:trPr>
        <w:tc>
          <w:tcPr>
            <w:tcW w:w="776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 M&amp;T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Senior notes - M&amp;T Bank</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FHLB advances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Subordinated notes - M&amp;T</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Subordinated notes - M&amp;T Bank</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Junior subordinated debentures - M&amp;T</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Asset-backed notes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0"/>
                <w:szCs w:val="20"/>
                <w:color w:val="auto"/>
              </w:rPr>
            </w:pPr>
          </w:p>
        </w:tc>
      </w:tr>
      <w:tr>
        <w:trPr>
          <w:trHeight w:val="243"/>
        </w:trPr>
        <w:tc>
          <w:tcPr>
            <w:tcW w:w="7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long-term borrowings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-1757045</wp:posOffset>
            </wp:positionV>
            <wp:extent cx="6858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-1739265</wp:posOffset>
            </wp:positionV>
            <wp:extent cx="6858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-1757045</wp:posOffset>
            </wp:positionV>
            <wp:extent cx="6858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In February 2024, M&amp;T Bank advanced $2.0 billion from the FHLB of New York which matures in February 2025 at a variable rate of SOFR plus 25 basis points payable quarterly until maturity. In March 2024, M&amp;T issued $850 million of senior notes that mature in March 2032 and pay a 6.082% fixed rate semi-annually until March 2031 after which SOFR plus 2.26% will be paid quarterly until maturity. Also in March 2024, M&amp;T Bank issued asset-backed notes secured by automobile loans. A total of $511 million of such notes were purchased by third parties. Those asset-backed notes had a weighted-average estimated life of approximately two years and a weighted-average interest rate of 5.29% at the time of securitization. Further information about this financing transaction is provided in note 11.</w:t>
      </w:r>
    </w:p>
    <w:p>
      <w:pPr>
        <w:spacing w:after="0" w:line="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M&amp;T Bank had secured borrowing facilities available with the FHLB of New York and the FRB of New York totaling approximately $14.6 billion and $18.4 billion, respectively, at March 31, 2024. M&amp;T Bank is required to pledge loans and investment securities as collateral for these borrowing facilities and could increase the availability under such facilities by pledging additional assets.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6. Revenue from contracts with customers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March 31, 2024 and December 31, 2023, the Company had $63 million and $68 million, respectively, of amounts receivable related to recognized revenue from the sources in the accompanying tables. Such amounts are classified in "accrued interest and other assets" in the Company’s Consolidated Balance Sheet. In certain situations, the Company is paid in advance of providing services and defers the recognition of revenue until its service obligation is satisfied. At March 31, 2024 and December 31, 2023, the Company had deferred revenue of $52 million and $54 million, respectively, related to the sources in the accompanying tables recorded in "accrued interest and other liabilities" in the Consolidated Balance Sheet.</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following tables summarize sources of the Company’s noninterest income during the three-month periods ended March 31, 2024 and 2023 that are subject to the revenue recognition accounting guidance.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Institutional Services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and Wealth</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7"/>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Commercial Bank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Retail Bank</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23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62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Classification in Consolidated</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7"/>
        </w:trPr>
        <w:tc>
          <w:tcPr>
            <w:tcW w:w="20" w:type="dxa"/>
            <w:vAlign w:val="bottom"/>
          </w:tcPr>
          <w:p>
            <w:pPr>
              <w:spacing w:after="0"/>
              <w:rPr>
                <w:sz w:val="16"/>
                <w:szCs w:val="16"/>
                <w:color w:val="auto"/>
              </w:rPr>
            </w:pPr>
          </w:p>
        </w:tc>
        <w:tc>
          <w:tcPr>
            <w:tcW w:w="4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Statement of Income</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6"/>
        </w:trPr>
        <w:tc>
          <w:tcPr>
            <w:tcW w:w="4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40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FF0FC"/>
          </w:tcPr>
          <w:p>
            <w:pPr>
              <w:spacing w:after="0"/>
              <w:rPr>
                <w:sz w:val="15"/>
                <w:szCs w:val="15"/>
                <w:color w:val="auto"/>
              </w:rPr>
            </w:pPr>
          </w:p>
        </w:tc>
      </w:tr>
      <w:tr>
        <w:trPr>
          <w:trHeight w:val="175"/>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Trust income</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5"/>
                <w:szCs w:val="15"/>
                <w:color w:val="auto"/>
              </w:rPr>
            </w:pPr>
          </w:p>
        </w:tc>
      </w:tr>
      <w:tr>
        <w:trPr>
          <w:trHeight w:val="176"/>
        </w:trPr>
        <w:tc>
          <w:tcPr>
            <w:tcW w:w="4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Brokerage services income</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FF0FC"/>
          </w:tcPr>
          <w:p>
            <w:pPr>
              <w:spacing w:after="0"/>
              <w:rPr>
                <w:sz w:val="15"/>
                <w:szCs w:val="15"/>
                <w:color w:val="auto"/>
              </w:rPr>
            </w:pPr>
          </w:p>
        </w:tc>
      </w:tr>
      <w:tr>
        <w:trPr>
          <w:trHeight w:val="175"/>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revenues from operations:</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shd w:val="clear" w:color="auto" w:fill="CFF0FC"/>
          </w:tcPr>
          <w:p>
            <w:pPr>
              <w:spacing w:after="0"/>
              <w:rPr>
                <w:sz w:val="15"/>
                <w:szCs w:val="15"/>
                <w:color w:val="auto"/>
              </w:rPr>
            </w:pPr>
          </w:p>
        </w:tc>
        <w:tc>
          <w:tcPr>
            <w:tcW w:w="46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Merchant discount and credit card interchange fees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6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r>
      <w:tr>
        <w:trPr>
          <w:trHeight w:val="209"/>
        </w:trPr>
        <w:tc>
          <w:tcPr>
            <w:tcW w:w="2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40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5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shd w:val="clear" w:color="auto" w:fill="CFF0FC"/>
          </w:tcPr>
          <w:p>
            <w:pPr>
              <w:spacing w:after="0"/>
              <w:rPr>
                <w:sz w:val="18"/>
                <w:szCs w:val="18"/>
                <w:color w:val="auto"/>
              </w:rPr>
            </w:pPr>
          </w:p>
        </w:tc>
      </w:tr>
      <w:tr>
        <w:trPr>
          <w:trHeight w:val="156"/>
        </w:trPr>
        <w:tc>
          <w:tcPr>
            <w:tcW w:w="20" w:type="dxa"/>
            <w:vAlign w:val="bottom"/>
            <w:tcBorders>
              <w:top w:val="single" w:sz="8" w:color="CFF0FC"/>
            </w:tcBorders>
          </w:tcPr>
          <w:p>
            <w:pPr>
              <w:spacing w:after="0"/>
              <w:rPr>
                <w:sz w:val="13"/>
                <w:szCs w:val="13"/>
                <w:color w:val="auto"/>
              </w:rPr>
            </w:pPr>
          </w:p>
        </w:tc>
        <w:tc>
          <w:tcPr>
            <w:tcW w:w="2300" w:type="dxa"/>
            <w:vAlign w:val="bottom"/>
            <w:tcBorders>
              <w:top w:val="single" w:sz="8" w:color="CFF0FC"/>
            </w:tcBorders>
          </w:tcPr>
          <w:p>
            <w:pPr>
              <w:spacing w:after="0"/>
              <w:rPr>
                <w:sz w:val="13"/>
                <w:szCs w:val="13"/>
                <w:color w:val="auto"/>
              </w:rPr>
            </w:pPr>
          </w:p>
        </w:tc>
        <w:tc>
          <w:tcPr>
            <w:tcW w:w="23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2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3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37"/>
        </w:trPr>
        <w:tc>
          <w:tcPr>
            <w:tcW w:w="462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Classification in Consolidated</w:t>
            </w: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20" w:type="dxa"/>
            <w:vAlign w:val="bottom"/>
          </w:tcPr>
          <w:p>
            <w:pPr>
              <w:spacing w:after="0"/>
              <w:rPr>
                <w:sz w:val="16"/>
                <w:szCs w:val="16"/>
                <w:color w:val="auto"/>
              </w:rPr>
            </w:pPr>
          </w:p>
        </w:tc>
        <w:tc>
          <w:tcPr>
            <w:tcW w:w="4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Statement of Income</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5"/>
        </w:trPr>
        <w:tc>
          <w:tcPr>
            <w:tcW w:w="4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40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FF0FC"/>
          </w:tcPr>
          <w:p>
            <w:pPr>
              <w:spacing w:after="0"/>
              <w:rPr>
                <w:sz w:val="15"/>
                <w:szCs w:val="15"/>
                <w:color w:val="auto"/>
              </w:rPr>
            </w:pPr>
          </w:p>
        </w:tc>
      </w:tr>
      <w:tr>
        <w:trPr>
          <w:trHeight w:val="176"/>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Trust income</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5"/>
                <w:szCs w:val="15"/>
                <w:color w:val="auto"/>
              </w:rPr>
            </w:pPr>
          </w:p>
        </w:tc>
      </w:tr>
      <w:tr>
        <w:trPr>
          <w:trHeight w:val="175"/>
        </w:trPr>
        <w:tc>
          <w:tcPr>
            <w:tcW w:w="4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Brokerage services income</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FF0FC"/>
          </w:tcPr>
          <w:p>
            <w:pPr>
              <w:spacing w:after="0"/>
              <w:rPr>
                <w:sz w:val="15"/>
                <w:szCs w:val="15"/>
                <w:color w:val="auto"/>
              </w:rPr>
            </w:pPr>
          </w:p>
        </w:tc>
      </w:tr>
      <w:tr>
        <w:trPr>
          <w:trHeight w:val="175"/>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revenues from operations:</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0" w:type="dxa"/>
            <w:vAlign w:val="bottom"/>
            <w:shd w:val="clear" w:color="auto" w:fill="CFF0FC"/>
          </w:tcPr>
          <w:p>
            <w:pPr>
              <w:spacing w:after="0"/>
              <w:rPr>
                <w:sz w:val="15"/>
                <w:szCs w:val="15"/>
                <w:color w:val="auto"/>
              </w:rPr>
            </w:pPr>
          </w:p>
        </w:tc>
        <w:tc>
          <w:tcPr>
            <w:tcW w:w="46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Merchant discount and credit card interchange fees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6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2300" w:type="dxa"/>
            <w:vAlign w:val="bottom"/>
            <w:tcBorders>
              <w:bottom w:val="single" w:sz="8" w:color="CFF0FC"/>
            </w:tcBorders>
            <w:shd w:val="clear" w:color="auto" w:fill="CFF0FC"/>
          </w:tcPr>
          <w:p>
            <w:pPr>
              <w:spacing w:after="0"/>
              <w:rPr>
                <w:sz w:val="18"/>
                <w:szCs w:val="18"/>
                <w:color w:val="auto"/>
              </w:rPr>
            </w:pPr>
          </w:p>
        </w:tc>
        <w:tc>
          <w:tcPr>
            <w:tcW w:w="2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-1285240</wp:posOffset>
            </wp:positionV>
            <wp:extent cx="7747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-1268095</wp:posOffset>
            </wp:positionV>
            <wp:extent cx="7747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-1285240</wp:posOffset>
            </wp:positionV>
            <wp:extent cx="685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-1268095</wp:posOffset>
            </wp:positionV>
            <wp:extent cx="685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-1285240</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-1268095</wp:posOffset>
            </wp:positionV>
            <wp:extent cx="685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-24765</wp:posOffset>
            </wp:positionV>
            <wp:extent cx="7747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7747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 Pension plans and other postretirement benefits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Company provides defined pension and other postretirement benefits (including health care and life insurance benefits) to qualified retired employees. Net periodic benefit for defined benefit plans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left="59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center"/>
              <w:ind w:left="318"/>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7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6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CFF0FC"/>
            </w:tcBorders>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(51 )</w:t>
            </w: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(51 )</w:t>
            </w:r>
          </w:p>
        </w:tc>
        <w:tc>
          <w:tcPr>
            <w:tcW w:w="220" w:type="dxa"/>
            <w:vAlign w:val="bottom"/>
            <w:shd w:val="clear" w:color="auto" w:fill="CFF0FC"/>
          </w:tcPr>
          <w:p>
            <w:pPr>
              <w:spacing w:after="0"/>
              <w:rPr>
                <w:sz w:val="21"/>
                <w:szCs w:val="21"/>
                <w:color w:val="auto"/>
              </w:rPr>
            </w:pPr>
          </w:p>
        </w:tc>
        <w:tc>
          <w:tcPr>
            <w:tcW w:w="1080" w:type="dxa"/>
            <w:vAlign w:val="bottom"/>
            <w:tcBorders>
              <w:right w:val="single" w:sz="8" w:color="CFF0FC"/>
            </w:tcBorders>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periodic benefit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(20 )</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(20 )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CFF0FC"/>
            </w:tcBorders>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-24765</wp:posOffset>
            </wp:positionV>
            <wp:extent cx="7747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7747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Service cost is reflected in "salaries and employee benefits" and the other components of net periodic benefit cost are reflected in "other costs of operations" in the Consolidated Statement of Income. Expenses incurred in connection with the Company's defined contribution pension and retirement savings plans totaled $45 million and $44 million for the three months ended March 31, 2024 and 2023, respectively.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8. Earnings per common share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computations of basic earnings per common share follow: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0" w:type="dxa"/>
            <w:vAlign w:val="bottom"/>
            <w:gridSpan w:val="7"/>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shares in thousands)</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available to common shareholders: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(25 )</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41"/>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available to common equity</w:t>
            </w:r>
          </w:p>
        </w:tc>
        <w:tc>
          <w:tcPr>
            <w:tcW w:w="10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Income attributable to unvested stock-based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4"/>
        </w:trPr>
        <w:tc>
          <w:tcPr>
            <w:tcW w:w="7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awards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spacing w:after="0"/>
              <w:rPr>
                <w:sz w:val="23"/>
                <w:szCs w:val="23"/>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4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top w:val="single" w:sz="8" w:color="auto"/>
              <w:bottom w:val="single" w:sz="8" w:color="auto"/>
            </w:tcBorders>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shares outstanding (including common stock</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4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issuable) and unvested stock-based compensation awards</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166,738</w:t>
            </w:r>
          </w:p>
        </w:tc>
        <w:tc>
          <w:tcPr>
            <w:tcW w:w="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Unvested stock-based compensation awards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(278 )</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(278 )</w:t>
            </w:r>
          </w:p>
        </w:tc>
        <w:tc>
          <w:tcPr>
            <w:tcW w:w="0" w:type="dxa"/>
            <w:vAlign w:val="bottom"/>
          </w:tcPr>
          <w:p>
            <w:pPr>
              <w:spacing w:after="0"/>
              <w:rPr>
                <w:sz w:val="1"/>
                <w:szCs w:val="1"/>
                <w:color w:val="auto"/>
              </w:rPr>
            </w:pPr>
          </w:p>
        </w:tc>
      </w:tr>
      <w:tr>
        <w:trPr>
          <w:trHeight w:val="277"/>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spacing w:after="0"/>
              <w:rPr>
                <w:sz w:val="24"/>
                <w:szCs w:val="2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166,460</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top w:val="single" w:sz="8" w:color="auto"/>
              <w:bottom w:val="single" w:sz="8" w:color="auto"/>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167,732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7400" w:type="dxa"/>
            <w:vAlign w:val="bottom"/>
          </w:tcPr>
          <w:p>
            <w:pPr>
              <w:spacing w:after="0"/>
              <w:rPr>
                <w:sz w:val="20"/>
                <w:szCs w:val="20"/>
                <w:color w:val="auto"/>
              </w:rPr>
            </w:pPr>
            <w:r>
              <w:rPr>
                <w:rFonts w:ascii="Times New Roman" w:cs="Times New Roman" w:eastAsia="Times New Roman" w:hAnsi="Times New Roman"/>
                <w:sz w:val="21"/>
                <w:szCs w:val="21"/>
                <w:color w:val="auto"/>
              </w:rPr>
              <w:t>The computations of diluted earnings per common share follow:</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0" w:type="dxa"/>
            <w:vAlign w:val="bottom"/>
            <w:gridSpan w:val="7"/>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shares in thousands)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equity</w:t>
            </w:r>
          </w:p>
        </w:tc>
        <w:tc>
          <w:tcPr>
            <w:tcW w:w="4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40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Income attributable to unvested stock-based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4"/>
        </w:trPr>
        <w:tc>
          <w:tcPr>
            <w:tcW w:w="7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awards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40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weighted-average shares outstanding:</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shares outstanding (including common stock</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4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issuable) and unvested stock-based compensation awards</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166,738</w:t>
            </w:r>
          </w:p>
        </w:tc>
        <w:tc>
          <w:tcPr>
            <w:tcW w:w="4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Unvested stock-based compensation awards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(278 )</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(278 )</w:t>
            </w:r>
          </w:p>
        </w:tc>
        <w:tc>
          <w:tcPr>
            <w:tcW w:w="0" w:type="dxa"/>
            <w:vAlign w:val="bottom"/>
          </w:tcPr>
          <w:p>
            <w:pPr>
              <w:spacing w:after="0"/>
              <w:rPr>
                <w:sz w:val="1"/>
                <w:szCs w:val="1"/>
                <w:color w:val="auto"/>
              </w:rPr>
            </w:pPr>
          </w:p>
        </w:tc>
      </w:tr>
      <w:tr>
        <w:trPr>
          <w:trHeight w:val="215"/>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Plus: Incremental shares from assumed conversion</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of stock-based compensation awards</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gridSpan w:val="2"/>
            <w:vMerge w:val="continue"/>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weighted-average shares outstanding</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167,084</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00" w:type="dxa"/>
            <w:vAlign w:val="bottom"/>
          </w:tcPr>
          <w:p>
            <w:pPr>
              <w:spacing w:after="0"/>
              <w:rPr>
                <w:sz w:val="20"/>
                <w:szCs w:val="20"/>
                <w:color w:val="auto"/>
              </w:rPr>
            </w:pPr>
          </w:p>
        </w:tc>
        <w:tc>
          <w:tcPr>
            <w:tcW w:w="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-3654425</wp:posOffset>
            </wp:positionV>
            <wp:extent cx="68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-3637280</wp:posOffset>
            </wp:positionV>
            <wp:extent cx="68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-3654425</wp:posOffset>
            </wp:positionV>
            <wp:extent cx="685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-3637280</wp:posOffset>
            </wp:positionV>
            <wp:extent cx="6858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-2865755</wp:posOffset>
            </wp:positionV>
            <wp:extent cx="6858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-2848610</wp:posOffset>
            </wp:positionV>
            <wp:extent cx="6858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-2865755</wp:posOffset>
            </wp:positionV>
            <wp:extent cx="6858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-2848610</wp:posOffset>
            </wp:positionV>
            <wp:extent cx="6858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-1399540</wp:posOffset>
            </wp:positionV>
            <wp:extent cx="7747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-1382395</wp:posOffset>
            </wp:positionV>
            <wp:extent cx="7747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-1399540</wp:posOffset>
            </wp:positionV>
            <wp:extent cx="6858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-1382395</wp:posOffset>
            </wp:positionV>
            <wp:extent cx="6858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-490855</wp:posOffset>
            </wp:positionV>
            <wp:extent cx="7747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Stock-based compensation awards to purchase common stock of M&amp;T representing 1,328,190 common shares and 1,367,054 common shares during the three months ended March 31, 2024 and 2023, respectively, were not included in the computations of diluted earnings per common share because the effect on those periods would have been antidilutive.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 Comprehensive income</w:t>
      </w:r>
    </w:p>
    <w:p>
      <w:pPr>
        <w:spacing w:after="0" w:line="11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The following tables display the components of other comprehensive income (loss) and amounts reclassified from accumulated other comprehensive income (loss) to net income: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Defined</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Cash Flow</w:t>
            </w:r>
          </w:p>
        </w:tc>
        <w:tc>
          <w:tcPr>
            <w:tcW w:w="1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72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rPr>
              <w:t>Hedges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Plans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Before Tax</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Tax</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January 1, 2024</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(251 )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(203 )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(155 )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(616 )</w:t>
            </w: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(459 )</w:t>
            </w:r>
          </w:p>
        </w:tc>
        <w:tc>
          <w:tcPr>
            <w:tcW w:w="0" w:type="dxa"/>
            <w:vAlign w:val="bottom"/>
          </w:tcPr>
          <w:p>
            <w:pPr>
              <w:spacing w:after="0"/>
              <w:rPr>
                <w:sz w:val="1"/>
                <w:szCs w:val="1"/>
                <w:color w:val="auto"/>
              </w:rPr>
            </w:pPr>
          </w:p>
        </w:tc>
      </w:tr>
      <w:tr>
        <w:trPr>
          <w:trHeight w:val="17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Unrealized holding losses, net</w:t>
            </w: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(13 )</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(13 )</w:t>
            </w: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75"/>
        </w:trPr>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6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(2 )</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76"/>
        </w:trPr>
        <w:tc>
          <w:tcPr>
            <w:tcW w:w="4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Unrealized losses on cash flow hedges</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(243 )</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(243 )</w:t>
            </w: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(183 )</w:t>
            </w:r>
          </w:p>
        </w:tc>
        <w:tc>
          <w:tcPr>
            <w:tcW w:w="0" w:type="dxa"/>
            <w:vAlign w:val="bottom"/>
          </w:tcPr>
          <w:p>
            <w:pPr>
              <w:spacing w:after="0"/>
              <w:rPr>
                <w:sz w:val="1"/>
                <w:szCs w:val="1"/>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58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Total other comprehensive income (loss) before</w:t>
            </w:r>
          </w:p>
        </w:tc>
        <w:tc>
          <w:tcPr>
            <w:tcW w:w="26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(13 )</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(243 )</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1"/>
                <w:szCs w:val="11"/>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(258 )</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(196 )</w:t>
            </w:r>
          </w:p>
        </w:tc>
        <w:tc>
          <w:tcPr>
            <w:tcW w:w="0" w:type="dxa"/>
            <w:vAlign w:val="bottom"/>
          </w:tcPr>
          <w:p>
            <w:pPr>
              <w:spacing w:after="0"/>
              <w:rPr>
                <w:sz w:val="1"/>
                <w:szCs w:val="1"/>
                <w:color w:val="auto"/>
              </w:rPr>
            </w:pPr>
          </w:p>
        </w:tc>
      </w:tr>
      <w:tr>
        <w:trPr>
          <w:trHeight w:val="171"/>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reclassifications</w:t>
            </w:r>
          </w:p>
        </w:tc>
        <w:tc>
          <w:tcPr>
            <w:tcW w:w="2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80" w:type="dxa"/>
            <w:vAlign w:val="bottom"/>
            <w:gridSpan w:val="2"/>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26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5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income (loss) that (increase) decrease net income:</w:t>
            </w: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Losses realized in net income</w:t>
            </w: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580" w:type="dxa"/>
            <w:vAlign w:val="bottom"/>
            <w:gridSpan w:val="2"/>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yield adjustment from cash flow hedges</w:t>
            </w: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(a)</w:t>
            </w:r>
          </w:p>
        </w:tc>
        <w:tc>
          <w:tcPr>
            <w:tcW w:w="10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(21 )</w:t>
            </w:r>
          </w:p>
        </w:tc>
        <w:tc>
          <w:tcPr>
            <w:tcW w:w="16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currently in effect</w:t>
            </w:r>
          </w:p>
        </w:tc>
        <w:tc>
          <w:tcPr>
            <w:tcW w:w="2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Amortization of actuarial losses</w:t>
            </w: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(1 )</w:t>
            </w:r>
          </w:p>
        </w:tc>
        <w:tc>
          <w:tcPr>
            <w:tcW w:w="1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(1 )</w:t>
            </w: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(b)</w:t>
            </w: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2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(12 )</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(156 )</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(1 )</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(171 )</w:t>
            </w: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(130 )</w:t>
            </w:r>
          </w:p>
        </w:tc>
        <w:tc>
          <w:tcPr>
            <w:tcW w:w="0" w:type="dxa"/>
            <w:vAlign w:val="bottom"/>
          </w:tcPr>
          <w:p>
            <w:pPr>
              <w:spacing w:after="0"/>
              <w:rPr>
                <w:sz w:val="1"/>
                <w:szCs w:val="1"/>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 March 31, 2024</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(263 )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(359 )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(156 )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(787 )</w:t>
            </w:r>
          </w:p>
        </w:tc>
        <w:tc>
          <w:tcPr>
            <w:tcW w:w="3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(589 )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0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January 1, 2023</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(444 )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(336 )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(273 )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(1,066 )</w:t>
            </w: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(790 )</w:t>
            </w:r>
          </w:p>
        </w:tc>
        <w:tc>
          <w:tcPr>
            <w:tcW w:w="0" w:type="dxa"/>
            <w:vAlign w:val="bottom"/>
          </w:tcPr>
          <w:p>
            <w:pPr>
              <w:spacing w:after="0"/>
              <w:rPr>
                <w:sz w:val="1"/>
                <w:szCs w:val="1"/>
                <w:color w:val="auto"/>
              </w:rPr>
            </w:pPr>
          </w:p>
        </w:tc>
      </w:tr>
      <w:tr>
        <w:trPr>
          <w:trHeight w:val="17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Unrealized holding gains, net</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(24 )</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6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Unrealized losses on cash flow hedges</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(13 )</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58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Total other comprehensive income (loss) before</w:t>
            </w:r>
          </w:p>
        </w:tc>
        <w:tc>
          <w:tcPr>
            <w:tcW w:w="26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(38 )</w:t>
            </w:r>
          </w:p>
        </w:tc>
        <w:tc>
          <w:tcPr>
            <w:tcW w:w="1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reclassifications</w:t>
            </w:r>
          </w:p>
        </w:tc>
        <w:tc>
          <w:tcPr>
            <w:tcW w:w="2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80" w:type="dxa"/>
            <w:vAlign w:val="bottom"/>
            <w:gridSpan w:val="2"/>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26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5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income (loss) that (increase) decrease net income:</w:t>
            </w: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58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yield adjustment from cash flow hedges</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2"/>
                <w:szCs w:val="12"/>
                <w:color w:val="auto"/>
              </w:rPr>
            </w:pPr>
          </w:p>
        </w:tc>
        <w:tc>
          <w:tcPr>
            <w:tcW w:w="3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(a)</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(16 )</w:t>
            </w:r>
          </w:p>
        </w:tc>
        <w:tc>
          <w:tcPr>
            <w:tcW w:w="1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currently in effect</w:t>
            </w:r>
          </w:p>
        </w:tc>
        <w:tc>
          <w:tcPr>
            <w:tcW w:w="260" w:type="dxa"/>
            <w:vAlign w:val="bottom"/>
          </w:tcPr>
          <w:p>
            <w:pPr>
              <w:spacing w:after="0"/>
              <w:rPr>
                <w:sz w:val="16"/>
                <w:szCs w:val="16"/>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actuarial losses</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(2 )</w:t>
            </w: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(2 )</w:t>
            </w: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(b)</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(2 )</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(54 )</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March 31, 2023</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(355 )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(226 )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(275 )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(867 )</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(645 )</w:t>
            </w:r>
          </w:p>
        </w:tc>
        <w:tc>
          <w:tcPr>
            <w:tcW w:w="0" w:type="dxa"/>
            <w:vAlign w:val="bottom"/>
          </w:tcPr>
          <w:p>
            <w:pPr>
              <w:spacing w:after="0"/>
              <w:rPr>
                <w:sz w:val="1"/>
                <w:szCs w:val="1"/>
                <w:color w:val="auto"/>
              </w:rPr>
            </w:pPr>
          </w:p>
        </w:tc>
      </w:tr>
      <w:tr>
        <w:trPr>
          <w:trHeight w:val="34"/>
        </w:trPr>
        <w:tc>
          <w:tcPr>
            <w:tcW w:w="3000" w:type="dxa"/>
            <w:vAlign w:val="bottom"/>
            <w:tcBorders>
              <w:top w:val="single" w:sz="8" w:color="CFF0FC"/>
              <w:bottom w:val="single" w:sz="8" w:color="auto"/>
            </w:tcBorders>
          </w:tcPr>
          <w:p>
            <w:pPr>
              <w:spacing w:after="0"/>
              <w:rPr>
                <w:sz w:val="3"/>
                <w:szCs w:val="3"/>
                <w:color w:val="auto"/>
              </w:rPr>
            </w:pPr>
          </w:p>
        </w:tc>
        <w:tc>
          <w:tcPr>
            <w:tcW w:w="1580" w:type="dxa"/>
            <w:vAlign w:val="bottom"/>
            <w:tcBorders>
              <w:top w:val="single" w:sz="8" w:color="CFF0FC"/>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240" w:type="dxa"/>
            <w:vAlign w:val="bottom"/>
            <w:tcBorders>
              <w:top w:val="single" w:sz="8" w:color="CFF0FC"/>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40" w:type="dxa"/>
            <w:vAlign w:val="bottom"/>
            <w:tcBorders>
              <w:top w:val="single" w:sz="8" w:color="CFF0FC"/>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220" w:type="dxa"/>
            <w:vAlign w:val="bottom"/>
            <w:tcBorders>
              <w:top w:val="single" w:sz="8" w:color="CFF0FC"/>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220" w:type="dxa"/>
            <w:vAlign w:val="bottom"/>
            <w:tcBorders>
              <w:top w:val="single" w:sz="8" w:color="CFF0FC"/>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340" w:type="dxa"/>
            <w:vAlign w:val="bottom"/>
            <w:tcBorders>
              <w:top w:val="single" w:sz="8" w:color="CFF0FC"/>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220" w:type="dxa"/>
            <w:vAlign w:val="bottom"/>
            <w:tcBorders>
              <w:top w:val="single" w:sz="8" w:color="CFF0FC"/>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-2939415</wp:posOffset>
            </wp:positionV>
            <wp:extent cx="7747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-2939415</wp:posOffset>
            </wp:positionV>
            <wp:extent cx="7747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-2939415</wp:posOffset>
            </wp:positionV>
            <wp:extent cx="6858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-2939415</wp:posOffset>
            </wp:positionV>
            <wp:extent cx="6858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-2939415</wp:posOffset>
            </wp:positionV>
            <wp:extent cx="6858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-2939415</wp:posOffset>
            </wp:positionV>
            <wp:extent cx="6858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-1971040</wp:posOffset>
            </wp:positionV>
            <wp:extent cx="7747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-1971040</wp:posOffset>
            </wp:positionV>
            <wp:extent cx="7747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-1971040</wp:posOffset>
            </wp:positionV>
            <wp:extent cx="685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-1971040</wp:posOffset>
            </wp:positionV>
            <wp:extent cx="6858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-1971040</wp:posOffset>
            </wp:positionV>
            <wp:extent cx="6858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-1971040</wp:posOffset>
            </wp:positionV>
            <wp:extent cx="6858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-1045210</wp:posOffset>
            </wp:positionV>
            <wp:extent cx="7747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-1045210</wp:posOffset>
            </wp:positionV>
            <wp:extent cx="7747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-1045210</wp:posOffset>
            </wp:positionV>
            <wp:extent cx="6858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-1045210</wp:posOffset>
            </wp:positionV>
            <wp:extent cx="6858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-1045210</wp:posOffset>
            </wp:positionV>
            <wp:extent cx="6858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-1045210</wp:posOffset>
            </wp:positionV>
            <wp:extent cx="6858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-307975</wp:posOffset>
            </wp:positionV>
            <wp:extent cx="7747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-307975</wp:posOffset>
            </wp:positionV>
            <wp:extent cx="7747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-307975</wp:posOffset>
            </wp:positionV>
            <wp:extent cx="6858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-307975</wp:posOffset>
            </wp:positionV>
            <wp:extent cx="6858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-307975</wp:posOffset>
            </wp:positionV>
            <wp:extent cx="6858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-307975</wp:posOffset>
            </wp:positionV>
            <wp:extent cx="6858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-67945</wp:posOffset>
            </wp:positionV>
            <wp:extent cx="7747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-50800</wp:posOffset>
            </wp:positionV>
            <wp:extent cx="7747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-67945</wp:posOffset>
            </wp:positionV>
            <wp:extent cx="7747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-50800</wp:posOffset>
            </wp:positionV>
            <wp:extent cx="7747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-67945</wp:posOffset>
            </wp:positionV>
            <wp:extent cx="6858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-50800</wp:posOffset>
            </wp:positionV>
            <wp:extent cx="6858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-67945</wp:posOffset>
            </wp:positionV>
            <wp:extent cx="6858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-50800</wp:posOffset>
            </wp:positionV>
            <wp:extent cx="6858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-67945</wp:posOffset>
            </wp:positionV>
            <wp:extent cx="6858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-50800</wp:posOffset>
            </wp:positionV>
            <wp:extent cx="6858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-67945</wp:posOffset>
            </wp:positionV>
            <wp:extent cx="6858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-50800</wp:posOffset>
            </wp:positionV>
            <wp:extent cx="6858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-67945</wp:posOffset>
            </wp:positionV>
            <wp:extent cx="6858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-50800</wp:posOffset>
            </wp:positionV>
            <wp:extent cx="6858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20" w:hanging="512"/>
        <w:spacing w:after="0"/>
        <w:tabs>
          <w:tab w:leader="none" w:pos="52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"interest income" in the Consolidated Statement of Income.</w:t>
      </w:r>
    </w:p>
    <w:p>
      <w:pPr>
        <w:spacing w:after="0" w:line="5" w:lineRule="exact"/>
        <w:rPr>
          <w:rFonts w:ascii="Times New Roman" w:cs="Times New Roman" w:eastAsia="Times New Roman" w:hAnsi="Times New Roman"/>
          <w:sz w:val="14"/>
          <w:szCs w:val="14"/>
          <w:i w:val="1"/>
          <w:iCs w:val="1"/>
          <w:color w:val="auto"/>
        </w:rPr>
      </w:pPr>
    </w:p>
    <w:p>
      <w:pPr>
        <w:ind w:left="520" w:hanging="512"/>
        <w:spacing w:after="0"/>
        <w:tabs>
          <w:tab w:leader="none" w:pos="52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"other costs of operations" in the Consolidated Statement of Income.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Accumulated other comprehensive income (loss), net consisted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Defined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41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80" w:type="dxa"/>
            <w:vAlign w:val="bottom"/>
          </w:tcPr>
          <w:p>
            <w:pPr>
              <w:spacing w:after="0"/>
              <w:rPr>
                <w:sz w:val="15"/>
                <w:szCs w:val="15"/>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Cash Flow</w:t>
            </w:r>
          </w:p>
        </w:tc>
        <w:tc>
          <w:tcPr>
            <w:tcW w:w="220" w:type="dxa"/>
            <w:vAlign w:val="bottom"/>
          </w:tcPr>
          <w:p>
            <w:pPr>
              <w:spacing w:after="0"/>
              <w:rPr>
                <w:sz w:val="15"/>
                <w:szCs w:val="15"/>
                <w:color w:val="auto"/>
              </w:rPr>
            </w:pPr>
          </w:p>
        </w:tc>
        <w:tc>
          <w:tcPr>
            <w:tcW w:w="122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Hedges</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3"/>
                <w:szCs w:val="13"/>
                <w:b w:val="1"/>
                <w:bCs w:val="1"/>
                <w:color w:val="auto"/>
                <w:w w:val="98"/>
              </w:rPr>
              <w:t>Plans</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r>
      <w:tr>
        <w:trPr>
          <w:trHeight w:val="23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December 31, 2023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(187 )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(151 )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(459 )</w:t>
            </w: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during period</w:t>
            </w:r>
          </w:p>
        </w:tc>
        <w:tc>
          <w:tcPr>
            <w:tcW w:w="180" w:type="dxa"/>
            <w:vAlign w:val="bottom"/>
          </w:tcPr>
          <w:p>
            <w:pPr>
              <w:spacing w:after="0"/>
              <w:rPr>
                <w:sz w:val="20"/>
                <w:szCs w:val="20"/>
                <w:color w:val="auto"/>
              </w:rPr>
            </w:pP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(117 )</w:t>
            </w:r>
          </w:p>
        </w:tc>
        <w:tc>
          <w:tcPr>
            <w:tcW w:w="2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(130 )</w:t>
            </w:r>
          </w:p>
        </w:tc>
      </w:tr>
      <w:tr>
        <w:trPr>
          <w:trHeight w:val="20"/>
        </w:trPr>
        <w:tc>
          <w:tcPr>
            <w:tcW w:w="4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March 31, 2024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(197 )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(268 )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(116 )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(589 )</w:t>
            </w: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633"/>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- 26 -</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-933450</wp:posOffset>
            </wp:positionV>
            <wp:extent cx="7683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-916305</wp:posOffset>
            </wp:positionV>
            <wp:extent cx="7683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-933450</wp:posOffset>
            </wp:positionV>
            <wp:extent cx="6858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-916305</wp:posOffset>
            </wp:positionV>
            <wp:extent cx="6858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-933450</wp:posOffset>
            </wp:positionV>
            <wp:extent cx="6858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-916305</wp:posOffset>
            </wp:positionV>
            <wp:extent cx="6858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-933450</wp:posOffset>
            </wp:positionV>
            <wp:extent cx="6858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-916305</wp:posOffset>
            </wp:positionV>
            <wp:extent cx="6858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10. Derivative financial instruments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as of March 31, 2024.</w:t>
      </w:r>
    </w:p>
    <w:p>
      <w:pPr>
        <w:spacing w:after="0" w:line="7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net effect of interest rate swap agreements was to decrease net interest income by $100 million and $69 million during the three-month periods ended March 31, 2024 and 2023, respectively.</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Information about interest rate swap agreements entered into for interest rate risk management purposes summarized by type of financial instrument the swap agreements were intended to hedge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94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5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7"/>
                <w:szCs w:val="17"/>
                <w:color w:val="auto"/>
              </w:rPr>
            </w:pPr>
          </w:p>
        </w:tc>
        <w:tc>
          <w:tcPr>
            <w:tcW w:w="10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 (Loss) (a)</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4440" w:type="dxa"/>
            <w:vAlign w:val="bottom"/>
            <w:gridSpan w:val="3"/>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55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Fair value hedges:</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55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Fixed rate long-term borrowings (b) (c)</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3.48 %</w:t>
            </w:r>
          </w:p>
        </w:tc>
        <w:tc>
          <w:tcPr>
            <w:tcW w:w="100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5.51 %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55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55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 payments on variable rate commercial real estate</w:t>
            </w:r>
          </w:p>
        </w:tc>
        <w:tc>
          <w:tcPr>
            <w:tcW w:w="22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23,427</w:t>
            </w:r>
          </w:p>
        </w:tc>
        <w:tc>
          <w:tcPr>
            <w:tcW w:w="240" w:type="dxa"/>
            <w:vAlign w:val="bottom"/>
            <w:vMerge w:val="restart"/>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FF0FC"/>
            </w:tcBorders>
            <w:shd w:val="clear" w:color="auto" w:fill="CFF0FC"/>
          </w:tcPr>
          <w:p>
            <w:pPr>
              <w:spacing w:after="0"/>
              <w:rPr>
                <w:sz w:val="18"/>
                <w:szCs w:val="18"/>
                <w:color w:val="auto"/>
              </w:rPr>
            </w:pPr>
          </w:p>
        </w:tc>
        <w:tc>
          <w:tcPr>
            <w:tcW w:w="5520" w:type="dxa"/>
            <w:vAlign w:val="bottom"/>
            <w:tcBorders>
              <w:bottom w:val="single" w:sz="8" w:color="CFF0FC"/>
            </w:tcBorders>
            <w:gridSpan w:val="4"/>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loans (b) (d)</w:t>
            </w: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vMerge w:val="continue"/>
            <w:shd w:val="clear" w:color="auto" w:fill="CFF0FC"/>
          </w:tcPr>
          <w:p>
            <w:pPr>
              <w:spacing w:after="0"/>
              <w:rPr>
                <w:sz w:val="18"/>
                <w:szCs w:val="18"/>
                <w:color w:val="auto"/>
              </w:rPr>
            </w:pPr>
          </w:p>
        </w:tc>
        <w:tc>
          <w:tcPr>
            <w:tcW w:w="76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w w:val="92"/>
              </w:rPr>
              <w:t>3.38</w:t>
            </w:r>
          </w:p>
        </w:tc>
        <w:tc>
          <w:tcPr>
            <w:tcW w:w="2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w w:val="99"/>
              </w:rPr>
              <w:t>5.33</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gridSpan w:val="2"/>
            <w:shd w:val="clear" w:color="auto" w:fill="CFF0FC"/>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December 31, 2023</w:t>
            </w:r>
          </w:p>
        </w:tc>
        <w:tc>
          <w:tcPr>
            <w:tcW w:w="4200" w:type="dxa"/>
            <w:vAlign w:val="bottom"/>
            <w:tcBorders>
              <w:bottom w:val="single" w:sz="8" w:color="CFF0FC"/>
            </w:tcBorders>
            <w:gridSpan w:val="2"/>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5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Fair value hedges: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55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Fixed rate long-term borrowings (b) (e)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3.45 %</w:t>
            </w:r>
          </w:p>
        </w:tc>
        <w:tc>
          <w:tcPr>
            <w:tcW w:w="100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5.62 %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20"/>
        </w:trPr>
        <w:tc>
          <w:tcPr>
            <w:tcW w:w="55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55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 payments on variable rate commercial real estate</w:t>
            </w:r>
          </w:p>
        </w:tc>
        <w:tc>
          <w:tcPr>
            <w:tcW w:w="22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23,977</w:t>
            </w:r>
          </w:p>
        </w:tc>
        <w:tc>
          <w:tcPr>
            <w:tcW w:w="240" w:type="dxa"/>
            <w:vAlign w:val="bottom"/>
            <w:vMerge w:val="restart"/>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FF0FC"/>
            </w:tcBorders>
            <w:shd w:val="clear" w:color="auto" w:fill="CFF0FC"/>
          </w:tcPr>
          <w:p>
            <w:pPr>
              <w:spacing w:after="0"/>
              <w:rPr>
                <w:sz w:val="18"/>
                <w:szCs w:val="18"/>
                <w:color w:val="auto"/>
              </w:rPr>
            </w:pPr>
          </w:p>
        </w:tc>
        <w:tc>
          <w:tcPr>
            <w:tcW w:w="5520" w:type="dxa"/>
            <w:vAlign w:val="bottom"/>
            <w:tcBorders>
              <w:bottom w:val="single" w:sz="8" w:color="CFF0FC"/>
            </w:tcBorders>
            <w:gridSpan w:val="4"/>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loans (b) (f)</w:t>
            </w: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vMerge w:val="continue"/>
            <w:shd w:val="clear" w:color="auto" w:fill="CFF0FC"/>
          </w:tcPr>
          <w:p>
            <w:pPr>
              <w:spacing w:after="0"/>
              <w:rPr>
                <w:sz w:val="18"/>
                <w:szCs w:val="18"/>
                <w:color w:val="auto"/>
              </w:rPr>
            </w:pPr>
          </w:p>
        </w:tc>
        <w:tc>
          <w:tcPr>
            <w:tcW w:w="76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w w:val="92"/>
              </w:rPr>
              <w:t>3.45</w:t>
            </w:r>
          </w:p>
        </w:tc>
        <w:tc>
          <w:tcPr>
            <w:tcW w:w="2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w w:val="99"/>
              </w:rPr>
              <w:t>5.36</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-1250950</wp:posOffset>
            </wp:positionV>
            <wp:extent cx="7683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-1250950</wp:posOffset>
            </wp:positionV>
            <wp:extent cx="7747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-222250</wp:posOffset>
            </wp:positionV>
            <wp:extent cx="7683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-222250</wp:posOffset>
            </wp:positionV>
            <wp:extent cx="7747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both"/>
        <w:ind w:left="520" w:hanging="512"/>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clearinghouse exchanges consider payments by counterparties for variation margin on derivative instruments to be settlements of those positions. The impact of such payments for interest rate swap agreements designated as fair value hedges was a net settlement of losses of $104 million at March 31, 2024 and $43 million at December 31, 2023. The impact of such payments on interest rate swap agreements designated as cash flow hedges was a net settlement of losses of $361 million at March 31, 2024 and $214 million at December 31, 2023.</w:t>
      </w:r>
    </w:p>
    <w:p>
      <w:pPr>
        <w:spacing w:after="0" w:line="129" w:lineRule="exact"/>
        <w:rPr>
          <w:rFonts w:ascii="Times New Roman" w:cs="Times New Roman" w:eastAsia="Times New Roman" w:hAnsi="Times New Roman"/>
          <w:sz w:val="14"/>
          <w:szCs w:val="14"/>
          <w:i w:val="1"/>
          <w:iCs w:val="1"/>
          <w:color w:val="auto"/>
        </w:rPr>
      </w:pPr>
    </w:p>
    <w:p>
      <w:pPr>
        <w:ind w:left="520" w:hanging="512"/>
        <w:spacing w:after="0" w:line="221" w:lineRule="auto"/>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Under the terms of these agreements, the Company receives settlement amounts at a fixed rate and pays at a variable rate.</w:t>
      </w:r>
    </w:p>
    <w:p>
      <w:pPr>
        <w:ind w:left="520" w:hanging="512"/>
        <w:spacing w:after="0" w:line="221" w:lineRule="auto"/>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$1.8 billion of forward-starting interest rate swap agreements that become effective in 2025.</w:t>
      </w:r>
    </w:p>
    <w:p>
      <w:pPr>
        <w:ind w:left="520" w:hanging="512"/>
        <w:spacing w:after="0" w:line="221" w:lineRule="auto"/>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$6.0 billion of forward-starting interest rate swap agreements that become effective in 2024 and 2025.</w:t>
      </w:r>
    </w:p>
    <w:p>
      <w:pPr>
        <w:ind w:left="520" w:hanging="512"/>
        <w:spacing w:after="0" w:line="221" w:lineRule="auto"/>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$1.0 billion of forward-starting interest rate swap agreements that become effective in 2025.</w:t>
      </w:r>
    </w:p>
    <w:p>
      <w:pPr>
        <w:ind w:left="520" w:hanging="512"/>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$9.0 billion of forward-starting interest rate swap agreements that become effective in 2024.</w:t>
      </w:r>
    </w:p>
    <w:p>
      <w:pPr>
        <w:spacing w:after="0" w:line="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the fair value of certain commitments to originate real estate loans for sale.</w:t>
      </w:r>
    </w:p>
    <w:p>
      <w:pPr>
        <w:spacing w:after="0" w:line="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Other derivative financial instruments not designated as hedging instruments included interest rate contracts, foreign exchange and other option and futures contracts. Interest rate contracts not designated as hedging instruments had notional values of $43.4 billion and $44.4 billion at March 31, 2024 and December 31, 2023, respectively. The notional amounts of foreign exchange and other option and futures contracts not designated as hedging instruments aggregated $1.7 billion and $1.5 billion at March 31, 2024 and December 31, 2023, respectively.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10. Derivative financial instruments, continued</w:t>
      </w:r>
    </w:p>
    <w:p>
      <w:pPr>
        <w:spacing w:after="0" w:line="11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Information about the fair values of derivative instruments in the Company’s Consolidated Balance Sheet and Consolidated Statement of Income follows: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29" w:lineRule="exact"/>
        <w:rPr>
          <w:sz w:val="20"/>
          <w:szCs w:val="20"/>
          <w:color w:val="auto"/>
        </w:rPr>
      </w:pPr>
    </w:p>
    <w:p>
      <w:pPr>
        <w:ind w:left="140" w:right="1740" w:hanging="121"/>
        <w:spacing w:after="0" w:line="279" w:lineRule="auto"/>
        <w:rPr>
          <w:sz w:val="20"/>
          <w:szCs w:val="20"/>
          <w:color w:val="auto"/>
        </w:rPr>
      </w:pPr>
      <w:r>
        <w:rPr>
          <w:rFonts w:ascii="Times New Roman" w:cs="Times New Roman" w:eastAsia="Times New Roman" w:hAnsi="Times New Roman"/>
          <w:sz w:val="16"/>
          <w:szCs w:val="16"/>
          <w:b w:val="1"/>
          <w:bCs w:val="1"/>
          <w:color w:val="auto"/>
        </w:rPr>
        <w:t>Derivatives designated and qualifying as hedging instruments (a)</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20" w:type="dxa"/>
            <w:vAlign w:val="bottom"/>
          </w:tcPr>
          <w:p>
            <w:pPr>
              <w:spacing w:after="0"/>
              <w:rPr>
                <w:sz w:val="16"/>
                <w:szCs w:val="16"/>
                <w:color w:val="auto"/>
              </w:rPr>
            </w:pPr>
          </w:p>
        </w:tc>
        <w:tc>
          <w:tcPr>
            <w:tcW w:w="2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r>
      <w:tr>
        <w:trPr>
          <w:trHeight w:val="158"/>
        </w:trPr>
        <w:tc>
          <w:tcPr>
            <w:tcW w:w="920" w:type="dxa"/>
            <w:vAlign w:val="bottom"/>
          </w:tcPr>
          <w:p>
            <w:pPr>
              <w:spacing w:after="0"/>
              <w:rPr>
                <w:sz w:val="13"/>
                <w:szCs w:val="13"/>
                <w:color w:val="auto"/>
              </w:rPr>
            </w:pPr>
          </w:p>
        </w:tc>
        <w:tc>
          <w:tcPr>
            <w:tcW w:w="1620" w:type="dxa"/>
            <w:vAlign w:val="bottom"/>
            <w:gridSpan w:val="3"/>
          </w:tcPr>
          <w:p>
            <w:pPr>
              <w:jc w:val="center"/>
              <w:ind w:right="828"/>
              <w:spacing w:after="0" w:line="158"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gridSpan w:val="3"/>
          </w:tcPr>
          <w:p>
            <w:pPr>
              <w:jc w:val="center"/>
              <w:ind w:right="828"/>
              <w:spacing w:after="0" w:line="158" w:lineRule="exact"/>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75"/>
        </w:trPr>
        <w:tc>
          <w:tcPr>
            <w:tcW w:w="9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9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9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432" w:lineRule="exact"/>
        <w:rPr>
          <w:sz w:val="20"/>
          <w:szCs w:val="20"/>
          <w:color w:val="auto"/>
        </w:rPr>
      </w:pPr>
    </w:p>
    <w:p>
      <w:pPr>
        <w:sectPr>
          <w:pgSz w:w="11900" w:h="16838" w:orient="portrait"/>
          <w:cols w:equalWidth="0" w:num="2">
            <w:col w:w="5140" w:space="720"/>
            <w:col w:w="5380"/>
          </w:cols>
          <w:pgMar w:left="320" w:top="769"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5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3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Commitments to sell real estate loans</w:t>
            </w: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36"/>
        </w:trPr>
        <w:tc>
          <w:tcPr>
            <w:tcW w:w="3000" w:type="dxa"/>
            <w:vAlign w:val="bottom"/>
            <w:tcBorders>
              <w:bottom w:val="single" w:sz="8" w:color="CFF0FC"/>
            </w:tcBorders>
            <w:shd w:val="clear" w:color="auto" w:fill="CFF0FC"/>
          </w:tcPr>
          <w:p>
            <w:pPr>
              <w:spacing w:after="0"/>
              <w:rPr>
                <w:sz w:val="20"/>
                <w:szCs w:val="20"/>
                <w:color w:val="auto"/>
              </w:rPr>
            </w:pPr>
          </w:p>
        </w:tc>
        <w:tc>
          <w:tcPr>
            <w:tcW w:w="28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8"/>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and qualifying as hedging</w:t>
            </w: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instruments (a)</w:t>
            </w: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5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banking:</w:t>
            </w:r>
          </w:p>
        </w:tc>
        <w:tc>
          <w:tcPr>
            <w:tcW w:w="5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Commitments to originate real estate loans for sale</w:t>
            </w: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r>
      <w:tr>
        <w:trPr>
          <w:trHeight w:val="243"/>
        </w:trPr>
        <w:tc>
          <w:tcPr>
            <w:tcW w:w="58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Commitments to sell real estate loans</w:t>
            </w:r>
          </w:p>
        </w:tc>
        <w:tc>
          <w:tcPr>
            <w:tcW w:w="5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0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r>
      <w:tr>
        <w:trPr>
          <w:trHeight w:val="221"/>
        </w:trPr>
        <w:tc>
          <w:tcPr>
            <w:tcW w:w="5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5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9"/>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Interest rate contracts (b)</w:t>
            </w: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20"/>
                <w:szCs w:val="20"/>
                <w:color w:val="auto"/>
              </w:rPr>
            </w:pPr>
          </w:p>
        </w:tc>
      </w:tr>
      <w:tr>
        <w:trPr>
          <w:trHeight w:val="243"/>
        </w:trPr>
        <w:tc>
          <w:tcPr>
            <w:tcW w:w="58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Foreign exchange and other option and futures contracts</w:t>
            </w:r>
          </w:p>
        </w:tc>
        <w:tc>
          <w:tcPr>
            <w:tcW w:w="5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0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20"/>
                <w:szCs w:val="20"/>
                <w:color w:val="auto"/>
              </w:rPr>
            </w:pPr>
          </w:p>
        </w:tc>
      </w:tr>
      <w:tr>
        <w:trPr>
          <w:trHeight w:val="277"/>
        </w:trPr>
        <w:tc>
          <w:tcPr>
            <w:tcW w:w="5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derivatives</w:t>
            </w:r>
          </w:p>
        </w:tc>
        <w:tc>
          <w:tcPr>
            <w:tcW w:w="5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7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7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FF0FC"/>
          </w:tcPr>
          <w:p>
            <w:pPr>
              <w:spacing w:after="0"/>
              <w:rPr>
                <w:sz w:val="24"/>
                <w:szCs w:val="24"/>
                <w:color w:val="auto"/>
              </w:rPr>
            </w:pPr>
          </w:p>
        </w:tc>
      </w:tr>
      <w:tr>
        <w:trPr>
          <w:trHeight w:val="39"/>
        </w:trPr>
        <w:tc>
          <w:tcPr>
            <w:tcW w:w="3000" w:type="dxa"/>
            <w:vAlign w:val="bottom"/>
            <w:tcBorders>
              <w:top w:val="single" w:sz="8" w:color="CFF0FC"/>
              <w:bottom w:val="single" w:sz="8" w:color="auto"/>
            </w:tcBorders>
          </w:tcPr>
          <w:p>
            <w:pPr>
              <w:spacing w:after="0"/>
              <w:rPr>
                <w:sz w:val="3"/>
                <w:szCs w:val="3"/>
                <w:color w:val="auto"/>
              </w:rPr>
            </w:pPr>
          </w:p>
        </w:tc>
        <w:tc>
          <w:tcPr>
            <w:tcW w:w="2860" w:type="dxa"/>
            <w:vAlign w:val="bottom"/>
            <w:tcBorders>
              <w:top w:val="single" w:sz="8" w:color="CFF0FC"/>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60" w:type="dxa"/>
            <w:vAlign w:val="bottom"/>
            <w:tcBorders>
              <w:top w:val="single" w:sz="8" w:color="CFF0FC"/>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20" w:type="dxa"/>
            <w:vAlign w:val="bottom"/>
            <w:tcBorders>
              <w:top w:val="single" w:sz="8" w:color="CFF0FC"/>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20" w:type="dxa"/>
            <w:vAlign w:val="bottom"/>
            <w:tcBorders>
              <w:top w:val="single" w:sz="8" w:color="CFF0FC"/>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-1774190</wp:posOffset>
            </wp:positionV>
            <wp:extent cx="7683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-1774190</wp:posOffset>
            </wp:positionV>
            <wp:extent cx="6858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-1774190</wp:posOffset>
            </wp:positionV>
            <wp:extent cx="6858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-1774190</wp:posOffset>
            </wp:positionV>
            <wp:extent cx="6858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-1028065</wp:posOffset>
            </wp:positionV>
            <wp:extent cx="7683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-1028065</wp:posOffset>
            </wp:positionV>
            <wp:extent cx="6858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-1028065</wp:posOffset>
            </wp:positionV>
            <wp:extent cx="6858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-393700</wp:posOffset>
            </wp:positionV>
            <wp:extent cx="7683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-393700</wp:posOffset>
            </wp:positionV>
            <wp:extent cx="6858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-393700</wp:posOffset>
            </wp:positionV>
            <wp:extent cx="6858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-67945</wp:posOffset>
            </wp:positionV>
            <wp:extent cx="7683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-50800</wp:posOffset>
            </wp:positionV>
            <wp:extent cx="7683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-67945</wp:posOffset>
            </wp:positionV>
            <wp:extent cx="6858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-50800</wp:posOffset>
            </wp:positionV>
            <wp:extent cx="6858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-67945</wp:posOffset>
            </wp:positionV>
            <wp:extent cx="6858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-50800</wp:posOffset>
            </wp:positionV>
            <wp:extent cx="6858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-67945</wp:posOffset>
            </wp:positionV>
            <wp:extent cx="6858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-50800</wp:posOffset>
            </wp:positionV>
            <wp:extent cx="6858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hanging="512"/>
        <w:spacing w:after="0"/>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Asset derivatives are reported in "accrued interest and other assets" and liability derivatives are reported in "accrued interest and other liabilities" in the Consolidated Balance Sheet.</w:t>
      </w:r>
    </w:p>
    <w:p>
      <w:pPr>
        <w:spacing w:after="0" w:line="5" w:lineRule="exact"/>
        <w:rPr>
          <w:rFonts w:ascii="Times New Roman" w:cs="Times New Roman" w:eastAsia="Times New Roman" w:hAnsi="Times New Roman"/>
          <w:sz w:val="14"/>
          <w:szCs w:val="14"/>
          <w:i w:val="1"/>
          <w:iCs w:val="1"/>
          <w:color w:val="auto"/>
        </w:rPr>
      </w:pPr>
    </w:p>
    <w:p>
      <w:pPr>
        <w:ind w:left="520" w:hanging="512"/>
        <w:spacing w:after="0" w:line="239" w:lineRule="auto"/>
        <w:tabs>
          <w:tab w:leader="none" w:pos="5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impact of variation margin payments at March 31, 2024 and December 31, 2023 was a reduction of the estimated fair value of interest rate contracts not designated as hedging instruments in an asset position of $893 million and $783 million, respectively, as of each period end, and in a liability position of $16 million and $32 million, respectively.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Gain (Loss) Recognized</w:t>
            </w:r>
          </w:p>
        </w:tc>
        <w:tc>
          <w:tcPr>
            <w:tcW w:w="3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21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36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in fair value hedging relationships</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64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Fixed rate long-term borrowings (a)</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(60 )</w:t>
            </w:r>
          </w:p>
        </w:tc>
        <w:tc>
          <w:tcPr>
            <w:tcW w:w="4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4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2"/>
        </w:trPr>
        <w:tc>
          <w:tcPr>
            <w:tcW w:w="646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contracts (b)</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and other option and futures contracts (b)</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5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000" w:type="dxa"/>
            <w:vAlign w:val="bottom"/>
            <w:tcBorders>
              <w:top w:val="single" w:sz="8" w:color="CFF0FC"/>
              <w:bottom w:val="single" w:sz="8" w:color="auto"/>
            </w:tcBorders>
          </w:tcPr>
          <w:p>
            <w:pPr>
              <w:spacing w:after="0"/>
              <w:rPr>
                <w:sz w:val="3"/>
                <w:szCs w:val="3"/>
                <w:color w:val="auto"/>
              </w:rPr>
            </w:pPr>
          </w:p>
        </w:tc>
        <w:tc>
          <w:tcPr>
            <w:tcW w:w="3460" w:type="dxa"/>
            <w:vAlign w:val="bottom"/>
            <w:tcBorders>
              <w:top w:val="single" w:sz="8" w:color="CFF0FC"/>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340" w:type="dxa"/>
            <w:vAlign w:val="bottom"/>
            <w:tcBorders>
              <w:top w:val="single" w:sz="8" w:color="CFF0FC"/>
            </w:tcBorders>
          </w:tcPr>
          <w:p>
            <w:pPr>
              <w:spacing w:after="0"/>
              <w:rPr>
                <w:sz w:val="3"/>
                <w:szCs w:val="3"/>
                <w:color w:val="auto"/>
              </w:rPr>
            </w:pPr>
          </w:p>
        </w:tc>
        <w:tc>
          <w:tcPr>
            <w:tcW w:w="40" w:type="dxa"/>
            <w:vAlign w:val="bottom"/>
            <w:tcBorders>
              <w:top w:val="single" w:sz="8" w:color="CFF0FC"/>
            </w:tcBorders>
          </w:tcPr>
          <w:p>
            <w:pPr>
              <w:spacing w:after="0"/>
              <w:rPr>
                <w:sz w:val="3"/>
                <w:szCs w:val="3"/>
                <w:color w:val="auto"/>
              </w:rPr>
            </w:pPr>
          </w:p>
        </w:tc>
        <w:tc>
          <w:tcPr>
            <w:tcW w:w="400" w:type="dxa"/>
            <w:vAlign w:val="bottom"/>
            <w:tcBorders>
              <w:top w:val="single" w:sz="8" w:color="CFF0FC"/>
            </w:tcBorders>
          </w:tcPr>
          <w:p>
            <w:pPr>
              <w:spacing w:after="0"/>
              <w:rPr>
                <w:sz w:val="3"/>
                <w:szCs w:val="3"/>
                <w:color w:val="auto"/>
              </w:rPr>
            </w:pPr>
          </w:p>
        </w:tc>
        <w:tc>
          <w:tcPr>
            <w:tcW w:w="480" w:type="dxa"/>
            <w:vAlign w:val="bottom"/>
            <w:tcBorders>
              <w:top w:val="single" w:sz="8" w:color="CFF0FC"/>
            </w:tcBorders>
          </w:tcPr>
          <w:p>
            <w:pPr>
              <w:spacing w:after="0"/>
              <w:rPr>
                <w:sz w:val="3"/>
                <w:szCs w:val="3"/>
                <w:color w:val="auto"/>
              </w:rPr>
            </w:pPr>
          </w:p>
        </w:tc>
        <w:tc>
          <w:tcPr>
            <w:tcW w:w="360" w:type="dxa"/>
            <w:vAlign w:val="bottom"/>
            <w:tcBorders>
              <w:top w:val="single" w:sz="8" w:color="CFF0FC"/>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360" w:type="dxa"/>
            <w:vAlign w:val="bottom"/>
            <w:tcBorders>
              <w:top w:val="single" w:sz="8" w:color="CFF0FC"/>
            </w:tcBorders>
          </w:tcPr>
          <w:p>
            <w:pPr>
              <w:spacing w:after="0"/>
              <w:rPr>
                <w:sz w:val="3"/>
                <w:szCs w:val="3"/>
                <w:color w:val="auto"/>
              </w:rPr>
            </w:pPr>
          </w:p>
        </w:tc>
        <w:tc>
          <w:tcPr>
            <w:tcW w:w="380" w:type="dxa"/>
            <w:vAlign w:val="bottom"/>
            <w:tcBorders>
              <w:top w:val="single" w:sz="8" w:color="CFF0FC"/>
            </w:tcBorders>
          </w:tcPr>
          <w:p>
            <w:pPr>
              <w:spacing w:after="0"/>
              <w:rPr>
                <w:sz w:val="3"/>
                <w:szCs w:val="3"/>
                <w:color w:val="auto"/>
              </w:rPr>
            </w:pPr>
          </w:p>
        </w:tc>
        <w:tc>
          <w:tcPr>
            <w:tcW w:w="520" w:type="dxa"/>
            <w:vAlign w:val="bottom"/>
            <w:tcBorders>
              <w:top w:val="single" w:sz="8" w:color="CFF0FC"/>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-727710</wp:posOffset>
            </wp:positionV>
            <wp:extent cx="7747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-710565</wp:posOffset>
            </wp:positionV>
            <wp:extent cx="7747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-727710</wp:posOffset>
            </wp:positionV>
            <wp:extent cx="6858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-710565</wp:posOffset>
            </wp:positionV>
            <wp:extent cx="6858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-727710</wp:posOffset>
            </wp:positionV>
            <wp:extent cx="6858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-710565</wp:posOffset>
            </wp:positionV>
            <wp:extent cx="6858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-67945</wp:posOffset>
            </wp:positionV>
            <wp:extent cx="7747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-50800</wp:posOffset>
            </wp:positionV>
            <wp:extent cx="7747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-67945</wp:posOffset>
            </wp:positionV>
            <wp:extent cx="6858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-50800</wp:posOffset>
            </wp:positionV>
            <wp:extent cx="6858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hanging="512"/>
        <w:spacing w:after="0"/>
        <w:tabs>
          <w:tab w:leader="none" w:pos="52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Reported as an adjustment to "interest expense" in the Consolidated Statement of Income.</w:t>
      </w:r>
    </w:p>
    <w:p>
      <w:pPr>
        <w:spacing w:after="0" w:line="5" w:lineRule="exact"/>
        <w:rPr>
          <w:rFonts w:ascii="Times New Roman" w:cs="Times New Roman" w:eastAsia="Times New Roman" w:hAnsi="Times New Roman"/>
          <w:sz w:val="14"/>
          <w:szCs w:val="14"/>
          <w:i w:val="1"/>
          <w:iCs w:val="1"/>
          <w:color w:val="auto"/>
        </w:rPr>
      </w:pPr>
    </w:p>
    <w:p>
      <w:pPr>
        <w:ind w:left="520" w:hanging="512"/>
        <w:spacing w:after="0"/>
        <w:tabs>
          <w:tab w:leader="none" w:pos="52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Reported as "trading account and other non-hedging derivative gains" in the Consolidated Statement of Income.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Cumulative Amount of Fair Value</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Hedging Adjustment Increasing</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4"/>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Carrying Amount of the Hedged Item</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5"/>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(Decreasing) the Carrying Amount of</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the Hedged Item</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154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00" w:type="dxa"/>
            <w:vAlign w:val="bottom"/>
          </w:tcPr>
          <w:p>
            <w:pPr>
              <w:spacing w:after="0"/>
              <w:rPr>
                <w:sz w:val="16"/>
                <w:szCs w:val="16"/>
                <w:color w:val="auto"/>
              </w:rPr>
            </w:pPr>
          </w:p>
        </w:tc>
        <w:tc>
          <w:tcPr>
            <w:tcW w:w="7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in the Consolidated Balance Sheet</w:t>
            </w: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of the Hedged Items in Fair Value Hedges</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6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(104 )</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bl>
    <w:p>
      <w:pPr>
        <w:spacing w:after="0" w:line="1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amount of interest income recognized in the Consolidated Statement of Income associated with derivatives designated as cash flow hedges was a decrease of $87 million and $59 million for the three months ended March 31, 2024 and 2023, respectively. As of March 31, 2024, the unrealized net loss recognized in other comprehensive income related to cash flow hedges was $359 million, of which losses of $1 million, $227 million, $129 million and $2 million relate to interest rate swap agreements maturing in 2024, 2025, 2026 and 2027, respectively.</w:t>
      </w:r>
    </w:p>
    <w:p>
      <w:pPr>
        <w:sectPr>
          <w:pgSz w:w="11900" w:h="16838" w:orient="portrait"/>
          <w:cols w:equalWidth="0" w:num="1">
            <w:col w:w="11240"/>
          </w:cols>
          <w:pgMar w:left="320" w:top="769" w:right="339" w:bottom="1440" w:gutter="0" w:footer="0" w:header="0"/>
          <w:type w:val="continuous"/>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10. Derivative financial instruments, continued</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aggregate fair value of derivative financial instruments in a liability position, which are subject to enforceable master netting arrangements and the related collateral posted, was not material at each of March 31, 2024 and December 31, 2023. Certain of the Company’s derivative financial instruments contain provisions that require the Company to maintain specific credit ratings from credit rating agencies to avoid higher collateral posting requirements. If the Company’s debt ratings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March 31, 2024 was not material.</w:t>
      </w:r>
    </w:p>
    <w:p>
      <w:pPr>
        <w:spacing w:after="0" w:line="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aggregate fair value of derivative financial instruments in an asset position with counterparties, which are subject to enforceable master netting arrangements, was $232 million at March 31, 2024 and $179 million at December 31, 2023. Counterparties posted collateral relating to those positions of $231 million at March 31, 2024 and $179 million at December 31, 2023, respectively. Interest rate swap agreements entered into with customers are subject to the Company’s credit risk standards and often contain collateral provisions.</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$146 million and $129 million at March 31, 2024 and December 31, 2023,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Variable interest entities and asset securitizations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Company’s securitization activity includes securitizing loans originated for sale into government issued or guaranteed mortgage-backed securities. The Company has not recognized any material losses as a result of having securitized assets.</w:t>
      </w:r>
    </w:p>
    <w:p>
      <w:pPr>
        <w:spacing w:after="0" w:line="5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In March 2024, M&amp;T Bank issued asset-backed notes secured by automobile loans. Approximately $526 million of such loans were sold into a special purpose trust which in turn issued asset-backed notes to investors. The loans continue to be serviced by the Company. A total of $511 million of such notes, representing the senior-most notes in the securitization, were purchased by third parties. Those asset-backed notes had a weighted-average estimated life of approximately two years and a weighted-average interest rate of 5.29% at the time of securitization. Additionally, $15 million of certificates representing the residual interests of the trust were retained by the Company. As a result of the retention of the residual interests and its continued role as servicer of the loans, the Company is considered to be the primary beneficiary of the securitization trust and, accordingly, the trust has been included in the Company's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Variable interest entities and asset securitizations, continued</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M&amp;T has issued junior subordinated debentures payable to various trusts that have issued preferred capital securities. M&amp;T owns the common securities of those trust entities. The Company is not considered to be the primary beneficiary of those entities and, accordingly, the trusts are not included in the Company’s consolidated financial statements. At each of March 31, 2024 and December 31, 2023, the Company included the junior subordinated debentures as “long-term borrowings” in its Consolidated Balance Sheet and recognized $22 million in other assets for its “investment” in the common securities of the trusts that will be concomitantly repaid to M&amp;T by the respective trust from the proceeds of M&amp;T’s repayment of the junior subordinated debentures associated with preferred capital securities.</w:t>
      </w:r>
    </w:p>
    <w:p>
      <w:pPr>
        <w:spacing w:after="0" w:line="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Company has invested as a limited partner in various partnerships that collectively had total assets of approximately $9.8 billion at each of March 31, 2024 and December 31, 2023. Those partnerships generally construct or acquire properties, including properties and facilities that produce renewable energy,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The Company, in its position as limited partner, does not direct the activities that most significantly impact the economic performance of the partnerships and, therefore, the partnership entities are not included in the Company's consolidated financial statements. The Company's investments in qualified affordable housing projects are accounted for using the proportional amortization method whereby those investments are amortized to "income taxes" in the Consolidated Statement of Income as tax credits and other tax benefits resulting from deductible losses associated with the projects are received. Effective January 1, 2024, the Company adopted amended guidance which permits an election to account for other tax equity investments using the proportional amortization method if certain conditions are met. The Company has elected to apply the proportional amortization method to eligible renewable energy and certain other tax credit investments in addition to the low income housing tax credit investments for which the proportional amortization method had previously been applied. Information on the Company’s carrying amount of its investments in tax equity partnerships and its related future funding commitments are presented in the following table: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(Dollars in millions)</w:t>
            </w:r>
          </w:p>
        </w:tc>
        <w:tc>
          <w:tcPr>
            <w:tcW w:w="240" w:type="dxa"/>
            <w:vAlign w:val="bottom"/>
          </w:tcPr>
          <w:p>
            <w:pPr>
              <w:spacing w:after="0"/>
              <w:rPr>
                <w:sz w:val="17"/>
                <w:szCs w:val="17"/>
                <w:color w:val="auto"/>
              </w:rPr>
            </w:pPr>
          </w:p>
        </w:tc>
        <w:tc>
          <w:tcPr>
            <w:tcW w:w="1560" w:type="dxa"/>
            <w:vAlign w:val="bottom"/>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8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Affordable housing projects:</w:t>
            </w:r>
          </w:p>
        </w:tc>
        <w:tc>
          <w:tcPr>
            <w:tcW w:w="2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4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Carrying amount (a)</w:t>
            </w: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1,323</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1,340</w:t>
            </w:r>
          </w:p>
        </w:tc>
        <w:tc>
          <w:tcPr>
            <w:tcW w:w="100" w:type="dxa"/>
            <w:vAlign w:val="bottom"/>
            <w:shd w:val="clear" w:color="auto" w:fill="CFF0FC"/>
          </w:tcPr>
          <w:p>
            <w:pPr>
              <w:spacing w:after="0"/>
              <w:rPr>
                <w:sz w:val="16"/>
                <w:szCs w:val="16"/>
                <w:color w:val="auto"/>
              </w:rPr>
            </w:pPr>
          </w:p>
        </w:tc>
      </w:tr>
      <w:tr>
        <w:trPr>
          <w:trHeight w:val="189"/>
        </w:trPr>
        <w:tc>
          <w:tcPr>
            <w:tcW w:w="74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Amount of future funding commitments included in carrying amount (b)</w:t>
            </w: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410</w:t>
            </w:r>
          </w:p>
        </w:tc>
        <w:tc>
          <w:tcPr>
            <w:tcW w:w="100" w:type="dxa"/>
            <w:vAlign w:val="bottom"/>
          </w:tcPr>
          <w:p>
            <w:pPr>
              <w:spacing w:after="0"/>
              <w:rPr>
                <w:sz w:val="16"/>
                <w:szCs w:val="16"/>
                <w:color w:val="auto"/>
              </w:rPr>
            </w:pPr>
          </w:p>
        </w:tc>
      </w:tr>
      <w:tr>
        <w:trPr>
          <w:trHeight w:val="189"/>
        </w:trPr>
        <w:tc>
          <w:tcPr>
            <w:tcW w:w="74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Contingent commitments</w:t>
            </w: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shd w:val="clear" w:color="auto" w:fill="CFF0FC"/>
          </w:tcPr>
          <w:p>
            <w:pPr>
              <w:spacing w:after="0"/>
              <w:rPr>
                <w:sz w:val="16"/>
                <w:szCs w:val="16"/>
                <w:color w:val="auto"/>
              </w:rPr>
            </w:pPr>
          </w:p>
        </w:tc>
      </w:tr>
      <w:tr>
        <w:trPr>
          <w:trHeight w:val="18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Renewable energy:</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4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Carrying amount (a)</w:t>
            </w: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00" w:type="dxa"/>
            <w:vAlign w:val="bottom"/>
            <w:shd w:val="clear" w:color="auto" w:fill="CFF0FC"/>
          </w:tcPr>
          <w:p>
            <w:pPr>
              <w:spacing w:after="0"/>
              <w:rPr>
                <w:sz w:val="16"/>
                <w:szCs w:val="16"/>
                <w:color w:val="auto"/>
              </w:rPr>
            </w:pPr>
          </w:p>
        </w:tc>
      </w:tr>
      <w:tr>
        <w:trPr>
          <w:trHeight w:val="189"/>
        </w:trPr>
        <w:tc>
          <w:tcPr>
            <w:tcW w:w="74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Amount of future funding commitments included in carrying amount (b)</w:t>
            </w: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6"/>
                <w:szCs w:val="16"/>
                <w:color w:val="auto"/>
              </w:rPr>
            </w:pPr>
          </w:p>
        </w:tc>
      </w:tr>
      <w:tr>
        <w:trPr>
          <w:trHeight w:val="189"/>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4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Carrying amount (a)</w:t>
            </w: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tcPr>
          <w:p>
            <w:pPr>
              <w:spacing w:after="0"/>
              <w:rPr>
                <w:sz w:val="16"/>
                <w:szCs w:val="16"/>
                <w:color w:val="auto"/>
              </w:rPr>
            </w:pPr>
          </w:p>
        </w:tc>
      </w:tr>
      <w:tr>
        <w:trPr>
          <w:trHeight w:val="189"/>
        </w:trPr>
        <w:tc>
          <w:tcPr>
            <w:tcW w:w="74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Amount of future funding commitments included in carrying amount (b)</w:t>
            </w: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54"/>
        </w:trPr>
        <w:tc>
          <w:tcPr>
            <w:tcW w:w="3000" w:type="dxa"/>
            <w:vAlign w:val="bottom"/>
            <w:tcBorders>
              <w:bottom w:val="single" w:sz="8" w:color="auto"/>
            </w:tcBorders>
          </w:tcPr>
          <w:p>
            <w:pPr>
              <w:spacing w:after="0"/>
              <w:rPr>
                <w:sz w:val="4"/>
                <w:szCs w:val="4"/>
                <w:color w:val="auto"/>
              </w:rPr>
            </w:pPr>
          </w:p>
        </w:tc>
        <w:tc>
          <w:tcPr>
            <w:tcW w:w="4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16"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"accrued interest and other assets" in the Consolidated Balance Sheet.</w:t>
      </w:r>
    </w:p>
    <w:p>
      <w:pPr>
        <w:spacing w:after="0" w:line="29" w:lineRule="exact"/>
        <w:rPr>
          <w:rFonts w:ascii="Times New Roman" w:cs="Times New Roman" w:eastAsia="Times New Roman" w:hAnsi="Times New Roman"/>
          <w:sz w:val="14"/>
          <w:szCs w:val="14"/>
          <w:i w:val="1"/>
          <w:iCs w:val="1"/>
          <w:color w:val="auto"/>
        </w:rPr>
      </w:pPr>
    </w:p>
    <w:p>
      <w:pPr>
        <w:ind w:left="520" w:hanging="512"/>
        <w:spacing w:after="0"/>
        <w:tabs>
          <w:tab w:leader="none" w:pos="52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"accrued interest and other liabilities" in the Consolidated Balance Sheet.</w:t>
      </w:r>
    </w:p>
    <w:p>
      <w:pPr>
        <w:spacing w:after="0" w:line="208"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Variable interest entities and asset securitizations, continued</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reduction to income tax expense recognized from the Company's investments in partnerships accounted for using the proportional amortization method was $7 million (net of $43 million of investment amortization) and $6 million (net of $41 million of investment amortization) for the three months ended March 31, 2024 and 2023, respectively. The net reduction to income tax expense has been reported in "net change in other accrued income and expense" in the Consolidated Statement of Cash Flows. While the Company has elected to apply the proportional amortization method for renewable energy credit investments, at March 31, 2024 no such investments met the eligibility criteria for application of that method. The reduction to income tax expense recognized from renewable energy credit investments was $11 million and $8 million for the three months ended March 31, 2024 and 2023, respectively.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 has not provided financial or other support to the partnerships that was not contractually required. Although the Company currently estimates that no material losses are probable, its maximum exposure to loss from its investments in such partnerships as of March 31, 2024 was $2.2 billion, including possible recapture of certain tax credits.</w:t>
      </w:r>
    </w:p>
    <w:p>
      <w:pPr>
        <w:spacing w:after="0" w:line="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Company serves as investment advisor for certain registered money-market funds. The Company has no explicit arrangement to provide support to those funds, but may waive portions of its allowable management fees as a result of market conditions.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GAAP permits an entity to choose to measure eligible financial instruments and other items at fair value. The Company has not made any fair value elections at March 31, 2024.</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6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1 — Valuation is based on quoted prices in active markets for identical assets and liabilities.</w:t>
      </w:r>
    </w:p>
    <w:p>
      <w:pPr>
        <w:spacing w:after="0" w:line="109" w:lineRule="exact"/>
        <w:rPr>
          <w:rFonts w:ascii="Times New Roman" w:cs="Times New Roman" w:eastAsia="Times New Roman" w:hAnsi="Times New Roman"/>
          <w:sz w:val="21"/>
          <w:szCs w:val="21"/>
          <w:color w:val="auto"/>
        </w:rPr>
      </w:pPr>
    </w:p>
    <w:p>
      <w:pPr>
        <w:jc w:val="both"/>
        <w:ind w:left="1020" w:hanging="503"/>
        <w:spacing w:after="0" w:line="255" w:lineRule="auto"/>
        <w:tabs>
          <w:tab w:leader="none" w:pos="102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67" w:lineRule="exact"/>
        <w:rPr>
          <w:rFonts w:ascii="Times New Roman" w:cs="Times New Roman" w:eastAsia="Times New Roman" w:hAnsi="Times New Roman"/>
          <w:sz w:val="21"/>
          <w:szCs w:val="21"/>
          <w:color w:val="auto"/>
        </w:rPr>
      </w:pPr>
    </w:p>
    <w:p>
      <w:pPr>
        <w:jc w:val="both"/>
        <w:ind w:left="1020" w:hanging="503"/>
        <w:spacing w:after="0" w:line="255" w:lineRule="auto"/>
        <w:tabs>
          <w:tab w:leader="none" w:pos="102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Trading account</w:t>
      </w:r>
    </w:p>
    <w:p>
      <w:pPr>
        <w:spacing w:after="0" w:line="3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Mutual funds held in connection with deferred compensation and other arrangements have been classified as Level 1 valuations. Valuations of investments in debt securities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Available-for-sale investment securities and equity securities</w:t>
      </w:r>
    </w:p>
    <w:p>
      <w:pPr>
        <w:spacing w:after="0" w:line="3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Real estate loans held for sale</w:t>
      </w:r>
    </w:p>
    <w:p>
      <w:pPr>
        <w:spacing w:after="0" w:line="3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Commitments to originate real estate loans for sale and commitments to sell real estate loans</w:t>
      </w:r>
    </w:p>
    <w:p>
      <w:pPr>
        <w:spacing w:after="0" w:line="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Company enters into various commitments to originate real estate loans for sale and commitments to sell real estate loans. Such commitments are accounted for as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Interest rate swap agreements used for interest rate risk management</w:t>
      </w:r>
    </w:p>
    <w:p>
      <w:pPr>
        <w:spacing w:after="0" w:line="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Other non-hedging derivatives</w:t>
      </w:r>
    </w:p>
    <w:p>
      <w:pPr>
        <w:spacing w:after="0" w:line="3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Other non-hedging derivatives consist primarily of interest rate contracts and foreign exchange contracts with customers who require such services with offsetting positions with third parties to minimize the Company's risk with respect to such transactions. The Company generally determines the fair value of its other non-hedging derivative assets and liabilities using externally developed pricing models based on market observable inputs and, therefore, classifies such valuations as Level 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11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The following tables present assets and liabilities at March 31, 2024 and December 31, 2023 measured at estimated fair value on a recurring basis: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6"/>
                <w:szCs w:val="16"/>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Measurements</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 (a)</w:t>
            </w:r>
          </w:p>
        </w:tc>
      </w:tr>
      <w:tr>
        <w:trPr>
          <w:trHeight w:val="183"/>
        </w:trPr>
        <w:tc>
          <w:tcPr>
            <w:tcW w:w="5240" w:type="dxa"/>
            <w:vAlign w:val="bottom"/>
            <w:gridSpan w:val="5"/>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24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Trading account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5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2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tcPr>
          <w:p>
            <w:pPr>
              <w:spacing w:after="0"/>
              <w:rPr>
                <w:sz w:val="20"/>
                <w:szCs w:val="20"/>
                <w:color w:val="auto"/>
              </w:rPr>
            </w:pPr>
          </w:p>
        </w:tc>
        <w:tc>
          <w:tcPr>
            <w:tcW w:w="5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220" w:type="dxa"/>
            <w:vAlign w:val="bottom"/>
            <w:gridSpan w:val="4"/>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522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shd w:val="clear" w:color="auto" w:fill="CFF0FC"/>
          </w:tcPr>
          <w:p>
            <w:pPr>
              <w:spacing w:after="0"/>
              <w:rPr>
                <w:sz w:val="21"/>
                <w:szCs w:val="21"/>
                <w:color w:val="auto"/>
              </w:rPr>
            </w:pPr>
          </w:p>
        </w:tc>
        <w:tc>
          <w:tcPr>
            <w:tcW w:w="5220" w:type="dxa"/>
            <w:vAlign w:val="bottom"/>
            <w:gridSpan w:val="4"/>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tcPr>
          <w:p>
            <w:pPr>
              <w:spacing w:after="0"/>
              <w:rPr>
                <w:sz w:val="20"/>
                <w:szCs w:val="20"/>
                <w:color w:val="auto"/>
              </w:rPr>
            </w:pPr>
          </w:p>
        </w:tc>
        <w:tc>
          <w:tcPr>
            <w:tcW w:w="5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Other debt securities</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CFF0FC"/>
            </w:tcBorders>
            <w:shd w:val="clear" w:color="auto" w:fill="CFF0FC"/>
          </w:tcPr>
          <w:p>
            <w:pPr>
              <w:spacing w:after="0"/>
              <w:rPr>
                <w:sz w:val="20"/>
                <w:szCs w:val="20"/>
                <w:color w:val="auto"/>
              </w:rPr>
            </w:pPr>
          </w:p>
        </w:tc>
        <w:tc>
          <w:tcPr>
            <w:tcW w:w="2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12,134</w:t>
            </w:r>
          </w:p>
        </w:tc>
        <w:tc>
          <w:tcPr>
            <w:tcW w:w="3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12,134</w:t>
            </w:r>
          </w:p>
        </w:tc>
        <w:tc>
          <w:tcPr>
            <w:tcW w:w="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4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 estate loans held for sale</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Other assets (b)</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77"/>
        </w:trPr>
        <w:tc>
          <w:tcPr>
            <w:tcW w:w="20" w:type="dxa"/>
            <w:vAlign w:val="bottom"/>
            <w:tcBorders>
              <w:bottom w:val="single" w:sz="8" w:color="CFF0FC"/>
            </w:tcBorders>
            <w:shd w:val="clear" w:color="auto" w:fill="CFF0FC"/>
          </w:tcPr>
          <w:p>
            <w:pPr>
              <w:spacing w:after="0"/>
              <w:rPr>
                <w:sz w:val="24"/>
                <w:szCs w:val="24"/>
                <w:color w:val="auto"/>
              </w:rPr>
            </w:pPr>
          </w:p>
        </w:tc>
        <w:tc>
          <w:tcPr>
            <w:tcW w:w="5220" w:type="dxa"/>
            <w:vAlign w:val="bottom"/>
            <w:tcBorders>
              <w:bottom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13,635</w:t>
            </w:r>
          </w:p>
        </w:tc>
        <w:tc>
          <w:tcPr>
            <w:tcW w:w="3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13,187</w:t>
            </w:r>
          </w:p>
        </w:tc>
        <w:tc>
          <w:tcPr>
            <w:tcW w:w="3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Other liabilities (b)</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3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3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r>
      <w:tr>
        <w:trPr>
          <w:trHeight w:val="277"/>
        </w:trPr>
        <w:tc>
          <w:tcPr>
            <w:tcW w:w="20" w:type="dxa"/>
            <w:vAlign w:val="bottom"/>
            <w:shd w:val="clear" w:color="auto" w:fill="CFF0FC"/>
          </w:tcPr>
          <w:p>
            <w:pPr>
              <w:spacing w:after="0"/>
              <w:rPr>
                <w:sz w:val="24"/>
                <w:szCs w:val="24"/>
                <w:color w:val="auto"/>
              </w:rPr>
            </w:pPr>
          </w:p>
        </w:tc>
        <w:tc>
          <w:tcPr>
            <w:tcW w:w="52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6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5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24"/>
                <w:szCs w:val="24"/>
                <w:color w:val="auto"/>
              </w:rPr>
            </w:pPr>
          </w:p>
        </w:tc>
      </w:tr>
      <w:tr>
        <w:trPr>
          <w:trHeight w:val="228"/>
        </w:trPr>
        <w:tc>
          <w:tcPr>
            <w:tcW w:w="20" w:type="dxa"/>
            <w:vAlign w:val="bottom"/>
            <w:tcBorders>
              <w:top w:val="single" w:sz="8" w:color="CFF0FC"/>
            </w:tcBorders>
          </w:tcPr>
          <w:p>
            <w:pPr>
              <w:spacing w:after="0"/>
              <w:rPr>
                <w:sz w:val="19"/>
                <w:szCs w:val="19"/>
                <w:color w:val="auto"/>
              </w:rPr>
            </w:pPr>
          </w:p>
        </w:tc>
        <w:tc>
          <w:tcPr>
            <w:tcW w:w="120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520" w:type="dxa"/>
            <w:vAlign w:val="bottom"/>
            <w:tcBorders>
              <w:top w:val="single" w:sz="8" w:color="CFF0FC"/>
            </w:tcBorders>
          </w:tcPr>
          <w:p>
            <w:pPr>
              <w:spacing w:after="0"/>
              <w:rPr>
                <w:sz w:val="19"/>
                <w:szCs w:val="19"/>
                <w:color w:val="auto"/>
              </w:rPr>
            </w:pPr>
          </w:p>
        </w:tc>
        <w:tc>
          <w:tcPr>
            <w:tcW w:w="22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3760" w:type="dxa"/>
            <w:vAlign w:val="bottom"/>
            <w:tcBorders>
              <w:bottom w:val="single" w:sz="8" w:color="CFF0FC"/>
            </w:tcBorders>
            <w:gridSpan w:val="2"/>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9"/>
        </w:trPr>
        <w:tc>
          <w:tcPr>
            <w:tcW w:w="5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Trading account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4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5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shd w:val="clear" w:color="auto" w:fill="CFF0FC"/>
          </w:tcPr>
          <w:p>
            <w:pPr>
              <w:spacing w:after="0"/>
              <w:rPr>
                <w:sz w:val="21"/>
                <w:szCs w:val="21"/>
                <w:color w:val="auto"/>
              </w:rPr>
            </w:pPr>
          </w:p>
        </w:tc>
        <w:tc>
          <w:tcPr>
            <w:tcW w:w="52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52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220" w:type="dxa"/>
            <w:vAlign w:val="bottom"/>
            <w:gridSpan w:val="4"/>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tcPr>
          <w:p>
            <w:pPr>
              <w:spacing w:after="0"/>
              <w:rPr>
                <w:sz w:val="20"/>
                <w:szCs w:val="20"/>
                <w:color w:val="auto"/>
              </w:rPr>
            </w:pPr>
          </w:p>
        </w:tc>
        <w:tc>
          <w:tcPr>
            <w:tcW w:w="522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5220" w:type="dxa"/>
            <w:vAlign w:val="bottom"/>
            <w:tcBorders>
              <w:bottom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debt securities</w:t>
            </w: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1"/>
        </w:trPr>
        <w:tc>
          <w:tcPr>
            <w:tcW w:w="524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Real estate loans held for sale</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Borders>
              <w:bottom w:val="single" w:sz="8" w:color="CFF0FC"/>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 (b)</w:t>
            </w: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240" w:type="dxa"/>
            <w:vAlign w:val="bottom"/>
            <w:tcBorders>
              <w:bottom w:val="single" w:sz="8" w:color="CFF0FC"/>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 (b)</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-3754120</wp:posOffset>
            </wp:positionV>
            <wp:extent cx="7747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-3754120</wp:posOffset>
            </wp:positionV>
            <wp:extent cx="6858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-3754120</wp:posOffset>
            </wp:positionV>
            <wp:extent cx="6858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-3754120</wp:posOffset>
            </wp:positionV>
            <wp:extent cx="6858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-3119755</wp:posOffset>
            </wp:positionV>
            <wp:extent cx="7747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-3102610</wp:posOffset>
            </wp:positionV>
            <wp:extent cx="7747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-3119755</wp:posOffset>
            </wp:positionV>
            <wp:extent cx="6858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-3102610</wp:posOffset>
            </wp:positionV>
            <wp:extent cx="6858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-3119755</wp:posOffset>
            </wp:positionV>
            <wp:extent cx="6858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-3102610</wp:posOffset>
            </wp:positionV>
            <wp:extent cx="6858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-2776855</wp:posOffset>
            </wp:positionV>
            <wp:extent cx="7747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-2759710</wp:posOffset>
            </wp:positionV>
            <wp:extent cx="7747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-2776855</wp:posOffset>
            </wp:positionV>
            <wp:extent cx="6858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-2759710</wp:posOffset>
            </wp:positionV>
            <wp:extent cx="6858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-2776855</wp:posOffset>
            </wp:positionV>
            <wp:extent cx="6858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-2759710</wp:posOffset>
            </wp:positionV>
            <wp:extent cx="6858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-1207770</wp:posOffset>
            </wp:positionV>
            <wp:extent cx="7747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-1207770</wp:posOffset>
            </wp:positionV>
            <wp:extent cx="6858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-1207770</wp:posOffset>
            </wp:positionV>
            <wp:extent cx="6858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-574040</wp:posOffset>
            </wp:positionV>
            <wp:extent cx="7747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-574040</wp:posOffset>
            </wp:positionV>
            <wp:extent cx="6858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-574040</wp:posOffset>
            </wp:positionV>
            <wp:extent cx="6858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-231140</wp:posOffset>
            </wp:positionV>
            <wp:extent cx="7747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-231140</wp:posOffset>
            </wp:positionV>
            <wp:extent cx="6858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-231140</wp:posOffset>
            </wp:positionV>
            <wp:extent cx="6858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both"/>
        <w:ind w:left="520" w:right="20" w:hanging="512"/>
        <w:spacing w:after="0" w:line="242" w:lineRule="auto"/>
        <w:tabs>
          <w:tab w:leader="none" w:pos="520"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Significant unobservable inputs used in the fair value measurement of commitments to originate real estate loans held for sale included weighted-average commitment expirations of 8% at March 31, 2024 and 5% at December 31, 2023. 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ind w:left="520" w:hanging="512"/>
        <w:spacing w:after="0" w:line="263" w:lineRule="auto"/>
        <w:tabs>
          <w:tab w:leader="none" w:pos="520"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Comprised predominantly of interest rate swap agreements used for interest rate risk management (Level 2), interest rate and foreign exchange contracts not designated as hedging instruments (Level 2), commitments to sell real estate loans (Level 2) and commitments to originate real estate loans to be held for sale (Level 3).</w:t>
      </w:r>
    </w:p>
    <w:p>
      <w:pPr>
        <w:spacing w:after="0" w:line="381"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11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Loans</w:t>
      </w:r>
    </w:p>
    <w:p>
      <w:pPr>
        <w:spacing w:after="0" w:line="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Loans are generally not recorded at fair value on a recurring basis. Periodically, the Company records nonrecurring adjustments to the carrying value of loans based on fair value measurements for partial charge-offs of the uncollectable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been classified as Level 2, unless significant adjustments have been made to the valuation that are not readily observable by market participants. Non-real estate collateral supporting commercial and industrial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in the range of 10% to 90% with a weighted-average of 38% at March 31, 2024. As these discounts are not readily observable and are considered significant, the valuations have been classified as Level 3. Automobile collateral is typically valued by reference to independent pricing sources based on recent sales transactions of similar vehicles and, accordingly, the related nonrecurring fair value measurement adjustments have been classified as Level 2. Collateral values for other consumer installment loans are generally estimated based on historical recovery rates for similar types of loans which at March 31, 2024 was 46%. As these recovery rates are not readily observable by market participants, such valuation adjustments have been classified as Level 3. Loans subject to nonrecurring fair value measurement were $1.0 billion at March 31, 2024 ($312 million and $707 million of which were classified as Level 2 and Level 3, respectively), $923 million at December 31, 2023 ($234 million and $689 million of which were classified as Level 2 and Level 3, respectively) and $670 million at March 31, 2023 ($374 million and $296 million of which were classified as Level 2 and Level 3, respectively). Changes in the fair value recognized for partial charge-offs of loans and loan impairment reserves on loans held by the Company on March 31, 2024 and 2023 were decreases of $175 million and $69 million for the three-month periods ended March 31, 2024 and 2023,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Assets taken in foreclosure of defaulted loans</w:t>
      </w:r>
    </w:p>
    <w:p>
      <w:pPr>
        <w:spacing w:after="0" w:line="3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into foreclosure of defaulted loans subject to nonrecurring fair value measurement were not material at each of March 31, 2024 and 2023. Changes in fair value recognized for those foreclosed assets held by the Company were not material during the three-month periods ended March 31, 2024 and 2023.</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Capitalized servicing rights</w:t>
      </w:r>
    </w:p>
    <w:p>
      <w:pPr>
        <w:spacing w:after="0" w:line="3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Capitalized servicing rights related to residential mortgage loans required no valuation allowance at each of March 31, 2024, December 31, 2023 and March 31, 2023.</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Disclosures of fair value of financial instruments</w:t>
      </w:r>
    </w:p>
    <w:p>
      <w:pPr>
        <w:spacing w:after="0" w:line="3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carrying amounts and estimated fair value for certain financial instruments that are not recorded at fair value in the Consolidated Balance Sheet are presented in the following tables: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13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3"/>
        </w:trPr>
        <w:tc>
          <w:tcPr>
            <w:tcW w:w="4400" w:type="dxa"/>
            <w:vAlign w:val="bottom"/>
            <w:gridSpan w:val="4"/>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4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3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shd w:val="clear" w:color="auto" w:fill="CFF0FC"/>
          </w:tcPr>
          <w:p>
            <w:pPr>
              <w:spacing w:after="0"/>
              <w:rPr>
                <w:sz w:val="21"/>
                <w:szCs w:val="21"/>
                <w:color w:val="auto"/>
              </w:rPr>
            </w:pPr>
          </w:p>
        </w:tc>
        <w:tc>
          <w:tcPr>
            <w:tcW w:w="43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Interest-bearing deposits at banks</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32,144</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32,144</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tcPr>
          <w:p>
            <w:pPr>
              <w:spacing w:after="0"/>
              <w:rPr>
                <w:sz w:val="20"/>
                <w:szCs w:val="20"/>
                <w:color w:val="auto"/>
              </w:rPr>
            </w:pPr>
          </w:p>
        </w:tc>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3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Loans and leases, net</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132,782</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129,771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122,417</w:t>
            </w:r>
          </w:p>
        </w:tc>
        <w:tc>
          <w:tcPr>
            <w:tcW w:w="100" w:type="dxa"/>
            <w:vAlign w:val="bottom"/>
            <w:shd w:val="clear" w:color="auto" w:fill="CFF0FC"/>
          </w:tcPr>
          <w:p>
            <w:pPr>
              <w:spacing w:after="0"/>
              <w:rPr>
                <w:sz w:val="21"/>
                <w:szCs w:val="21"/>
                <w:color w:val="auto"/>
              </w:rPr>
            </w:pPr>
          </w:p>
        </w:tc>
      </w:tr>
      <w:tr>
        <w:trPr>
          <w:trHeight w:val="239"/>
        </w:trPr>
        <w:tc>
          <w:tcPr>
            <w:tcW w:w="4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3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20,279</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20,236</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tcPr>
          <w:p>
            <w:pPr>
              <w:spacing w:after="0"/>
              <w:rPr>
                <w:sz w:val="20"/>
                <w:szCs w:val="20"/>
                <w:color w:val="auto"/>
              </w:rPr>
            </w:pPr>
          </w:p>
        </w:tc>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shd w:val="clear" w:color="auto" w:fill="CFF0FC"/>
          </w:tcPr>
          <w:p>
            <w:pPr>
              <w:spacing w:after="0"/>
              <w:rPr>
                <w:sz w:val="21"/>
                <w:szCs w:val="21"/>
                <w:color w:val="auto"/>
              </w:rPr>
            </w:pPr>
          </w:p>
        </w:tc>
        <w:tc>
          <w:tcPr>
            <w:tcW w:w="43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9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9"/>
        </w:trPr>
        <w:tc>
          <w:tcPr>
            <w:tcW w:w="4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3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tcPr>
          <w:p>
            <w:pPr>
              <w:spacing w:after="0"/>
              <w:rPr>
                <w:sz w:val="20"/>
                <w:szCs w:val="20"/>
                <w:color w:val="auto"/>
              </w:rPr>
            </w:pPr>
          </w:p>
        </w:tc>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Interest-bearing deposits at banks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28,069</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shd w:val="clear" w:color="auto" w:fill="CFF0FC"/>
          </w:tcPr>
          <w:p>
            <w:pPr>
              <w:spacing w:after="0"/>
              <w:rPr>
                <w:sz w:val="21"/>
                <w:szCs w:val="21"/>
                <w:color w:val="auto"/>
              </w:rPr>
            </w:pPr>
          </w:p>
        </w:tc>
        <w:tc>
          <w:tcPr>
            <w:tcW w:w="43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15,330</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Loans and leases, net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131,939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129,138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121,898</w:t>
            </w:r>
          </w:p>
        </w:tc>
        <w:tc>
          <w:tcPr>
            <w:tcW w:w="100" w:type="dxa"/>
            <w:vAlign w:val="bottom"/>
          </w:tcPr>
          <w:p>
            <w:pPr>
              <w:spacing w:after="0"/>
              <w:rPr>
                <w:sz w:val="20"/>
                <w:szCs w:val="20"/>
                <w:color w:val="auto"/>
              </w:rPr>
            </w:pPr>
          </w:p>
        </w:tc>
      </w:tr>
      <w:tr>
        <w:trPr>
          <w:trHeight w:val="247"/>
        </w:trPr>
        <w:tc>
          <w:tcPr>
            <w:tcW w:w="44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shd w:val="clear" w:color="auto" w:fill="CFF0FC"/>
          </w:tcPr>
          <w:p>
            <w:pPr>
              <w:spacing w:after="0"/>
              <w:rPr>
                <w:sz w:val="21"/>
                <w:szCs w:val="21"/>
                <w:color w:val="auto"/>
              </w:rPr>
            </w:pPr>
          </w:p>
        </w:tc>
        <w:tc>
          <w:tcPr>
            <w:tcW w:w="43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4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778"/>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- 35 -</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Fair value measurements, continued</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With the exception of marketable securities and mortgage loans originated for sale, the Company's financial instruments presented in the preceding tables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Commitments and contingencies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28,439</w:t>
            </w: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28,566</w:t>
            </w:r>
          </w:p>
        </w:tc>
        <w:tc>
          <w:tcPr>
            <w:tcW w:w="100" w:type="dxa"/>
            <w:vAlign w:val="bottom"/>
            <w:shd w:val="clear" w:color="auto" w:fill="CFF0FC"/>
          </w:tcPr>
          <w:p>
            <w:pPr>
              <w:spacing w:after="0"/>
              <w:rPr>
                <w:sz w:val="21"/>
                <w:szCs w:val="21"/>
                <w:color w:val="auto"/>
              </w:rPr>
            </w:pPr>
          </w:p>
        </w:tc>
      </w:tr>
      <w:tr>
        <w:trPr>
          <w:trHeight w:val="239"/>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real estate loans to be sold</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20"/>
                <w:szCs w:val="20"/>
                <w:color w:val="auto"/>
              </w:rPr>
            </w:pPr>
          </w:p>
        </w:tc>
      </w:tr>
      <w:tr>
        <w:trPr>
          <w:trHeight w:val="247"/>
        </w:trPr>
        <w:tc>
          <w:tcPr>
            <w:tcW w:w="7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commercial real estate</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00" w:type="dxa"/>
            <w:vAlign w:val="bottom"/>
            <w:shd w:val="clear" w:color="auto" w:fill="CFF0FC"/>
          </w:tcPr>
          <w:p>
            <w:pPr>
              <w:spacing w:after="0"/>
              <w:rPr>
                <w:sz w:val="21"/>
                <w:szCs w:val="21"/>
                <w:color w:val="auto"/>
              </w:rPr>
            </w:pPr>
          </w:p>
        </w:tc>
      </w:tr>
      <w:tr>
        <w:trPr>
          <w:trHeight w:val="239"/>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real estate loans to be sold</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r>
      <w:tr>
        <w:trPr>
          <w:trHeight w:val="247"/>
        </w:trPr>
        <w:tc>
          <w:tcPr>
            <w:tcW w:w="7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residential real estate</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FF0FC"/>
          </w:tcPr>
          <w:p>
            <w:pPr>
              <w:spacing w:after="0"/>
              <w:rPr>
                <w:sz w:val="21"/>
                <w:szCs w:val="21"/>
                <w:color w:val="auto"/>
              </w:rPr>
            </w:pPr>
          </w:p>
        </w:tc>
      </w:tr>
      <w:tr>
        <w:trPr>
          <w:trHeight w:val="239"/>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100" w:type="dxa"/>
            <w:vAlign w:val="bottom"/>
          </w:tcPr>
          <w:p>
            <w:pPr>
              <w:spacing w:after="0"/>
              <w:rPr>
                <w:sz w:val="20"/>
                <w:szCs w:val="20"/>
                <w:color w:val="auto"/>
              </w:rPr>
            </w:pPr>
          </w:p>
        </w:tc>
      </w:tr>
      <w:tr>
        <w:trPr>
          <w:trHeight w:val="247"/>
        </w:trPr>
        <w:tc>
          <w:tcPr>
            <w:tcW w:w="7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Credit cards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00" w:type="dxa"/>
            <w:vAlign w:val="bottom"/>
            <w:shd w:val="clear" w:color="auto" w:fill="CFF0FC"/>
          </w:tcPr>
          <w:p>
            <w:pPr>
              <w:spacing w:after="0"/>
              <w:rPr>
                <w:sz w:val="21"/>
                <w:szCs w:val="21"/>
                <w:color w:val="auto"/>
              </w:rPr>
            </w:pPr>
          </w:p>
        </w:tc>
      </w:tr>
      <w:tr>
        <w:trPr>
          <w:trHeight w:val="239"/>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0"/>
                <w:szCs w:val="20"/>
                <w:color w:val="auto"/>
              </w:rPr>
            </w:pPr>
          </w:p>
        </w:tc>
      </w:tr>
      <w:tr>
        <w:trPr>
          <w:trHeight w:val="247"/>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shd w:val="clear" w:color="auto" w:fill="CFF0FC"/>
          </w:tcPr>
          <w:p>
            <w:pPr>
              <w:spacing w:after="0"/>
              <w:rPr>
                <w:sz w:val="21"/>
                <w:szCs w:val="21"/>
                <w:color w:val="auto"/>
              </w:rPr>
            </w:pPr>
          </w:p>
        </w:tc>
      </w:tr>
      <w:tr>
        <w:trPr>
          <w:trHeight w:val="23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r>
      <w:tr>
        <w:trPr>
          <w:trHeight w:val="247"/>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guarantees and indemnification contracts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shd w:val="clear" w:color="auto" w:fill="CFF0FC"/>
          </w:tcPr>
          <w:p>
            <w:pPr>
              <w:spacing w:after="0"/>
              <w:rPr>
                <w:sz w:val="21"/>
                <w:szCs w:val="21"/>
                <w:color w:val="auto"/>
              </w:rPr>
            </w:pPr>
          </w:p>
        </w:tc>
      </w:tr>
      <w:tr>
        <w:trPr>
          <w:trHeight w:val="234"/>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to sell real estate loans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0"/>
                <w:szCs w:val="20"/>
                <w:color w:val="auto"/>
              </w:rPr>
            </w:pPr>
          </w:p>
        </w:tc>
      </w:tr>
    </w:tbl>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Commitments to extend credit are agreements to lend to customers, generally having fixed expiration dates or other termination clauses that may require payment of a fee. In addition to the amounts in the preceding table, the Company had discretionary funding commitments to commercial customers of $12.4 billion and $12.3 billion at March 31, 2024 and December 31, 2023,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Commitments and contingencies, continued</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Financial guarantees and indemnification contracts are predominantly comprised of recourse obligations associated with sold loans and other guarantees and commitments. Included in financial guarantees and indemnification contracts are loan principal amounts sold with recourse in conjunction with the Company's involvement in the Fannie Mae DUS program. The Company's maximum credit risk for recourse associated with loans sold under this program totaled approximately $4.0 billion and $3.9 billion at March 31, 2024 and December 31, 2023, respectively. At March 31, 2024, the Company estimated that the recourse obligations described above were not material to the Company's consolidated financial position. There have been no material losses incurred as a result of those credit recourse arrangements.</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utilizes commitments to sell real estate loans to hedge exposure to changes in the fair value of real estate loans held for sale. Such commitments are accounted for as derivatives and along with commitments to originate real estate loans to be held for sale are recorded in the Consolidated Balance Sheet at estimated fair market value.</w:t>
      </w:r>
    </w:p>
    <w:p>
      <w:pPr>
        <w:spacing w:after="0" w:line="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March 31, 2024, the Company's estimated obligation to loan purchasers was not material to the Company’s consolidated financial position.</w:t>
      </w:r>
    </w:p>
    <w:p>
      <w:pPr>
        <w:spacing w:after="0" w:line="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$25 million as of March 31, 2024.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In February 2024, the FDIC notified member banks that the loss estimate attributable to certain failed banks in 2023 was approximately $20.4 billion, an increase of approximately $4.1 billion from the estimate of $16.3 billion described in the final rule. The FDIC also indicated that through the receivership of one of the failed banks, it had estimated residual interests in securities that were sold into trusts that could potentially reduce that loss estimate in the amount of $1.7 billion. The FDIC is expected to provide an updated estimate of the Company's special assessment amount with its first quarter 2024 invoice, which is anticipated to be received in June 2024. Reflecting the update to the loss estimate and related residual interest, the Company recorded an expense of $29 million in the Consolidated Statement of Income in the first quarter of 2024 in addition to the $197 million recorded in the fourth quarter of 2023, resulting in an accrued liability recorded in "accrued interest and other liabilities" in the Company's Consolidated Balance Sheet of $226 million at March 31, 2024 and $197 million at December 31, 2023. The FDIC has indicated that the amount of the special assessment will be adjusted as its loss estimates change.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14. Segment information</w:t>
      </w:r>
    </w:p>
    <w:p>
      <w:pPr>
        <w:spacing w:after="0" w:line="11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1"/>
          <w:szCs w:val="21"/>
          <w:color w:val="auto"/>
        </w:rPr>
        <w:t>Reportable segments have been determined based upon the Company's organizational structure and its internal profitability reporting system, which is organized by strategic business unit. The reportable segments are Commercial Bank, Retail Bank and Institutional Services and Wealth Management.</w:t>
      </w:r>
    </w:p>
    <w:p>
      <w:pPr>
        <w:spacing w:after="0" w:line="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financial information of the Company's segments was compiled utilizing the accounting policies described in note 23 of Notes to Financial Statements in the 2023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Information about the Company's segments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900" w:type="dxa"/>
            <w:vAlign w:val="bottom"/>
            <w:gridSpan w:val="3"/>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Inter-</w:t>
            </w:r>
          </w:p>
        </w:tc>
        <w:tc>
          <w:tcPr>
            <w:tcW w:w="120" w:type="dxa"/>
            <w:vAlign w:val="bottom"/>
          </w:tcPr>
          <w:p>
            <w:pPr>
              <w:spacing w:after="0"/>
              <w:rPr>
                <w:sz w:val="11"/>
                <w:szCs w:val="11"/>
                <w:color w:val="auto"/>
              </w:rPr>
            </w:pPr>
          </w:p>
        </w:tc>
        <w:tc>
          <w:tcPr>
            <w:tcW w:w="880" w:type="dxa"/>
            <w:vAlign w:val="bottom"/>
            <w:gridSpan w:val="2"/>
          </w:tcPr>
          <w:p>
            <w:pPr>
              <w:jc w:val="center"/>
              <w:ind w:right="348"/>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64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84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w w:val="97"/>
              </w:rPr>
              <w:t>Inter-</w:t>
            </w:r>
          </w:p>
        </w:tc>
        <w:tc>
          <w:tcPr>
            <w:tcW w:w="120" w:type="dxa"/>
            <w:vAlign w:val="bottom"/>
          </w:tcPr>
          <w:p>
            <w:pPr>
              <w:spacing w:after="0"/>
              <w:rPr>
                <w:sz w:val="11"/>
                <w:szCs w:val="11"/>
                <w:color w:val="auto"/>
              </w:rPr>
            </w:pPr>
          </w:p>
        </w:tc>
        <w:tc>
          <w:tcPr>
            <w:tcW w:w="84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66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r>
      <w:tr>
        <w:trPr>
          <w:trHeight w:val="148"/>
        </w:trPr>
        <w:tc>
          <w:tcPr>
            <w:tcW w:w="3500" w:type="dxa"/>
            <w:vAlign w:val="bottom"/>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Revenues(a</w:t>
            </w:r>
          </w:p>
        </w:tc>
        <w:tc>
          <w:tcPr>
            <w:tcW w:w="120" w:type="dxa"/>
            <w:vAlign w:val="bottom"/>
          </w:tcPr>
          <w:p>
            <w:pPr>
              <w:spacing w:after="0"/>
              <w:rPr>
                <w:sz w:val="12"/>
                <w:szCs w:val="12"/>
                <w:color w:val="auto"/>
              </w:rPr>
            </w:pPr>
          </w:p>
        </w:tc>
        <w:tc>
          <w:tcPr>
            <w:tcW w:w="9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2"/>
                <w:szCs w:val="12"/>
                <w:color w:val="auto"/>
              </w:rPr>
            </w:pPr>
          </w:p>
        </w:tc>
        <w:tc>
          <w:tcPr>
            <w:tcW w:w="88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6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Revenues(a</w:t>
            </w:r>
          </w:p>
        </w:tc>
        <w:tc>
          <w:tcPr>
            <w:tcW w:w="12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87"/>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6"/>
                <w:szCs w:val="16"/>
                <w:color w:val="auto"/>
              </w:rPr>
            </w:pPr>
          </w:p>
        </w:tc>
      </w:tr>
      <w:tr>
        <w:trPr>
          <w:trHeight w:val="237"/>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Bank</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81,083</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79,034</w:t>
            </w:r>
          </w:p>
        </w:tc>
        <w:tc>
          <w:tcPr>
            <w:tcW w:w="100" w:type="dxa"/>
            <w:vAlign w:val="bottom"/>
            <w:shd w:val="clear" w:color="auto" w:fill="CFF0FC"/>
          </w:tcPr>
          <w:p>
            <w:pPr>
              <w:spacing w:after="0"/>
              <w:rPr>
                <w:sz w:val="20"/>
                <w:szCs w:val="20"/>
                <w:color w:val="auto"/>
              </w:rPr>
            </w:pPr>
          </w:p>
        </w:tc>
      </w:tr>
      <w:tr>
        <w:trPr>
          <w:trHeight w:val="23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Bank</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100" w:type="dxa"/>
            <w:vAlign w:val="bottom"/>
          </w:tcPr>
          <w:p>
            <w:pPr>
              <w:spacing w:after="0"/>
              <w:rPr>
                <w:sz w:val="20"/>
                <w:szCs w:val="20"/>
                <w:color w:val="auto"/>
              </w:rPr>
            </w:pPr>
          </w:p>
        </w:tc>
      </w:tr>
      <w:tr>
        <w:trPr>
          <w:trHeight w:val="215"/>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Institutional Services and Wealth</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Management</w:t>
            </w: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shd w:val="clear" w:color="auto" w:fill="CFF0FC"/>
          </w:tcPr>
          <w:p>
            <w:pPr>
              <w:spacing w:after="0"/>
              <w:rPr>
                <w:sz w:val="21"/>
                <w:szCs w:val="21"/>
                <w:color w:val="auto"/>
              </w:rPr>
            </w:pPr>
          </w:p>
        </w:tc>
      </w:tr>
      <w:tr>
        <w:trPr>
          <w:trHeight w:val="23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68,617</w:t>
            </w:r>
          </w:p>
        </w:tc>
        <w:tc>
          <w:tcPr>
            <w:tcW w:w="100" w:type="dxa"/>
            <w:vAlign w:val="bottom"/>
          </w:tcPr>
          <w:p>
            <w:pPr>
              <w:spacing w:after="0"/>
              <w:rPr>
                <w:sz w:val="20"/>
                <w:szCs w:val="20"/>
                <w:color w:val="auto"/>
              </w:rPr>
            </w:pPr>
          </w:p>
        </w:tc>
      </w:tr>
      <w:tr>
        <w:trPr>
          <w:trHeight w:val="276"/>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211,478</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-24765</wp:posOffset>
            </wp:positionV>
            <wp:extent cx="7683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-7620</wp:posOffset>
            </wp:positionV>
            <wp:extent cx="7683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-24765</wp:posOffset>
            </wp:positionV>
            <wp:extent cx="7683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-7620</wp:posOffset>
            </wp:positionV>
            <wp:extent cx="7683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-24765</wp:posOffset>
            </wp:positionV>
            <wp:extent cx="7747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7747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6858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6858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-24765</wp:posOffset>
            </wp:positionV>
            <wp:extent cx="6858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-7620</wp:posOffset>
            </wp:positionV>
            <wp:extent cx="6858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 w:lineRule="exact"/>
        <w:rPr>
          <w:sz w:val="20"/>
          <w:szCs w:val="20"/>
          <w:color w:val="auto"/>
        </w:rPr>
      </w:pPr>
    </w:p>
    <w:p>
      <w:pPr>
        <w:jc w:val="both"/>
        <w:ind w:left="520" w:hanging="512"/>
        <w:spacing w:after="0" w:line="236" w:lineRule="auto"/>
        <w:tabs>
          <w:tab w:leader="none" w:pos="520"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$12 million and $14 million for the three-month periods ended March 31, 2024 and 2023 and is eliminated in "All Other" 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190309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15. Relationship with BLG and Bayview Financial</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M&amp;T holds a 20% minority interest in BLG, a privately-held commercial mortgage company. That investment had no remaining carrying value at March 31, 2024 as a result of cumulative losses recognized and cash distributions received in prior years. Cash distributions now received from BLG are recognized as income by M&amp;T and included in "other revenues from operations" in the Consolidated Statement of Income. That income totaled $25 million and $20 million for the three-month periods ended March 31, 2024 and 2023, respectively.</w:t>
      </w:r>
    </w:p>
    <w:p>
      <w:pPr>
        <w:spacing w:after="0" w:line="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Bayview Financial, a privately-held specialty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$1.1 billion and $1.2 billion at March 31, 2024 and December 31, 2023, respectively. Revenues from those servicing rights were $1 million and $2 million in the three-month periods ended March 31, 2024 and 2023, respectively. The Company sub-services residential mortgage loans for Bayview Financial having outstanding principal balances of $112.0 billion and $115.3 billion at March 31, 2024 and December 31, 2023, respectively. Revenues earned for sub-servicing loans for Bayview Financial were $32 million in each of the three-month periods ended March 31, 2024 and 2023. In addition, the Company held $41 million and $42 million of mortgage-backed securities in its held-to-maturity portfolio at March 31, 2024 and December 31, 2023, respectively, that were securitized by Bayview Financial. At March 31, 2024, the Company held $674 million of Bayview Financial's $3.7 billion syndicated loan facility.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tabs>
          <w:tab w:leader="none" w:pos="820" w:val="left"/>
        </w:tabs>
        <w:rPr>
          <w:sz w:val="20"/>
          <w:szCs w:val="20"/>
          <w:color w:val="auto"/>
        </w:rPr>
      </w:pPr>
      <w:r>
        <w:rPr>
          <w:rFonts w:ascii="Times New Roman" w:cs="Times New Roman" w:eastAsia="Times New Roman" w:hAnsi="Times New Roman"/>
          <w:sz w:val="21"/>
          <w:szCs w:val="21"/>
          <w:color w:val="auto"/>
        </w:rPr>
        <w:t>Item 2.</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w:t>
      </w:r>
    </w:p>
    <w:p>
      <w:pPr>
        <w:spacing w:after="0" w:line="110"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1"/>
          <w:szCs w:val="21"/>
          <w:color w:val="auto"/>
        </w:rPr>
        <w:t>This Management's Discussion and Analysis of Financial Condition and Results of Operations should be read in conjunction with the consolidated financial statements and other information included in this Quarterly Report on Form 10-Q as well as with M&amp;T's 2023 Annual Report. Information regarding the Company's business, its supervision and regulation and potential risks and uncertainties that may affect the Company's business, financial condition, liquidity and results of operations are also included in M&amp;T's 2023 Annual Report.</w:t>
      </w:r>
    </w:p>
    <w:p>
      <w:pPr>
        <w:spacing w:after="0" w:line="7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As described in note 1 of Notes to Financial Statements in M&amp;T's 2023 Annual Report, certain financial reporting changes became effective in the fourth quarter of 2023. Prior periods have been presented in conformity with the new classifications.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Overview</w:t>
      </w:r>
    </w:p>
    <w:p>
      <w:pPr>
        <w:spacing w:after="0" w:line="11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The Company's results of operations for the first quarter of 2024 reflect an elevated interest rate environment which has led to higher costs of interest-bearing liabilities that have modestly outpaced increased yields on the Company's earning assets and an elevated level of provision for credit losses. The FOMC hiked its federal funds target rate four times in the first three quarters of 2023, totaling 100 basis points, but has not adjusted that rate since. Included in each of the first quarters of 2024 and 2023 results were seasonal salaries and employee benefits expenses of $99 million. Results for the first quarter of 2024 also included a $29 million estimated increase in the Company's FDIC special assessment. In the fourth quarter of 2023, an estimate of the FDIC special assessment for M&amp;T of $197 million was recorded in the Consolidated Statement of Income. Additional information about the FDIC special assessment is included in note 13 of Notes to Financial Statements. A summary of financial results for the Company is provided below:</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SUMMARY OF FINANCIAL RESULTS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8"/>
        </w:trPr>
        <w:tc>
          <w:tcPr>
            <w:tcW w:w="3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52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40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060" w:type="dxa"/>
            <w:vAlign w:val="bottom"/>
            <w:gridSpan w:val="2"/>
          </w:tcPr>
          <w:p>
            <w:pPr>
              <w:jc w:val="right"/>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7"/>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6"/>
                <w:szCs w:val="16"/>
                <w:color w:val="auto"/>
              </w:rPr>
            </w:pPr>
          </w:p>
        </w:tc>
        <w:tc>
          <w:tcPr>
            <w:tcW w:w="5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6"/>
                <w:szCs w:val="16"/>
                <w:color w:val="auto"/>
              </w:rPr>
            </w:pPr>
          </w:p>
        </w:tc>
        <w:tc>
          <w:tcPr>
            <w:tcW w:w="4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(42 )</w:t>
            </w:r>
          </w:p>
        </w:tc>
        <w:tc>
          <w:tcPr>
            <w:tcW w:w="8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-2 %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(138 )</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20" w:type="dxa"/>
            <w:vAlign w:val="bottom"/>
          </w:tcPr>
          <w:p>
            <w:pPr>
              <w:spacing w:after="0"/>
              <w:rPr>
                <w:sz w:val="14"/>
                <w:szCs w:val="14"/>
                <w:color w:val="auto"/>
              </w:rPr>
            </w:pPr>
          </w:p>
        </w:tc>
      </w:tr>
      <w:tr>
        <w:trPr>
          <w:trHeight w:val="17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Taxable-equivalent adjustment (a)</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(2 )</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3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interest income (taxable-equivalent basis) (a)</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(43 )</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(140 )</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3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FF0FC"/>
          </w:tcPr>
          <w:p>
            <w:pPr>
              <w:spacing w:after="0"/>
              <w:rPr>
                <w:sz w:val="15"/>
                <w:szCs w:val="15"/>
                <w:color w:val="auto"/>
              </w:rPr>
            </w:pPr>
          </w:p>
        </w:tc>
        <w:tc>
          <w:tcPr>
            <w:tcW w:w="8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(7 )</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(54 )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3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(171 )</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 common share data:</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31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Basic earnings</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(0.99 )</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31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Diluted earnings</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(0.99 )</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3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ratios, annualized</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Return on:</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31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Average assets</w:t>
            </w:r>
          </w:p>
        </w:tc>
        <w:tc>
          <w:tcPr>
            <w:tcW w:w="1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1.01 %</w:t>
            </w:r>
          </w:p>
        </w:tc>
        <w:tc>
          <w:tcPr>
            <w:tcW w:w="64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1.01 %</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1.40 %</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31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Average common shareholders’ equity</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3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54"/>
        </w:trPr>
        <w:tc>
          <w:tcPr>
            <w:tcW w:w="30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bl>
    <w:p>
      <w:pPr>
        <w:spacing w:after="0" w:line="16" w:lineRule="exact"/>
        <w:rPr>
          <w:sz w:val="20"/>
          <w:szCs w:val="20"/>
          <w:color w:val="auto"/>
        </w:rPr>
      </w:pPr>
    </w:p>
    <w:p>
      <w:pPr>
        <w:jc w:val="both"/>
        <w:ind w:left="520" w:right="40" w:hanging="512"/>
        <w:spacing w:after="0" w:line="243" w:lineRule="auto"/>
        <w:tabs>
          <w:tab w:leader="none" w:pos="520"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Net interest income data are presented on a taxable-equivalent basis which is a non-GAAP measure. The taxable-equivalent adjustment represents additional income taxes that would be due if all interest income were subject to income taxes. This adjustment, which is related to interest received on qualified municipal securities, industrial revenue financings and preferred equity securities, is based on a composite income tax rate of approximately 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increase in net income in the recent quarter as compared with the fourth quarter of 2023 resulted from the following:</w:t>
      </w:r>
    </w:p>
    <w:p>
      <w:pPr>
        <w:spacing w:after="0" w:line="110" w:lineRule="exact"/>
        <w:rPr>
          <w:sz w:val="20"/>
          <w:szCs w:val="20"/>
          <w:color w:val="auto"/>
        </w:rPr>
      </w:pPr>
    </w:p>
    <w:p>
      <w:pPr>
        <w:ind w:left="1020" w:right="20" w:hanging="503"/>
        <w:spacing w:after="0" w:line="270" w:lineRule="auto"/>
        <w:tabs>
          <w:tab w:leader="none" w:pos="10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on a taxable-equivalent basis declined $43 million reflecting a narrowing of the net interest margin by 9 basis points.</w:t>
      </w:r>
    </w:p>
    <w:p>
      <w:pPr>
        <w:spacing w:after="0" w:line="50" w:lineRule="exact"/>
        <w:rPr>
          <w:rFonts w:ascii="Times New Roman" w:cs="Times New Roman" w:eastAsia="Times New Roman" w:hAnsi="Times New Roman"/>
          <w:sz w:val="21"/>
          <w:szCs w:val="21"/>
          <w:color w:val="auto"/>
        </w:rPr>
      </w:pPr>
    </w:p>
    <w:p>
      <w:pPr>
        <w:ind w:left="1020" w:right="20" w:hanging="503"/>
        <w:spacing w:after="0" w:line="270" w:lineRule="auto"/>
        <w:tabs>
          <w:tab w:leader="none" w:pos="10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 for credit losses declined $25 million reflecting a modest improvement in economic forecasts, partially offset by an increase in criticized commercial and industrial loans.</w:t>
      </w:r>
    </w:p>
    <w:p>
      <w:pPr>
        <w:spacing w:after="0" w:line="50" w:lineRule="exact"/>
        <w:rPr>
          <w:rFonts w:ascii="Times New Roman" w:cs="Times New Roman" w:eastAsia="Times New Roman" w:hAnsi="Times New Roman"/>
          <w:sz w:val="21"/>
          <w:szCs w:val="21"/>
          <w:color w:val="auto"/>
        </w:rPr>
      </w:pPr>
    </w:p>
    <w:p>
      <w:pPr>
        <w:ind w:left="1020" w:right="20" w:hanging="503"/>
        <w:spacing w:after="0" w:line="270" w:lineRule="auto"/>
        <w:tabs>
          <w:tab w:leader="none" w:pos="10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expenses declined $54 million reflecting a $29 million FDIC assessment in the recent quarter as compared with $197 million in the fourth quarter of 2023, partially offset by seasonally higher salaries and employee benefits expenses.</w:t>
      </w:r>
    </w:p>
    <w:p>
      <w:pPr>
        <w:spacing w:after="0" w:line="159"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92"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1"/>
          <w:szCs w:val="21"/>
          <w:color w:val="auto"/>
        </w:rPr>
        <w:t>The decrease in net income in the first quarter of 2024 as compared with 2023's initial quarter reflects the following:</w:t>
      </w:r>
    </w:p>
    <w:p>
      <w:pPr>
        <w:spacing w:after="0" w:line="110" w:lineRule="exact"/>
        <w:rPr>
          <w:sz w:val="20"/>
          <w:szCs w:val="20"/>
          <w:color w:val="auto"/>
        </w:rPr>
      </w:pPr>
    </w:p>
    <w:p>
      <w:pPr>
        <w:ind w:left="1020" w:right="40" w:hanging="503"/>
        <w:spacing w:after="0" w:line="270" w:lineRule="auto"/>
        <w:tabs>
          <w:tab w:leader="none" w:pos="10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Taxable-equivalent net interest income in the first quarter of 2024 declined $140 million, or 8%, when compared with the first quarter of 2023, reflecting a narrowing of the net interest margin by 52 basis points.</w:t>
      </w:r>
    </w:p>
    <w:p>
      <w:pPr>
        <w:spacing w:after="0" w:line="50" w:lineRule="exact"/>
        <w:rPr>
          <w:rFonts w:ascii="Times New Roman" w:cs="Times New Roman" w:eastAsia="Times New Roman" w:hAnsi="Times New Roman"/>
          <w:sz w:val="21"/>
          <w:szCs w:val="21"/>
          <w:color w:val="auto"/>
        </w:rPr>
      </w:pPr>
    </w:p>
    <w:p>
      <w:pPr>
        <w:jc w:val="both"/>
        <w:ind w:left="1020" w:right="20" w:hanging="503"/>
        <w:spacing w:after="0" w:line="251" w:lineRule="auto"/>
        <w:tabs>
          <w:tab w:leader="none" w:pos="10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comparatively higher provision for credit losses in the recent quarter as compared with the first quarter of 2023 reflects declines in commercial real estate values and higher interest rates contributing to a deterioration in the performance of loans to commercial borrowers, including nonautomotive finance dealers and healthcare facilities, and growth in loans to certain sectors of the Company's commercial and industrial and consumer loan portfolios.</w:t>
      </w:r>
    </w:p>
    <w:p>
      <w:pPr>
        <w:spacing w:after="0" w:line="69" w:lineRule="exact"/>
        <w:rPr>
          <w:rFonts w:ascii="Times New Roman" w:cs="Times New Roman" w:eastAsia="Times New Roman" w:hAnsi="Times New Roman"/>
          <w:sz w:val="21"/>
          <w:szCs w:val="21"/>
          <w:color w:val="auto"/>
        </w:rPr>
      </w:pPr>
    </w:p>
    <w:p>
      <w:pPr>
        <w:jc w:val="both"/>
        <w:ind w:left="1020" w:right="20" w:hanging="503"/>
        <w:spacing w:after="0" w:line="255" w:lineRule="auto"/>
        <w:tabs>
          <w:tab w:leader="none" w:pos="10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in the first quarter of 2024 declined $7 million as compared with 2023's initial quarter. Lower trust income reflecting the CIT divestiture in April 2023 was partially offset by higher mortgage banking revenues and an increase in service charges on commercial deposit accounts.</w:t>
      </w:r>
    </w:p>
    <w:p>
      <w:pPr>
        <w:spacing w:after="0" w:line="67" w:lineRule="exact"/>
        <w:rPr>
          <w:rFonts w:ascii="Times New Roman" w:cs="Times New Roman" w:eastAsia="Times New Roman" w:hAnsi="Times New Roman"/>
          <w:sz w:val="21"/>
          <w:szCs w:val="21"/>
          <w:color w:val="auto"/>
        </w:rPr>
      </w:pPr>
    </w:p>
    <w:p>
      <w:pPr>
        <w:jc w:val="both"/>
        <w:ind w:left="1020" w:right="20" w:hanging="503"/>
        <w:spacing w:after="0" w:line="251" w:lineRule="auto"/>
        <w:tabs>
          <w:tab w:leader="none" w:pos="10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expenses, excluding the increased FDIC special assessment, rose modestly from 2023's initial quarter. Higher levels of salaries and employee benefits expense, outside data processing and software expense and other costs of operations were partially offset by lower professional and other services, reflecting the CIT divestiture, and lower advertising and marketing costs.</w:t>
      </w:r>
    </w:p>
    <w:p>
      <w:pPr>
        <w:spacing w:after="0" w:line="7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1"/>
          <w:szCs w:val="21"/>
          <w:color w:val="auto"/>
        </w:rPr>
        <w:t>The Company's effective tax rate was 20.0% in the first quarter of 2024, compared with 22.9% in the fourth quarter of 2023 and 24.2% in the first quarter of 2023. The first quarter of 2024 income tax expense reflects a net discrete benefit related to the resolution of a tax matter inherited from the acquisition of People's United.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Supplemental Reporting of Non-GAAP Results of Operations</w:t>
      </w:r>
    </w:p>
    <w:p>
      <w:pPr>
        <w:spacing w:after="0" w:line="11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1"/>
          <w:szCs w:val="21"/>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(when realized) and expenses (when incurred)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SUPPLEMENTAL REPORTING OF NON-GAAP RESULTS OF OPERATIONS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8"/>
        </w:trPr>
        <w:tc>
          <w:tcPr>
            <w:tcW w:w="3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020" w:type="dxa"/>
            <w:vAlign w:val="bottom"/>
            <w:gridSpan w:val="2"/>
          </w:tcPr>
          <w:p>
            <w:pPr>
              <w:jc w:val="right"/>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7"/>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6"/>
                <w:szCs w:val="16"/>
                <w:color w:val="auto"/>
              </w:rPr>
            </w:pPr>
          </w:p>
        </w:tc>
        <w:tc>
          <w:tcPr>
            <w:tcW w:w="4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4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operating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(172 )</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20" w:type="dxa"/>
            <w:vAlign w:val="bottom"/>
          </w:tcPr>
          <w:p>
            <w:pPr>
              <w:spacing w:after="0"/>
              <w:rPr>
                <w:sz w:val="14"/>
                <w:szCs w:val="14"/>
                <w:color w:val="auto"/>
              </w:rPr>
            </w:pPr>
          </w:p>
        </w:tc>
      </w:tr>
      <w:tr>
        <w:trPr>
          <w:trHeight w:val="175"/>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 net operating earnings per share</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3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Return on:</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Average tangible assets</w:t>
            </w:r>
          </w:p>
        </w:tc>
        <w:tc>
          <w:tcPr>
            <w:tcW w:w="10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1.08 %</w:t>
            </w:r>
          </w:p>
        </w:tc>
        <w:tc>
          <w:tcPr>
            <w:tcW w:w="20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.98 %</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1.08 %</w:t>
            </w:r>
          </w:p>
        </w:tc>
        <w:tc>
          <w:tcPr>
            <w:tcW w:w="12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1.49 %</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3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Average tangible common equity</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Efficiency ratio</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3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Tangible equity per common share (a)</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99.54</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98.54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99.54</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22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20" w:type="dxa"/>
            <w:vAlign w:val="bottom"/>
          </w:tcPr>
          <w:p>
            <w:pPr>
              <w:spacing w:after="0"/>
              <w:rPr>
                <w:sz w:val="15"/>
                <w:szCs w:val="15"/>
                <w:color w:val="auto"/>
              </w:rPr>
            </w:pPr>
          </w:p>
        </w:tc>
      </w:tr>
      <w:tr>
        <w:trPr>
          <w:trHeight w:val="54"/>
        </w:trPr>
        <w:tc>
          <w:tcPr>
            <w:tcW w:w="3000" w:type="dxa"/>
            <w:vAlign w:val="bottom"/>
            <w:tcBorders>
              <w:bottom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bl>
    <w:p>
      <w:pPr>
        <w:spacing w:after="0" w:line="16"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At the period end.</w:t>
      </w:r>
    </w:p>
    <w:p>
      <w:pPr>
        <w:spacing w:after="0" w:line="101"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1"/>
          <w:szCs w:val="21"/>
          <w:color w:val="auto"/>
        </w:rPr>
        <w:t>The efficiency ratio measures the relationship of noninterest operating expenses, which exclude expenses M&amp;T considers to be "nonoperating" in nature consisting of amortization of core deposit and other intangible assets and merger-related expenses, to revenues. The calculations of the Company’s efficiency ratio, or noninterest operating expenses divided by the sum of taxable-equivalent net interest income and noninterest income (exclusive of gains and losses from bank investment securities), and reconciliations of GAAP amounts with corresponding non-GAAP amounts are presented in Table 2.</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92"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1"/>
          <w:szCs w:val="21"/>
          <w:b w:val="1"/>
          <w:bCs w:val="1"/>
          <w:color w:val="auto"/>
        </w:rPr>
        <w:t>Taxable-equivalent Net Interest Income</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Interest income earned on certain of the Company's assets is exempt from federal income tax. Taxable-equivalent net interest income is a non-GAAP measure that adjusts income earned on a tax-exempt asset to present it on an equivalent basis to interest income earned on a fully taxable asset. The Company's average balance sheets accompanied by the annualized taxable-equivalent interest income and expense and the average rate on the Company's earning assets and interest-bearing liabilities are presented as follows.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BALANCE SHEETS AND ANNUALIZED TAXABLE-EQUIVALENT RATES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2024 First Quarter</w:t>
            </w:r>
          </w:p>
        </w:tc>
        <w:tc>
          <w:tcPr>
            <w:tcW w:w="140" w:type="dxa"/>
            <w:vAlign w:val="bottom"/>
          </w:tcPr>
          <w:p>
            <w:pPr>
              <w:spacing w:after="0"/>
              <w:rPr>
                <w:sz w:val="14"/>
                <w:szCs w:val="14"/>
                <w:color w:val="auto"/>
              </w:rPr>
            </w:pPr>
          </w:p>
        </w:tc>
        <w:tc>
          <w:tcPr>
            <w:tcW w:w="218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2023 Fourth Quarter</w:t>
            </w:r>
          </w:p>
        </w:tc>
        <w:tc>
          <w:tcPr>
            <w:tcW w:w="120" w:type="dxa"/>
            <w:vAlign w:val="bottom"/>
          </w:tcPr>
          <w:p>
            <w:pPr>
              <w:spacing w:after="0"/>
              <w:rPr>
                <w:sz w:val="14"/>
                <w:szCs w:val="14"/>
                <w:color w:val="auto"/>
              </w:rPr>
            </w:pPr>
          </w:p>
        </w:tc>
        <w:tc>
          <w:tcPr>
            <w:tcW w:w="218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2023 Third Quarter</w:t>
            </w: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Borders>
              <w:top w:val="single" w:sz="8" w:color="auto"/>
            </w:tcBorders>
            <w:gridSpan w:val="3"/>
          </w:tcPr>
          <w:p>
            <w:pPr>
              <w:jc w:val="right"/>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6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Interes</w:t>
            </w: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1"/>
                <w:szCs w:val="11"/>
                <w:color w:val="auto"/>
              </w:rPr>
            </w:pPr>
          </w:p>
        </w:tc>
        <w:tc>
          <w:tcPr>
            <w:tcW w:w="800" w:type="dxa"/>
            <w:vAlign w:val="bottom"/>
            <w:tcBorders>
              <w:top w:val="single" w:sz="8" w:color="auto"/>
            </w:tcBorders>
            <w:gridSpan w:val="3"/>
          </w:tcPr>
          <w:p>
            <w:pPr>
              <w:jc w:val="right"/>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4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Intere</w:t>
            </w: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1"/>
                <w:szCs w:val="11"/>
                <w:color w:val="auto"/>
              </w:rPr>
            </w:pPr>
          </w:p>
        </w:tc>
        <w:tc>
          <w:tcPr>
            <w:tcW w:w="780" w:type="dxa"/>
            <w:vAlign w:val="bottom"/>
            <w:tcBorders>
              <w:top w:val="single" w:sz="8" w:color="auto"/>
            </w:tcBorders>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Intere</w:t>
            </w: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6"/>
                <w:szCs w:val="16"/>
                <w:color w:val="auto"/>
              </w:rPr>
            </w:pP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w:t>
            </w:r>
          </w:p>
        </w:tc>
        <w:tc>
          <w:tcPr>
            <w:tcW w:w="26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st</w:t>
            </w:r>
          </w:p>
        </w:tc>
        <w:tc>
          <w:tcPr>
            <w:tcW w:w="200" w:type="dxa"/>
            <w:vAlign w:val="bottom"/>
          </w:tcPr>
          <w:p>
            <w:pPr>
              <w:spacing w:after="0"/>
              <w:rPr>
                <w:sz w:val="16"/>
                <w:szCs w:val="16"/>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st</w:t>
            </w:r>
          </w:p>
        </w:tc>
        <w:tc>
          <w:tcPr>
            <w:tcW w:w="22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60"/>
        </w:trPr>
        <w:tc>
          <w:tcPr>
            <w:tcW w:w="41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Earning assets:</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Loans and leases, net of unearned discount (a):</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56,821</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180" w:type="dxa"/>
            <w:vAlign w:val="bottom"/>
            <w:gridSpan w:val="3"/>
            <w:shd w:val="clear" w:color="auto" w:fill="CFF0FC"/>
          </w:tcPr>
          <w:p>
            <w:pPr>
              <w:ind w:left="640"/>
              <w:spacing w:after="0"/>
              <w:rPr>
                <w:sz w:val="20"/>
                <w:szCs w:val="20"/>
                <w:color w:val="auto"/>
              </w:rPr>
            </w:pPr>
            <w:r>
              <w:rPr>
                <w:rFonts w:ascii="Times New Roman" w:cs="Times New Roman" w:eastAsia="Times New Roman" w:hAnsi="Times New Roman"/>
                <w:sz w:val="14"/>
                <w:szCs w:val="14"/>
                <w:color w:val="auto"/>
              </w:rPr>
              <w:t>6.99 %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55,420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080" w:type="dxa"/>
            <w:vAlign w:val="bottom"/>
            <w:gridSpan w:val="3"/>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7.01 %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54,567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100" w:type="dxa"/>
            <w:vAlign w:val="bottom"/>
            <w:gridSpan w:val="3"/>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6.86 %</w:t>
            </w:r>
          </w:p>
        </w:tc>
        <w:tc>
          <w:tcPr>
            <w:tcW w:w="0" w:type="dxa"/>
            <w:vAlign w:val="bottom"/>
          </w:tcPr>
          <w:p>
            <w:pPr>
              <w:spacing w:after="0"/>
              <w:rPr>
                <w:sz w:val="1"/>
                <w:szCs w:val="1"/>
                <w:color w:val="auto"/>
              </w:rPr>
            </w:pPr>
          </w:p>
        </w:tc>
      </w:tr>
      <w:tr>
        <w:trPr>
          <w:trHeight w:val="176"/>
        </w:trPr>
        <w:tc>
          <w:tcPr>
            <w:tcW w:w="41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Commercial real estate</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32,696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w w:val="97"/>
              </w:rPr>
              <w:t>6.36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33,455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w w:val="97"/>
              </w:rPr>
              <w:t>6.54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34,288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w w:val="97"/>
              </w:rPr>
              <w:t>6.50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Residential real estate</w:t>
            </w: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23,136</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90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4"/>
                <w:szCs w:val="14"/>
                <w:color w:val="auto"/>
                <w:w w:val="97"/>
              </w:rPr>
              <w:t>4.28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23,339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2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w w:val="97"/>
              </w:rPr>
              <w:t>4.25</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23,573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4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7"/>
              </w:rPr>
              <w:t>4.14</w:t>
            </w:r>
          </w:p>
        </w:tc>
        <w:tc>
          <w:tcPr>
            <w:tcW w:w="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Consumer</w:t>
            </w: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21,143</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60" w:type="dxa"/>
            <w:vAlign w:val="bottom"/>
          </w:tcPr>
          <w:p>
            <w:pPr>
              <w:spacing w:after="0"/>
              <w:rPr>
                <w:sz w:val="15"/>
                <w:szCs w:val="15"/>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7"/>
              </w:rPr>
              <w:t>6.54</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20,556</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200" w:type="dxa"/>
            <w:vAlign w:val="bottom"/>
          </w:tcPr>
          <w:p>
            <w:pPr>
              <w:spacing w:after="0"/>
              <w:rPr>
                <w:sz w:val="15"/>
                <w:szCs w:val="15"/>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w w:val="97"/>
              </w:rPr>
              <w:t>6.42</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20,189</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20" w:type="dxa"/>
            <w:vAlign w:val="bottom"/>
          </w:tcPr>
          <w:p>
            <w:pPr>
              <w:spacing w:after="0"/>
              <w:rPr>
                <w:sz w:val="15"/>
                <w:szCs w:val="15"/>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w w:val="97"/>
              </w:rPr>
              <w:t>6.16</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160" w:type="dxa"/>
            <w:vAlign w:val="bottom"/>
            <w:gridSpan w:val="2"/>
            <w:shd w:val="clear" w:color="auto" w:fill="CFF0FC"/>
          </w:tcPr>
          <w:p>
            <w:pPr>
              <w:ind w:left="380"/>
              <w:spacing w:after="0" w:line="133" w:lineRule="exact"/>
              <w:rPr>
                <w:sz w:val="20"/>
                <w:szCs w:val="20"/>
                <w:color w:val="auto"/>
              </w:rPr>
            </w:pPr>
            <w:r>
              <w:rPr>
                <w:rFonts w:ascii="Times New Roman" w:cs="Times New Roman" w:eastAsia="Times New Roman" w:hAnsi="Times New Roman"/>
                <w:sz w:val="14"/>
                <w:szCs w:val="14"/>
                <w:color w:val="auto"/>
              </w:rPr>
              <w:t>Total loans and leases, net</w:t>
            </w: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133,79</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2,10</w:t>
            </w:r>
          </w:p>
        </w:tc>
        <w:tc>
          <w:tcPr>
            <w:tcW w:w="260" w:type="dxa"/>
            <w:vAlign w:val="bottom"/>
            <w:vMerge w:val="restart"/>
            <w:shd w:val="clear" w:color="auto" w:fill="CFF0FC"/>
          </w:tcPr>
          <w:p>
            <w:pPr>
              <w:spacing w:after="0"/>
              <w:rPr>
                <w:sz w:val="11"/>
                <w:szCs w:val="11"/>
                <w:color w:val="auto"/>
              </w:rPr>
            </w:pPr>
          </w:p>
        </w:tc>
        <w:tc>
          <w:tcPr>
            <w:tcW w:w="640" w:type="dxa"/>
            <w:vAlign w:val="bottom"/>
            <w:vMerge w:val="restart"/>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7"/>
              </w:rPr>
              <w:t>6.32</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132,77</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2,11</w:t>
            </w:r>
          </w:p>
        </w:tc>
        <w:tc>
          <w:tcPr>
            <w:tcW w:w="200" w:type="dxa"/>
            <w:vAlign w:val="bottom"/>
            <w:vMerge w:val="restart"/>
            <w:shd w:val="clear" w:color="auto" w:fill="CFF0FC"/>
          </w:tcPr>
          <w:p>
            <w:pPr>
              <w:spacing w:after="0"/>
              <w:rPr>
                <w:sz w:val="11"/>
                <w:szCs w:val="11"/>
                <w:color w:val="auto"/>
              </w:rPr>
            </w:pPr>
          </w:p>
        </w:tc>
        <w:tc>
          <w:tcPr>
            <w:tcW w:w="62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97"/>
              </w:rPr>
              <w:t>6.33</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132,61</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2,07</w:t>
            </w:r>
          </w:p>
        </w:tc>
        <w:tc>
          <w:tcPr>
            <w:tcW w:w="220" w:type="dxa"/>
            <w:vAlign w:val="bottom"/>
            <w:vMerge w:val="restart"/>
            <w:shd w:val="clear" w:color="auto" w:fill="CFF0FC"/>
          </w:tcPr>
          <w:p>
            <w:pPr>
              <w:spacing w:after="0"/>
              <w:rPr>
                <w:sz w:val="11"/>
                <w:szCs w:val="11"/>
                <w:color w:val="auto"/>
              </w:rPr>
            </w:pPr>
          </w:p>
        </w:tc>
        <w:tc>
          <w:tcPr>
            <w:tcW w:w="62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97"/>
              </w:rPr>
              <w:t>6.19</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00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bottom w:val="single" w:sz="8" w:color="CFF0FC"/>
            </w:tcBorders>
            <w:vMerge w:val="continue"/>
            <w:shd w:val="clear" w:color="auto" w:fill="CFF0FC"/>
          </w:tcPr>
          <w:p>
            <w:pPr>
              <w:spacing w:after="0"/>
              <w:rPr>
                <w:sz w:val="16"/>
                <w:szCs w:val="16"/>
                <w:color w:val="auto"/>
              </w:rPr>
            </w:pPr>
          </w:p>
        </w:tc>
        <w:tc>
          <w:tcPr>
            <w:tcW w:w="640" w:type="dxa"/>
            <w:vAlign w:val="bottom"/>
            <w:tcBorders>
              <w:bottom w:val="single" w:sz="8" w:color="auto"/>
            </w:tcBorders>
            <w:vMerge w:val="continue"/>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Borders>
              <w:bottom w:val="single" w:sz="8" w:color="CFF0FC"/>
            </w:tcBorders>
            <w:vMerge w:val="continue"/>
            <w:shd w:val="clear" w:color="auto" w:fill="CFF0FC"/>
          </w:tcPr>
          <w:p>
            <w:pPr>
              <w:spacing w:after="0"/>
              <w:rPr>
                <w:sz w:val="16"/>
                <w:szCs w:val="16"/>
                <w:color w:val="auto"/>
              </w:rPr>
            </w:pPr>
          </w:p>
        </w:tc>
        <w:tc>
          <w:tcPr>
            <w:tcW w:w="62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Borders>
              <w:bottom w:val="single" w:sz="8" w:color="CFF0FC"/>
            </w:tcBorders>
            <w:vMerge w:val="continue"/>
            <w:shd w:val="clear" w:color="auto" w:fill="CFF0FC"/>
          </w:tcPr>
          <w:p>
            <w:pPr>
              <w:spacing w:after="0"/>
              <w:rPr>
                <w:sz w:val="16"/>
                <w:szCs w:val="16"/>
                <w:color w:val="auto"/>
              </w:rPr>
            </w:pPr>
          </w:p>
        </w:tc>
        <w:tc>
          <w:tcPr>
            <w:tcW w:w="62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Interest-bearing deposits at banks</w:t>
            </w: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w w:val="97"/>
              </w:rPr>
              <w:t>5.49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30,153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w w:val="97"/>
              </w:rPr>
              <w:t>5.48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w w:val="97"/>
              </w:rPr>
              <w:t>5.40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Trading account</w:t>
            </w: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0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4"/>
                <w:szCs w:val="14"/>
                <w:color w:val="auto"/>
                <w:w w:val="97"/>
              </w:rPr>
              <w:t>3.42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w w:val="97"/>
              </w:rPr>
              <w:t>3.80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4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7"/>
              </w:rPr>
              <w:t>4.05</w:t>
            </w:r>
          </w:p>
        </w:tc>
        <w:tc>
          <w:tcPr>
            <w:tcW w:w="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 securities (b):</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U.S. Treasury and federal agencies</w:t>
            </w: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24,625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90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4"/>
                <w:szCs w:val="14"/>
                <w:color w:val="auto"/>
                <w:w w:val="97"/>
              </w:rPr>
              <w:t>3.11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23,675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2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w w:val="97"/>
              </w:rPr>
              <w:t>2.90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24,166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4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7"/>
              </w:rPr>
              <w:t>2.90</w:t>
            </w:r>
          </w:p>
        </w:tc>
        <w:tc>
          <w:tcPr>
            <w:tcW w:w="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w w:val="97"/>
              </w:rPr>
              <w:t>3.77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w w:val="97"/>
              </w:rPr>
              <w:t>3.75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w w:val="97"/>
              </w:rPr>
              <w:t>3.70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7"/>
              </w:rPr>
              <w:t>5.54</w:t>
            </w:r>
          </w:p>
        </w:tc>
        <w:tc>
          <w:tcPr>
            <w:tcW w:w="2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97"/>
              </w:rPr>
              <w:t>6.04</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97"/>
              </w:rPr>
              <w:t>6.51</w:t>
            </w:r>
          </w:p>
        </w:tc>
        <w:tc>
          <w:tcPr>
            <w:tcW w:w="2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28,587</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60" w:type="dxa"/>
            <w:vAlign w:val="bottom"/>
          </w:tcPr>
          <w:p>
            <w:pPr>
              <w:spacing w:after="0"/>
              <w:rPr>
                <w:sz w:val="14"/>
                <w:szCs w:val="14"/>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7"/>
              </w:rPr>
              <w:t>3.30</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27,490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00" w:type="dxa"/>
            <w:vAlign w:val="bottom"/>
          </w:tcPr>
          <w:p>
            <w:pPr>
              <w:spacing w:after="0"/>
              <w:rPr>
                <w:sz w:val="14"/>
                <w:szCs w:val="14"/>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w w:val="97"/>
              </w:rPr>
              <w:t>3.13</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27,993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220" w:type="dxa"/>
            <w:vAlign w:val="bottom"/>
          </w:tcPr>
          <w:p>
            <w:pPr>
              <w:spacing w:after="0"/>
              <w:rPr>
                <w:sz w:val="14"/>
                <w:szCs w:val="14"/>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w w:val="97"/>
              </w:rPr>
              <w:t>3.14</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60" w:type="dxa"/>
            <w:vAlign w:val="bottom"/>
            <w:gridSpan w:val="2"/>
            <w:shd w:val="clear" w:color="auto" w:fill="CFF0FC"/>
          </w:tcPr>
          <w:p>
            <w:pPr>
              <w:ind w:left="380"/>
              <w:spacing w:after="0" w:line="133" w:lineRule="exact"/>
              <w:rPr>
                <w:sz w:val="20"/>
                <w:szCs w:val="20"/>
                <w:color w:val="auto"/>
              </w:rPr>
            </w:pPr>
            <w:r>
              <w:rPr>
                <w:rFonts w:ascii="Times New Roman" w:cs="Times New Roman" w:eastAsia="Times New Roman" w:hAnsi="Times New Roman"/>
                <w:sz w:val="14"/>
                <w:szCs w:val="14"/>
                <w:color w:val="auto"/>
              </w:rPr>
              <w:t>Total earning assets</w:t>
            </w: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193,13</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2,75</w:t>
            </w:r>
          </w:p>
        </w:tc>
        <w:tc>
          <w:tcPr>
            <w:tcW w:w="260" w:type="dxa"/>
            <w:vAlign w:val="bottom"/>
            <w:vMerge w:val="restart"/>
            <w:shd w:val="clear" w:color="auto" w:fill="CFF0FC"/>
          </w:tcPr>
          <w:p>
            <w:pPr>
              <w:spacing w:after="0"/>
              <w:rPr>
                <w:sz w:val="11"/>
                <w:szCs w:val="11"/>
                <w:color w:val="auto"/>
              </w:rPr>
            </w:pPr>
          </w:p>
        </w:tc>
        <w:tc>
          <w:tcPr>
            <w:tcW w:w="640" w:type="dxa"/>
            <w:vAlign w:val="bottom"/>
            <w:vMerge w:val="restart"/>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7"/>
              </w:rPr>
              <w:t>5.74</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190,53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2,75</w:t>
            </w:r>
          </w:p>
        </w:tc>
        <w:tc>
          <w:tcPr>
            <w:tcW w:w="200" w:type="dxa"/>
            <w:vAlign w:val="bottom"/>
            <w:vMerge w:val="restart"/>
            <w:shd w:val="clear" w:color="auto" w:fill="CFF0FC"/>
          </w:tcPr>
          <w:p>
            <w:pPr>
              <w:spacing w:after="0"/>
              <w:rPr>
                <w:sz w:val="11"/>
                <w:szCs w:val="11"/>
                <w:color w:val="auto"/>
              </w:rPr>
            </w:pPr>
          </w:p>
        </w:tc>
        <w:tc>
          <w:tcPr>
            <w:tcW w:w="62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97"/>
              </w:rPr>
              <w:t>5.73</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187,40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2,65</w:t>
            </w:r>
          </w:p>
        </w:tc>
        <w:tc>
          <w:tcPr>
            <w:tcW w:w="220" w:type="dxa"/>
            <w:vAlign w:val="bottom"/>
            <w:vMerge w:val="restart"/>
            <w:shd w:val="clear" w:color="auto" w:fill="CFF0FC"/>
          </w:tcPr>
          <w:p>
            <w:pPr>
              <w:spacing w:after="0"/>
              <w:rPr>
                <w:sz w:val="11"/>
                <w:szCs w:val="11"/>
                <w:color w:val="auto"/>
              </w:rPr>
            </w:pPr>
          </w:p>
        </w:tc>
        <w:tc>
          <w:tcPr>
            <w:tcW w:w="62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97"/>
              </w:rPr>
              <w:t>5.62</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00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tcBorders>
              <w:bottom w:val="single" w:sz="8" w:color="CFF0FC"/>
            </w:tcBorders>
            <w:vMerge w:val="continue"/>
            <w:shd w:val="clear" w:color="auto" w:fill="CFF0FC"/>
          </w:tcPr>
          <w:p>
            <w:pPr>
              <w:spacing w:after="0"/>
              <w:rPr>
                <w:sz w:val="16"/>
                <w:szCs w:val="16"/>
                <w:color w:val="auto"/>
              </w:rPr>
            </w:pPr>
          </w:p>
        </w:tc>
        <w:tc>
          <w:tcPr>
            <w:tcW w:w="640" w:type="dxa"/>
            <w:vAlign w:val="bottom"/>
            <w:tcBorders>
              <w:bottom w:val="single" w:sz="8" w:color="auto"/>
            </w:tcBorders>
            <w:vMerge w:val="continue"/>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Borders>
              <w:bottom w:val="single" w:sz="8" w:color="CFF0FC"/>
            </w:tcBorders>
            <w:vMerge w:val="continue"/>
            <w:shd w:val="clear" w:color="auto" w:fill="CFF0FC"/>
          </w:tcPr>
          <w:p>
            <w:pPr>
              <w:spacing w:after="0"/>
              <w:rPr>
                <w:sz w:val="16"/>
                <w:szCs w:val="16"/>
                <w:color w:val="auto"/>
              </w:rPr>
            </w:pPr>
          </w:p>
        </w:tc>
        <w:tc>
          <w:tcPr>
            <w:tcW w:w="62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Borders>
              <w:bottom w:val="single" w:sz="8" w:color="CFF0FC"/>
            </w:tcBorders>
            <w:vMerge w:val="continue"/>
            <w:shd w:val="clear" w:color="auto" w:fill="CFF0FC"/>
          </w:tcPr>
          <w:p>
            <w:pPr>
              <w:spacing w:after="0"/>
              <w:rPr>
                <w:sz w:val="16"/>
                <w:szCs w:val="16"/>
                <w:color w:val="auto"/>
              </w:rPr>
            </w:pPr>
          </w:p>
        </w:tc>
        <w:tc>
          <w:tcPr>
            <w:tcW w:w="62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(2,156 )</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(2,073 )</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(1,998 )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18,812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18,655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18,656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160" w:type="dxa"/>
            <w:vAlign w:val="bottom"/>
            <w:gridSpan w:val="2"/>
            <w:shd w:val="clear" w:color="auto" w:fill="CFF0FC"/>
          </w:tcPr>
          <w:p>
            <w:pPr>
              <w:ind w:left="380"/>
              <w:spacing w:after="0" w:line="133" w:lineRule="exact"/>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211,47</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208,75</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205,79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30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1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94,867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180" w:type="dxa"/>
            <w:vAlign w:val="bottom"/>
            <w:gridSpan w:val="3"/>
            <w:shd w:val="clear" w:color="auto" w:fill="CFF0FC"/>
          </w:tcPr>
          <w:p>
            <w:pPr>
              <w:ind w:left="640"/>
              <w:spacing w:after="0"/>
              <w:rPr>
                <w:sz w:val="20"/>
                <w:szCs w:val="20"/>
                <w:color w:val="auto"/>
              </w:rPr>
            </w:pPr>
            <w:r>
              <w:rPr>
                <w:rFonts w:ascii="Times New Roman" w:cs="Times New Roman" w:eastAsia="Times New Roman" w:hAnsi="Times New Roman"/>
                <w:sz w:val="14"/>
                <w:szCs w:val="14"/>
                <w:color w:val="auto"/>
              </w:rPr>
              <w:t>2.61 %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93,365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80" w:type="dxa"/>
            <w:vAlign w:val="bottom"/>
            <w:gridSpan w:val="3"/>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2.58 %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89,274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100" w:type="dxa"/>
            <w:vAlign w:val="bottom"/>
            <w:gridSpan w:val="3"/>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2.20 %</w:t>
            </w:r>
          </w:p>
        </w:tc>
        <w:tc>
          <w:tcPr>
            <w:tcW w:w="0" w:type="dxa"/>
            <w:vAlign w:val="bottom"/>
          </w:tcPr>
          <w:p>
            <w:pPr>
              <w:spacing w:after="0"/>
              <w:rPr>
                <w:sz w:val="1"/>
                <w:szCs w:val="1"/>
                <w:color w:val="auto"/>
              </w:rPr>
            </w:pPr>
          </w:p>
        </w:tc>
      </w:tr>
      <w:tr>
        <w:trPr>
          <w:trHeight w:val="175"/>
        </w:trPr>
        <w:tc>
          <w:tcPr>
            <w:tcW w:w="41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Time deposits</w:t>
            </w: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20,583</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260" w:type="dxa"/>
            <w:vAlign w:val="bottom"/>
          </w:tcPr>
          <w:p>
            <w:pPr>
              <w:spacing w:after="0"/>
              <w:rPr>
                <w:sz w:val="15"/>
                <w:szCs w:val="15"/>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7"/>
              </w:rPr>
              <w:t>4.41</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21,224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200" w:type="dxa"/>
            <w:vAlign w:val="bottom"/>
          </w:tcPr>
          <w:p>
            <w:pPr>
              <w:spacing w:after="0"/>
              <w:rPr>
                <w:sz w:val="15"/>
                <w:szCs w:val="15"/>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w w:val="97"/>
              </w:rPr>
              <w:t>4.30</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19,528</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220" w:type="dxa"/>
            <w:vAlign w:val="bottom"/>
          </w:tcPr>
          <w:p>
            <w:pPr>
              <w:spacing w:after="0"/>
              <w:rPr>
                <w:sz w:val="15"/>
                <w:szCs w:val="15"/>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w w:val="97"/>
              </w:rPr>
              <w:t>4.09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160" w:type="dxa"/>
            <w:vAlign w:val="bottom"/>
            <w:gridSpan w:val="2"/>
            <w:shd w:val="clear" w:color="auto" w:fill="CFF0FC"/>
          </w:tcPr>
          <w:p>
            <w:pPr>
              <w:ind w:left="380"/>
              <w:spacing w:after="0" w:line="133" w:lineRule="exact"/>
              <w:rPr>
                <w:sz w:val="20"/>
                <w:szCs w:val="20"/>
                <w:color w:val="auto"/>
              </w:rPr>
            </w:pPr>
            <w:r>
              <w:rPr>
                <w:rFonts w:ascii="Times New Roman" w:cs="Times New Roman" w:eastAsia="Times New Roman" w:hAnsi="Times New Roman"/>
                <w:sz w:val="14"/>
                <w:szCs w:val="14"/>
                <w:color w:val="auto"/>
              </w:rPr>
              <w:t>Total interest-bearing deposits</w:t>
            </w: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115,45</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260" w:type="dxa"/>
            <w:vAlign w:val="bottom"/>
            <w:vMerge w:val="restart"/>
            <w:shd w:val="clear" w:color="auto" w:fill="CFF0FC"/>
          </w:tcPr>
          <w:p>
            <w:pPr>
              <w:spacing w:after="0"/>
              <w:rPr>
                <w:sz w:val="11"/>
                <w:szCs w:val="11"/>
                <w:color w:val="auto"/>
              </w:rPr>
            </w:pPr>
          </w:p>
        </w:tc>
        <w:tc>
          <w:tcPr>
            <w:tcW w:w="640" w:type="dxa"/>
            <w:vAlign w:val="bottom"/>
            <w:vMerge w:val="restart"/>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7"/>
              </w:rPr>
              <w:t>2.93</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114,58</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200" w:type="dxa"/>
            <w:vAlign w:val="bottom"/>
            <w:vMerge w:val="restart"/>
            <w:shd w:val="clear" w:color="auto" w:fill="CFF0FC"/>
          </w:tcPr>
          <w:p>
            <w:pPr>
              <w:spacing w:after="0"/>
              <w:rPr>
                <w:sz w:val="11"/>
                <w:szCs w:val="11"/>
                <w:color w:val="auto"/>
              </w:rPr>
            </w:pPr>
          </w:p>
        </w:tc>
        <w:tc>
          <w:tcPr>
            <w:tcW w:w="62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97"/>
              </w:rPr>
              <w:t>2.90</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108,80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220" w:type="dxa"/>
            <w:vAlign w:val="bottom"/>
            <w:vMerge w:val="restart"/>
            <w:shd w:val="clear" w:color="auto" w:fill="CFF0FC"/>
          </w:tcPr>
          <w:p>
            <w:pPr>
              <w:spacing w:after="0"/>
              <w:rPr>
                <w:sz w:val="11"/>
                <w:szCs w:val="11"/>
                <w:color w:val="auto"/>
              </w:rPr>
            </w:pPr>
          </w:p>
        </w:tc>
        <w:tc>
          <w:tcPr>
            <w:tcW w:w="62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97"/>
              </w:rPr>
              <w:t>2.54</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00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vMerge w:val="continue"/>
            <w:shd w:val="clear" w:color="auto" w:fill="CFF0FC"/>
          </w:tcPr>
          <w:p>
            <w:pPr>
              <w:spacing w:after="0"/>
              <w:rPr>
                <w:sz w:val="16"/>
                <w:szCs w:val="16"/>
                <w:color w:val="auto"/>
              </w:rPr>
            </w:pPr>
          </w:p>
        </w:tc>
        <w:tc>
          <w:tcPr>
            <w:tcW w:w="640" w:type="dxa"/>
            <w:vAlign w:val="bottom"/>
            <w:tcBorders>
              <w:bottom w:val="single" w:sz="8" w:color="auto"/>
            </w:tcBorders>
            <w:vMerge w:val="continue"/>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vMerge w:val="continue"/>
            <w:shd w:val="clear" w:color="auto" w:fill="CFF0FC"/>
          </w:tcPr>
          <w:p>
            <w:pPr>
              <w:spacing w:after="0"/>
              <w:rPr>
                <w:sz w:val="16"/>
                <w:szCs w:val="16"/>
                <w:color w:val="auto"/>
              </w:rPr>
            </w:pPr>
          </w:p>
        </w:tc>
        <w:tc>
          <w:tcPr>
            <w:tcW w:w="200" w:type="dxa"/>
            <w:vAlign w:val="bottom"/>
            <w:tcBorders>
              <w:bottom w:val="single" w:sz="8" w:color="CFF0FC"/>
            </w:tcBorders>
            <w:vMerge w:val="continue"/>
            <w:shd w:val="clear" w:color="auto" w:fill="CFF0FC"/>
          </w:tcPr>
          <w:p>
            <w:pPr>
              <w:spacing w:after="0"/>
              <w:rPr>
                <w:sz w:val="16"/>
                <w:szCs w:val="16"/>
                <w:color w:val="auto"/>
              </w:rPr>
            </w:pPr>
          </w:p>
        </w:tc>
        <w:tc>
          <w:tcPr>
            <w:tcW w:w="62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vMerge w:val="continue"/>
            <w:shd w:val="clear" w:color="auto" w:fill="CFF0FC"/>
          </w:tcPr>
          <w:p>
            <w:pPr>
              <w:spacing w:after="0"/>
              <w:rPr>
                <w:sz w:val="16"/>
                <w:szCs w:val="16"/>
                <w:color w:val="auto"/>
              </w:rPr>
            </w:pPr>
          </w:p>
        </w:tc>
        <w:tc>
          <w:tcPr>
            <w:tcW w:w="62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w w:val="97"/>
              </w:rPr>
              <w:t>5.42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w w:val="97"/>
              </w:rPr>
              <w:t>5.27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w w:val="97"/>
              </w:rPr>
              <w:t>5.16</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Long-term borrowings</w:t>
            </w:r>
          </w:p>
        </w:tc>
        <w:tc>
          <w:tcPr>
            <w:tcW w:w="14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9,773</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7"/>
              </w:rPr>
              <w:t>5.81</w:t>
            </w:r>
          </w:p>
        </w:tc>
        <w:tc>
          <w:tcPr>
            <w:tcW w:w="2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7,901</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0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97"/>
              </w:rPr>
              <w:t>5.70</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7,240</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97"/>
              </w:rPr>
              <w:t>5.52</w:t>
            </w:r>
          </w:p>
        </w:tc>
        <w:tc>
          <w:tcPr>
            <w:tcW w:w="2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160" w:type="dxa"/>
            <w:vAlign w:val="bottom"/>
            <w:gridSpan w:val="2"/>
          </w:tcPr>
          <w:p>
            <w:pPr>
              <w:ind w:left="380"/>
              <w:spacing w:after="0" w:line="133" w:lineRule="exact"/>
              <w:rPr>
                <w:sz w:val="20"/>
                <w:szCs w:val="20"/>
                <w:color w:val="auto"/>
              </w:rPr>
            </w:pPr>
            <w:r>
              <w:rPr>
                <w:rFonts w:ascii="Times New Roman" w:cs="Times New Roman" w:eastAsia="Times New Roman" w:hAnsi="Times New Roman"/>
                <w:sz w:val="14"/>
                <w:szCs w:val="14"/>
                <w:color w:val="auto"/>
              </w:rPr>
              <w:t>Total interest-bearing liabilities</w:t>
            </w:r>
          </w:p>
        </w:tc>
        <w:tc>
          <w:tcPr>
            <w:tcW w:w="14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131,45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1,06</w:t>
            </w:r>
          </w:p>
        </w:tc>
        <w:tc>
          <w:tcPr>
            <w:tcW w:w="9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w w:val="97"/>
              </w:rPr>
              <w:t>3.26</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127,64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1,01</w:t>
            </w:r>
          </w:p>
        </w:tc>
        <w:tc>
          <w:tcPr>
            <w:tcW w:w="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w w:val="97"/>
              </w:rPr>
              <w:t>3.17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121,38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w w:val="97"/>
              </w:rPr>
              <w:t>2.83</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9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4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48,615</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50,124</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53,886</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160" w:type="dxa"/>
            <w:vAlign w:val="bottom"/>
            <w:gridSpan w:val="2"/>
            <w:shd w:val="clear" w:color="auto" w:fill="CFF0FC"/>
          </w:tcPr>
          <w:p>
            <w:pPr>
              <w:ind w:left="380"/>
              <w:spacing w:after="0" w:line="133" w:lineRule="exact"/>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184,45</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182,25</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179,77</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00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27,019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26,020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60" w:type="dxa"/>
            <w:vAlign w:val="bottom"/>
            <w:gridSpan w:val="2"/>
            <w:shd w:val="clear" w:color="auto" w:fill="CFF0FC"/>
          </w:tcPr>
          <w:p>
            <w:pPr>
              <w:ind w:left="380"/>
              <w:spacing w:after="0" w:line="133" w:lineRule="exact"/>
              <w:rPr>
                <w:sz w:val="20"/>
                <w:szCs w:val="20"/>
                <w:color w:val="auto"/>
              </w:rPr>
            </w:pPr>
            <w:r>
              <w:rPr>
                <w:rFonts w:ascii="Times New Roman" w:cs="Times New Roman" w:eastAsia="Times New Roman" w:hAnsi="Times New Roman"/>
                <w:sz w:val="14"/>
                <w:szCs w:val="14"/>
                <w:color w:val="auto"/>
              </w:rPr>
              <w:t>Total liabilities and shareholders’ equity</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211,47</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208,75</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205,79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30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1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interest spread</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tcPr>
          <w:p>
            <w:pPr>
              <w:ind w:left="640"/>
              <w:spacing w:after="0" w:line="156" w:lineRule="exact"/>
              <w:rPr>
                <w:sz w:val="20"/>
                <w:szCs w:val="20"/>
                <w:color w:val="auto"/>
              </w:rPr>
            </w:pPr>
            <w:r>
              <w:rPr>
                <w:rFonts w:ascii="Times New Roman" w:cs="Times New Roman" w:eastAsia="Times New Roman" w:hAnsi="Times New Roman"/>
                <w:sz w:val="14"/>
                <w:szCs w:val="14"/>
                <w:color w:val="auto"/>
                <w:w w:val="97"/>
              </w:rPr>
              <w:t>2.48</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gridSpan w:val="2"/>
          </w:tcPr>
          <w:p>
            <w:pPr>
              <w:ind w:left="560"/>
              <w:spacing w:after="0" w:line="156" w:lineRule="exact"/>
              <w:rPr>
                <w:sz w:val="20"/>
                <w:szCs w:val="20"/>
                <w:color w:val="auto"/>
              </w:rPr>
            </w:pPr>
            <w:r>
              <w:rPr>
                <w:rFonts w:ascii="Times New Roman" w:cs="Times New Roman" w:eastAsia="Times New Roman" w:hAnsi="Times New Roman"/>
                <w:sz w:val="14"/>
                <w:szCs w:val="14"/>
                <w:color w:val="auto"/>
                <w:w w:val="97"/>
              </w:rPr>
              <w:t>2.56</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2"/>
          </w:tcPr>
          <w:p>
            <w:pPr>
              <w:ind w:left="580"/>
              <w:spacing w:after="0" w:line="156" w:lineRule="exact"/>
              <w:rPr>
                <w:sz w:val="20"/>
                <w:szCs w:val="20"/>
                <w:color w:val="auto"/>
              </w:rPr>
            </w:pPr>
            <w:r>
              <w:rPr>
                <w:rFonts w:ascii="Times New Roman" w:cs="Times New Roman" w:eastAsia="Times New Roman" w:hAnsi="Times New Roman"/>
                <w:sz w:val="14"/>
                <w:szCs w:val="14"/>
                <w:color w:val="auto"/>
                <w:w w:val="97"/>
              </w:rPr>
              <w:t>2.79</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1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Contribution of interest-free funds</w:t>
            </w:r>
          </w:p>
        </w:tc>
        <w:tc>
          <w:tcPr>
            <w:tcW w:w="14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7"/>
              </w:rPr>
              <w:t>1.04</w:t>
            </w:r>
          </w:p>
        </w:tc>
        <w:tc>
          <w:tcPr>
            <w:tcW w:w="2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97"/>
              </w:rPr>
              <w:t>1.05</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97"/>
              </w:rPr>
              <w:t>1.00</w:t>
            </w:r>
          </w:p>
        </w:tc>
        <w:tc>
          <w:tcPr>
            <w:tcW w:w="2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Net interest income/margin on earning assets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1,69</w:t>
            </w:r>
          </w:p>
        </w:tc>
        <w:tc>
          <w:tcPr>
            <w:tcW w:w="118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color w:val="auto"/>
              </w:rPr>
              <w:t>3.52 %</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1,73</w:t>
            </w:r>
          </w:p>
        </w:tc>
        <w:tc>
          <w:tcPr>
            <w:tcW w:w="10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color w:val="auto"/>
              </w:rPr>
              <w:t>3.61 %</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1,79</w:t>
            </w:r>
          </w:p>
        </w:tc>
        <w:tc>
          <w:tcPr>
            <w:tcW w:w="11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3.79 %</w:t>
            </w: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1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1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3000" w:type="dxa"/>
            <w:vAlign w:val="bottom"/>
            <w:tcBorders>
              <w:bottom w:val="single" w:sz="8" w:color="auto"/>
            </w:tcBorders>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-4122420</wp:posOffset>
            </wp:positionV>
            <wp:extent cx="7683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-4122420</wp:posOffset>
            </wp:positionV>
            <wp:extent cx="7747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-4122420</wp:posOffset>
            </wp:positionV>
            <wp:extent cx="7683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-4122420</wp:posOffset>
            </wp:positionV>
            <wp:extent cx="6858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-4122420</wp:posOffset>
            </wp:positionV>
            <wp:extent cx="6858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-4122420</wp:posOffset>
            </wp:positionV>
            <wp:extent cx="6858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-4122420</wp:posOffset>
            </wp:positionV>
            <wp:extent cx="6858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-4122420</wp:posOffset>
            </wp:positionV>
            <wp:extent cx="6858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-4122420</wp:posOffset>
            </wp:positionV>
            <wp:extent cx="6858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-3445510</wp:posOffset>
            </wp:positionV>
            <wp:extent cx="7683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-3445510</wp:posOffset>
            </wp:positionV>
            <wp:extent cx="7747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-3445510</wp:posOffset>
            </wp:positionV>
            <wp:extent cx="7683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-3445510</wp:posOffset>
            </wp:positionV>
            <wp:extent cx="6858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-3445510</wp:posOffset>
            </wp:positionV>
            <wp:extent cx="6858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-3445510</wp:posOffset>
            </wp:positionV>
            <wp:extent cx="6858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-3445510</wp:posOffset>
            </wp:positionV>
            <wp:extent cx="6858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-3445510</wp:posOffset>
            </wp:positionV>
            <wp:extent cx="6858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-3445510</wp:posOffset>
            </wp:positionV>
            <wp:extent cx="6858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-3110865</wp:posOffset>
            </wp:positionV>
            <wp:extent cx="7683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-3110865</wp:posOffset>
            </wp:positionV>
            <wp:extent cx="7747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-3110865</wp:posOffset>
            </wp:positionV>
            <wp:extent cx="7683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-3110865</wp:posOffset>
            </wp:positionV>
            <wp:extent cx="6858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-3110865</wp:posOffset>
            </wp:positionV>
            <wp:extent cx="6858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-3110865</wp:posOffset>
            </wp:positionV>
            <wp:extent cx="6858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-3110865</wp:posOffset>
            </wp:positionV>
            <wp:extent cx="6858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-3110865</wp:posOffset>
            </wp:positionV>
            <wp:extent cx="6858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-3110865</wp:posOffset>
            </wp:positionV>
            <wp:extent cx="6858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-2553970</wp:posOffset>
            </wp:positionV>
            <wp:extent cx="7683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-2536825</wp:posOffset>
            </wp:positionV>
            <wp:extent cx="7683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-2553970</wp:posOffset>
            </wp:positionV>
            <wp:extent cx="6858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-2536825</wp:posOffset>
            </wp:positionV>
            <wp:extent cx="6858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-2553970</wp:posOffset>
            </wp:positionV>
            <wp:extent cx="6858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-2536825</wp:posOffset>
            </wp:positionV>
            <wp:extent cx="6858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-1756410</wp:posOffset>
            </wp:positionV>
            <wp:extent cx="7683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-1756410</wp:posOffset>
            </wp:positionV>
            <wp:extent cx="7747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-1756410</wp:posOffset>
            </wp:positionV>
            <wp:extent cx="7683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-1756410</wp:posOffset>
            </wp:positionV>
            <wp:extent cx="6858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-1756410</wp:posOffset>
            </wp:positionV>
            <wp:extent cx="6858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-1756410</wp:posOffset>
            </wp:positionV>
            <wp:extent cx="6858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-1756410</wp:posOffset>
            </wp:positionV>
            <wp:extent cx="6858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-1756410</wp:posOffset>
            </wp:positionV>
            <wp:extent cx="6858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-1756410</wp:posOffset>
            </wp:positionV>
            <wp:extent cx="6858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-1525270</wp:posOffset>
            </wp:positionV>
            <wp:extent cx="7683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-1525270</wp:posOffset>
            </wp:positionV>
            <wp:extent cx="7747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-1525270</wp:posOffset>
            </wp:positionV>
            <wp:extent cx="7683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-1525270</wp:posOffset>
            </wp:positionV>
            <wp:extent cx="6858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-1525270</wp:posOffset>
            </wp:positionV>
            <wp:extent cx="6858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-1525270</wp:posOffset>
            </wp:positionV>
            <wp:extent cx="6858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-1525270</wp:posOffset>
            </wp:positionV>
            <wp:extent cx="6858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-1525270</wp:posOffset>
            </wp:positionV>
            <wp:extent cx="6858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-1525270</wp:posOffset>
            </wp:positionV>
            <wp:extent cx="6858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-864870</wp:posOffset>
            </wp:positionV>
            <wp:extent cx="76835"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-864870</wp:posOffset>
            </wp:positionV>
            <wp:extent cx="6858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-864870</wp:posOffset>
            </wp:positionV>
            <wp:extent cx="6858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-530860</wp:posOffset>
            </wp:positionV>
            <wp:extent cx="7683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-513715</wp:posOffset>
            </wp:positionV>
            <wp:extent cx="7683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-530860</wp:posOffset>
            </wp:positionV>
            <wp:extent cx="6858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-513715</wp:posOffset>
            </wp:positionV>
            <wp:extent cx="6858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-530860</wp:posOffset>
            </wp:positionV>
            <wp:extent cx="6858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-513715</wp:posOffset>
            </wp:positionV>
            <wp:extent cx="6858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-281940</wp:posOffset>
            </wp:positionV>
            <wp:extent cx="7747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-281940</wp:posOffset>
            </wp:positionV>
            <wp:extent cx="76835"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-281940</wp:posOffset>
            </wp:positionV>
            <wp:extent cx="6858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-281940</wp:posOffset>
            </wp:positionV>
            <wp:extent cx="6858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-281940</wp:posOffset>
            </wp:positionV>
            <wp:extent cx="6858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-281940</wp:posOffset>
            </wp:positionV>
            <wp:extent cx="6858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20" w:hanging="512"/>
        <w:spacing w:after="0"/>
        <w:tabs>
          <w:tab w:leader="none" w:pos="52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nonaccrual loans.</w:t>
      </w:r>
    </w:p>
    <w:p>
      <w:pPr>
        <w:spacing w:after="0" w:line="5" w:lineRule="exact"/>
        <w:rPr>
          <w:rFonts w:ascii="Times New Roman" w:cs="Times New Roman" w:eastAsia="Times New Roman" w:hAnsi="Times New Roman"/>
          <w:sz w:val="14"/>
          <w:szCs w:val="14"/>
          <w:i w:val="1"/>
          <w:iCs w:val="1"/>
          <w:color w:val="auto"/>
        </w:rPr>
      </w:pPr>
    </w:p>
    <w:p>
      <w:pPr>
        <w:ind w:left="520" w:hanging="512"/>
        <w:spacing w:after="0"/>
        <w:tabs>
          <w:tab w:leader="none" w:pos="52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available-for-sale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1"/>
          <w:szCs w:val="21"/>
          <w:color w:val="auto"/>
        </w:rPr>
        <w:t>AVERAGE BALANCE SHEETS AND ANNUALIZED TAXABLE-EQUIVALENT RATES (continued)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2023 Second Quarter</w:t>
            </w:r>
          </w:p>
        </w:tc>
        <w:tc>
          <w:tcPr>
            <w:tcW w:w="8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2023 First Quarter</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1"/>
        </w:trPr>
        <w:tc>
          <w:tcPr>
            <w:tcW w:w="30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gridSpan w:val="2"/>
          </w:tcPr>
          <w:p>
            <w:pPr>
              <w:spacing w:after="0"/>
              <w:rPr>
                <w:sz w:val="11"/>
                <w:szCs w:val="11"/>
                <w:color w:val="auto"/>
              </w:rPr>
            </w:pPr>
          </w:p>
        </w:tc>
      </w:tr>
      <w:tr>
        <w:trPr>
          <w:trHeight w:val="187"/>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160"/>
        </w:trPr>
        <w:tc>
          <w:tcPr>
            <w:tcW w:w="47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Earning assets:</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Loans and leases, net of unearned discount (a):</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5"/>
        </w:trPr>
        <w:tc>
          <w:tcPr>
            <w:tcW w:w="4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54,572</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6.63 %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52,510</w:t>
            </w:r>
          </w:p>
        </w:tc>
        <w:tc>
          <w:tcPr>
            <w:tcW w:w="6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6.30 %</w:t>
            </w:r>
          </w:p>
        </w:tc>
        <w:tc>
          <w:tcPr>
            <w:tcW w:w="20" w:type="dxa"/>
            <w:vAlign w:val="bottom"/>
          </w:tcPr>
          <w:p>
            <w:pPr>
              <w:spacing w:after="0"/>
              <w:rPr>
                <w:sz w:val="15"/>
                <w:szCs w:val="15"/>
                <w:color w:val="auto"/>
              </w:rPr>
            </w:pPr>
          </w:p>
        </w:tc>
      </w:tr>
      <w:tr>
        <w:trPr>
          <w:trHeight w:val="176"/>
        </w:trPr>
        <w:tc>
          <w:tcPr>
            <w:tcW w:w="47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34,903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35,245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Residential real estate</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23,781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23,770</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7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Consumer</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20,289</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78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loans and leases, net</w:t>
            </w: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133,545</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3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132,012</w:t>
            </w: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2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Interest-bearing deposits at banks</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24,312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4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Trading account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 securities (b):</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U.S. Treasury and federal agencies</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24,630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23,795</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7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7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3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7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28,623</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27,622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78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earning assets</w:t>
            </w: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185,936</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3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184,069</w:t>
            </w: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2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Pr>
          <w:p>
            <w:pPr>
              <w:spacing w:after="0"/>
              <w:rPr>
                <w:sz w:val="14"/>
                <w:szCs w:val="14"/>
                <w:color w:val="auto"/>
              </w:rPr>
            </w:pP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(1,985 )</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(1,938 )</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4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1,747</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18,678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18,516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478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204,376</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202,599</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47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6"/>
        </w:trPr>
        <w:tc>
          <w:tcPr>
            <w:tcW w:w="4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Savings and interest-checking deposits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87,210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1.69 %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88,053</w:t>
            </w:r>
          </w:p>
        </w:tc>
        <w:tc>
          <w:tcPr>
            <w:tcW w:w="6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1.28 %</w:t>
            </w:r>
          </w:p>
        </w:tc>
        <w:tc>
          <w:tcPr>
            <w:tcW w:w="20" w:type="dxa"/>
            <w:vAlign w:val="bottom"/>
          </w:tcPr>
          <w:p>
            <w:pPr>
              <w:spacing w:after="0"/>
              <w:rPr>
                <w:sz w:val="15"/>
                <w:szCs w:val="15"/>
                <w:color w:val="auto"/>
              </w:rPr>
            </w:pPr>
          </w:p>
        </w:tc>
      </w:tr>
      <w:tr>
        <w:trPr>
          <w:trHeight w:val="175"/>
        </w:trPr>
        <w:tc>
          <w:tcPr>
            <w:tcW w:w="47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Time deposits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16,009</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78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103,219</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3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99,683</w:t>
            </w: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2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47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Long-term borrowings</w:t>
            </w:r>
          </w:p>
        </w:tc>
        <w:tc>
          <w:tcPr>
            <w:tcW w:w="1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7,516</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3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6,511</w:t>
            </w: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7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118,274</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111,188</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56,180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61,854</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4,237</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78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178,691</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177,222</w:t>
            </w: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25,685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25,377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478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204,376</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202,599</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47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interest spread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3.03</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6"/>
        </w:trPr>
        <w:tc>
          <w:tcPr>
            <w:tcW w:w="47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Contribution of interest-free funds</w:t>
            </w: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3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interest income/margin on earning assets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3.91 %</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2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4.04 %</w:t>
            </w:r>
          </w:p>
        </w:tc>
        <w:tc>
          <w:tcPr>
            <w:tcW w:w="20" w:type="dxa"/>
            <w:vAlign w:val="bottom"/>
          </w:tcPr>
          <w:p>
            <w:pPr>
              <w:spacing w:after="0"/>
              <w:rPr>
                <w:sz w:val="14"/>
                <w:szCs w:val="14"/>
                <w:color w:val="auto"/>
              </w:rPr>
            </w:pPr>
          </w:p>
        </w:tc>
      </w:tr>
      <w:tr>
        <w:trPr>
          <w:trHeight w:val="20"/>
        </w:trPr>
        <w:tc>
          <w:tcPr>
            <w:tcW w:w="3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
        </w:trPr>
        <w:tc>
          <w:tcPr>
            <w:tcW w:w="3000" w:type="dxa"/>
            <w:vAlign w:val="bottom"/>
            <w:tcBorders>
              <w:bottom w:val="single" w:sz="8" w:color="auto"/>
            </w:tcBorders>
          </w:tcPr>
          <w:p>
            <w:pPr>
              <w:spacing w:after="0"/>
              <w:rPr>
                <w:sz w:val="3"/>
                <w:szCs w:val="3"/>
                <w:color w:val="auto"/>
              </w:rPr>
            </w:pPr>
          </w:p>
        </w:tc>
        <w:tc>
          <w:tcPr>
            <w:tcW w:w="1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-3462655</wp:posOffset>
            </wp:positionV>
            <wp:extent cx="7683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-3462655</wp:posOffset>
            </wp:positionV>
            <wp:extent cx="7683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-3462655</wp:posOffset>
            </wp:positionV>
            <wp:extent cx="6858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-3462655</wp:posOffset>
            </wp:positionV>
            <wp:extent cx="6858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-3462655</wp:posOffset>
            </wp:positionV>
            <wp:extent cx="6858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-2785110</wp:posOffset>
            </wp:positionV>
            <wp:extent cx="7683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-2785110</wp:posOffset>
            </wp:positionV>
            <wp:extent cx="7683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-2785110</wp:posOffset>
            </wp:positionV>
            <wp:extent cx="6858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-2785110</wp:posOffset>
            </wp:positionV>
            <wp:extent cx="6858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-2785110</wp:posOffset>
            </wp:positionV>
            <wp:extent cx="6858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-2545080</wp:posOffset>
            </wp:positionV>
            <wp:extent cx="7683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-2545080</wp:posOffset>
            </wp:positionV>
            <wp:extent cx="7683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-2545080</wp:posOffset>
            </wp:positionV>
            <wp:extent cx="6858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-2545080</wp:posOffset>
            </wp:positionV>
            <wp:extent cx="6858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-2545080</wp:posOffset>
            </wp:positionV>
            <wp:extent cx="6858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-2082165</wp:posOffset>
            </wp:positionV>
            <wp:extent cx="7683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-2065020</wp:posOffset>
            </wp:positionV>
            <wp:extent cx="76835"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-2082165</wp:posOffset>
            </wp:positionV>
            <wp:extent cx="6858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-2065020</wp:posOffset>
            </wp:positionV>
            <wp:extent cx="6858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-1379220</wp:posOffset>
            </wp:positionV>
            <wp:extent cx="7683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-1379220</wp:posOffset>
            </wp:positionV>
            <wp:extent cx="7683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-1379220</wp:posOffset>
            </wp:positionV>
            <wp:extent cx="6858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-1379220</wp:posOffset>
            </wp:positionV>
            <wp:extent cx="6858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-1379220</wp:posOffset>
            </wp:positionV>
            <wp:extent cx="6858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-1148080</wp:posOffset>
            </wp:positionV>
            <wp:extent cx="76835"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-1148080</wp:posOffset>
            </wp:positionV>
            <wp:extent cx="76835"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-1148080</wp:posOffset>
            </wp:positionV>
            <wp:extent cx="6858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-1148080</wp:posOffset>
            </wp:positionV>
            <wp:extent cx="6858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-1148080</wp:posOffset>
            </wp:positionV>
            <wp:extent cx="6858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-676275</wp:posOffset>
            </wp:positionV>
            <wp:extent cx="7683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-676275</wp:posOffset>
            </wp:positionV>
            <wp:extent cx="6858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-436245</wp:posOffset>
            </wp:positionV>
            <wp:extent cx="76835"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-419100</wp:posOffset>
            </wp:positionV>
            <wp:extent cx="7683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-436245</wp:posOffset>
            </wp:positionV>
            <wp:extent cx="6858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-419100</wp:posOffset>
            </wp:positionV>
            <wp:extent cx="6858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-187960</wp:posOffset>
            </wp:positionV>
            <wp:extent cx="7683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-187960</wp:posOffset>
            </wp:positionV>
            <wp:extent cx="6858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6858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hanging="512"/>
        <w:spacing w:after="0"/>
        <w:tabs>
          <w:tab w:leader="none" w:pos="52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nonaccrual loans.</w:t>
      </w:r>
    </w:p>
    <w:p>
      <w:pPr>
        <w:spacing w:after="0" w:line="5" w:lineRule="exact"/>
        <w:rPr>
          <w:rFonts w:ascii="Times New Roman" w:cs="Times New Roman" w:eastAsia="Times New Roman" w:hAnsi="Times New Roman"/>
          <w:sz w:val="14"/>
          <w:szCs w:val="14"/>
          <w:i w:val="1"/>
          <w:iCs w:val="1"/>
          <w:color w:val="auto"/>
        </w:rPr>
      </w:pPr>
    </w:p>
    <w:p>
      <w:pPr>
        <w:ind w:left="520" w:hanging="512"/>
        <w:spacing w:after="0"/>
        <w:tabs>
          <w:tab w:leader="none" w:pos="52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available-for-sale securities at amortized cost.</w:t>
      </w:r>
    </w:p>
    <w:p>
      <w:pPr>
        <w:spacing w:after="0" w:line="83"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1"/>
          <w:szCs w:val="21"/>
          <w:color w:val="auto"/>
        </w:rPr>
        <w:t>Expressed on a taxable-equivalent basis net interest income was $1.69 billion in the first quarter of 2024, compared with $1.74 billion and $1.83 billion, respectively, in the fourth and first quarters of 2023. The decrease in net interest income in the recent quarter reflects a 9 basis point reduction from the fourth quarter of 2023 and a 52 basis point reduction from the year-earlier quarter of the net interest margin, or taxable-equivalent net interest income expressed as an annualized percentage of average earning assets, to 3.52% in the recent quarter. The lower net interest margin in the first quarter of 2024 compared with the fourth and first quarters of 2023 predominantly reflects a comparatively higher interest rate environment, which has resulted in increases in rates paid on interest-bearing deposit products and borrowings outpacing increases in yields on the Company's interest-earning assets. Although the FOMC has not raised its federal funds target rate since July 2023, interest rates have remained elevated and the Company has experienced increased competition for customer deposits in the marketplace and a mix shift in those deposits toward higher cost interest-bearing products, including time deposits. The Company has also altered its use of other funding sources including borrowings and placement of brokered deposits. Average short-term and long-term borrowings in the recent quarter collectively rose by $2.9 billion, or 23%, while average brokered deposits decreased $736 million, or 5%, from the fourth quarter of 2023. As compared with the first quarter of 2023, average short-term and long-term borrowings collectively rose by $4.5 billion, or 39%, and average brokered deposits increased $5.2 billion, or 64% in the recent quarter.</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92"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1"/>
          <w:szCs w:val="21"/>
          <w:b w:val="1"/>
          <w:bCs w:val="1"/>
          <w:i w:val="1"/>
          <w:iCs w:val="1"/>
          <w:color w:val="auto"/>
        </w:rPr>
        <w:t>Lending Activities</w:t>
      </w:r>
    </w:p>
    <w:p>
      <w:pPr>
        <w:spacing w:after="0" w:line="11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21"/>
          <w:szCs w:val="21"/>
          <w:color w:val="auto"/>
        </w:rPr>
        <w:t>The following table summarizes average loans and leases outstanding in the first quarter of 2024 and percentage changes in the major components of the portfolio over comparable periods.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LOANS AND LEASES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Percent Change from</w:t>
            </w:r>
          </w:p>
        </w:tc>
      </w:tr>
      <w:tr>
        <w:trPr>
          <w:trHeight w:val="200"/>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162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Fourth Quarter</w:t>
            </w:r>
          </w:p>
        </w:tc>
        <w:tc>
          <w:tcPr>
            <w:tcW w:w="1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140" w:type="dxa"/>
            <w:vAlign w:val="bottom"/>
            <w:gridSpan w:val="2"/>
          </w:tcPr>
          <w:p>
            <w:pPr>
              <w:spacing w:after="0"/>
              <w:rPr>
                <w:sz w:val="17"/>
                <w:szCs w:val="17"/>
                <w:color w:val="auto"/>
              </w:rPr>
            </w:pPr>
          </w:p>
        </w:tc>
      </w:tr>
      <w:tr>
        <w:trPr>
          <w:trHeight w:val="226"/>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9"/>
                <w:szCs w:val="19"/>
                <w:color w:val="auto"/>
              </w:rPr>
            </w:pPr>
          </w:p>
        </w:tc>
        <w:tc>
          <w:tcPr>
            <w:tcW w:w="13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9"/>
                <w:szCs w:val="19"/>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56,821</w:t>
            </w:r>
          </w:p>
        </w:tc>
        <w:tc>
          <w:tcPr>
            <w:tcW w:w="3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32,696</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Residential real estate</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23,136</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Recreational finance</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10,306</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Automobile</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4,177</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Home equity lines and loans</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3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consumer</w:t>
            </w: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21,143</w:t>
            </w:r>
          </w:p>
        </w:tc>
        <w:tc>
          <w:tcPr>
            <w:tcW w:w="3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6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133,796</w:t>
            </w:r>
          </w:p>
        </w:tc>
        <w:tc>
          <w:tcPr>
            <w:tcW w:w="32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0"/>
        </w:trPr>
        <w:tc>
          <w:tcPr>
            <w:tcW w:w="6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-1499870</wp:posOffset>
            </wp:positionV>
            <wp:extent cx="7132320" cy="14605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-179070</wp:posOffset>
            </wp:positionV>
            <wp:extent cx="7683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-179070</wp:posOffset>
            </wp:positionV>
            <wp:extent cx="6858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loans and leases totaled $133.8 billion in the first quarter of 2024, up $1.0 billion or 1% from the fourth quarter of 2023.</w:t>
      </w:r>
    </w:p>
    <w:p>
      <w:pPr>
        <w:spacing w:after="0" w:line="110" w:lineRule="exact"/>
        <w:rPr>
          <w:sz w:val="20"/>
          <w:szCs w:val="20"/>
          <w:color w:val="auto"/>
        </w:rPr>
      </w:pPr>
    </w:p>
    <w:p>
      <w:pPr>
        <w:ind w:left="1020" w:right="40" w:hanging="503"/>
        <w:spacing w:after="0" w:line="270" w:lineRule="auto"/>
        <w:tabs>
          <w:tab w:leader="none" w:pos="102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Commercial and industrial loans and leases averaged $56.8 billion in the recent quarter, up $1.4 billion from the fourth quarter of 2023 reflecting growth which spanned most industry types.</w:t>
      </w:r>
    </w:p>
    <w:p>
      <w:pPr>
        <w:spacing w:after="0" w:line="50" w:lineRule="exact"/>
        <w:rPr>
          <w:rFonts w:ascii="Times New Roman" w:cs="Times New Roman" w:eastAsia="Times New Roman" w:hAnsi="Times New Roman"/>
          <w:sz w:val="21"/>
          <w:szCs w:val="21"/>
          <w:color w:val="auto"/>
        </w:rPr>
      </w:pPr>
    </w:p>
    <w:p>
      <w:pPr>
        <w:jc w:val="both"/>
        <w:ind w:left="1020" w:right="40" w:hanging="503"/>
        <w:spacing w:after="0" w:line="255" w:lineRule="auto"/>
        <w:tabs>
          <w:tab w:leader="none" w:pos="102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commercial real estate loans were $32.7 billion in the first quarter of 2024, $759 million lower than the final quarter of 2023 reflecting declines of $296 million in average construction loans and $463 million in average permanent commercial real estate loans.</w:t>
      </w:r>
    </w:p>
    <w:p>
      <w:pPr>
        <w:spacing w:after="0" w:line="67" w:lineRule="exact"/>
        <w:rPr>
          <w:rFonts w:ascii="Times New Roman" w:cs="Times New Roman" w:eastAsia="Times New Roman" w:hAnsi="Times New Roman"/>
          <w:sz w:val="21"/>
          <w:szCs w:val="21"/>
          <w:color w:val="auto"/>
        </w:rPr>
      </w:pPr>
    </w:p>
    <w:p>
      <w:pPr>
        <w:ind w:left="1020" w:right="40" w:hanging="503"/>
        <w:spacing w:after="0" w:line="270" w:lineRule="auto"/>
        <w:tabs>
          <w:tab w:leader="none" w:pos="102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residential real estate loans decreased $203 million to $23.1 billion in the first quarter of 2024 as compared with the fourth quarter of 2023, largely attributable to customer payments on loans held for investment.</w:t>
      </w:r>
    </w:p>
    <w:p>
      <w:pPr>
        <w:spacing w:after="0" w:line="50" w:lineRule="exact"/>
        <w:rPr>
          <w:rFonts w:ascii="Times New Roman" w:cs="Times New Roman" w:eastAsia="Times New Roman" w:hAnsi="Times New Roman"/>
          <w:sz w:val="21"/>
          <w:szCs w:val="21"/>
          <w:color w:val="auto"/>
        </w:rPr>
      </w:pPr>
    </w:p>
    <w:p>
      <w:pPr>
        <w:jc w:val="both"/>
        <w:ind w:left="1020" w:right="40" w:hanging="503"/>
        <w:spacing w:after="0" w:line="255" w:lineRule="auto"/>
        <w:tabs>
          <w:tab w:leader="none" w:pos="102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Consumer loans averaged $21.1 billion in the first quarter of 2024 or $587 million higher than the fourth quarter of 2023. That growth reflected an increase in average balances of $452 million and $247 million in M&amp;T's portfolio of recreational finance loans and automobile loans,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loans and leases increased $1.8 billion or 1% from $132.0 billion in the similar quarter of 2023.</w:t>
      </w:r>
    </w:p>
    <w:p>
      <w:pPr>
        <w:spacing w:after="0" w:line="110" w:lineRule="exact"/>
        <w:rPr>
          <w:sz w:val="20"/>
          <w:szCs w:val="20"/>
          <w:color w:val="auto"/>
        </w:rPr>
      </w:pPr>
    </w:p>
    <w:p>
      <w:pPr>
        <w:jc w:val="both"/>
        <w:ind w:left="1020" w:right="40" w:hanging="503"/>
        <w:spacing w:after="0" w:line="255" w:lineRule="auto"/>
        <w:tabs>
          <w:tab w:leader="none" w:pos="10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commercial and industrial loans and leases increased $4.3 billion from the year-earlier quarter predominantly reflecting growth in loans to financial and insurance industry customers and to motor vehicle and recreational finance dealers.</w:t>
      </w:r>
    </w:p>
    <w:p>
      <w:pPr>
        <w:spacing w:after="0" w:line="67" w:lineRule="exact"/>
        <w:rPr>
          <w:rFonts w:ascii="Times New Roman" w:cs="Times New Roman" w:eastAsia="Times New Roman" w:hAnsi="Times New Roman"/>
          <w:sz w:val="21"/>
          <w:szCs w:val="21"/>
          <w:color w:val="auto"/>
        </w:rPr>
      </w:pPr>
    </w:p>
    <w:p>
      <w:pPr>
        <w:jc w:val="both"/>
        <w:ind w:left="1020" w:right="40" w:hanging="503"/>
        <w:spacing w:after="0" w:line="255" w:lineRule="auto"/>
        <w:tabs>
          <w:tab w:leader="none" w:pos="10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commercial real estate loans decreased $2.5 billion in the recent quarter as compared with the first quarter of 2023 reflecting decreases of $1.0 billion in average construction loans and $1.5 billion in average permanent commercial real estate loans.</w:t>
      </w:r>
    </w:p>
    <w:p>
      <w:pPr>
        <w:spacing w:after="0" w:line="67" w:lineRule="exact"/>
        <w:rPr>
          <w:rFonts w:ascii="Times New Roman" w:cs="Times New Roman" w:eastAsia="Times New Roman" w:hAnsi="Times New Roman"/>
          <w:sz w:val="21"/>
          <w:szCs w:val="21"/>
          <w:color w:val="auto"/>
        </w:rPr>
      </w:pPr>
    </w:p>
    <w:p>
      <w:pPr>
        <w:jc w:val="both"/>
        <w:ind w:left="1020" w:right="40" w:hanging="503"/>
        <w:spacing w:after="0" w:line="255" w:lineRule="auto"/>
        <w:tabs>
          <w:tab w:leader="none" w:pos="10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residential real estate loans decreased $634 million in the first quarter of 2024 from the year-earlier quarter. That decrease was largely attributable to customer payments on loans held for investment. In the first quarter of 2023, the Company returned to originating for sale the majority of its newly originated residential mortgage loans.</w:t>
      </w:r>
    </w:p>
    <w:p>
      <w:pPr>
        <w:spacing w:after="0" w:line="67" w:lineRule="exact"/>
        <w:rPr>
          <w:rFonts w:ascii="Times New Roman" w:cs="Times New Roman" w:eastAsia="Times New Roman" w:hAnsi="Times New Roman"/>
          <w:sz w:val="21"/>
          <w:szCs w:val="21"/>
          <w:color w:val="auto"/>
        </w:rPr>
      </w:pPr>
    </w:p>
    <w:p>
      <w:pPr>
        <w:jc w:val="both"/>
        <w:ind w:left="1020" w:right="40" w:hanging="503"/>
        <w:spacing w:after="0" w:line="255" w:lineRule="auto"/>
        <w:tabs>
          <w:tab w:leader="none" w:pos="10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consumer loans in the first quarter of 2024 increased $656 million from the year-earlier quarter. That growth reflected higher average balances of $1.2 billion of recreational finance loans, partially offset by declines of $252 million and $332 million in average balances of automobile loans and home equity loans and lines of credit, respectively.</w:t>
      </w:r>
    </w:p>
    <w:p>
      <w:pPr>
        <w:spacing w:after="0" w:line="200" w:lineRule="exact"/>
        <w:rPr>
          <w:rFonts w:ascii="Times New Roman" w:cs="Times New Roman" w:eastAsia="Times New Roman" w:hAnsi="Times New Roman"/>
          <w:sz w:val="21"/>
          <w:szCs w:val="21"/>
          <w:color w:val="auto"/>
        </w:rPr>
      </w:pPr>
    </w:p>
    <w:p>
      <w:pPr>
        <w:spacing w:after="0" w:line="300"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88"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1"/>
          <w:szCs w:val="21"/>
          <w:b w:val="1"/>
          <w:bCs w:val="1"/>
          <w:i w:val="1"/>
          <w:iCs w:val="1"/>
          <w:color w:val="auto"/>
        </w:rPr>
        <w:t>Investing Activities</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investment securities portfolio averaged $28.6 billion in the first quarter of 2024, up $1.1 billion and $965 million from the fourth and first quarters of 2023, respectively. The higher average balance in the recent quarter when compared with the fourth quarter of 2023 and year-earlier quarter reflects the purchase of $4.1 billion of debt securities during the three-month period ended March 31, 2024. Those purchases were predominantly U.S. Treasury notes and fixed rate government issued or guaranteed mortgage-backed securities. There were no significant sales of investment securities during the three months ended March 31, 2024, December 31, 2023 and March 31, 2023. The Company routinely increases and decreases its holdings of capital stock of the FHLB of New York and the FRB of New York based on amounts of outstanding borrowings and available lines of credit with those entities.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investment securities portfolio is largely comprised of government issued or guaranteed residential mortgage-backed securities and shorter-term U.S. Treasury and federal agency notes, but also includes commercial mortgage-backed securities and municipal securities. When purchasing investment securities, the Company considers its liquidity position and its overall interest rate risk profile as well as the adequacy of expected returns relative to risks assumed, including prepayments. The Company may occasionally sell investment securities as a result of movements in interest rates and spreads, changes in liquidity needs, actual or anticipated prepayments, credit risk associated with a particular security, or as a result of restructuring its investment securities portfolio in connection with a business combination. The amounts of investment securities held by the Company are influenced by such factors as available yield in comparison with alternative investments, demand for loans, which generally yield more than investment securities, ongoing repayments, the levels of deposits, and management of liquidity and balance sheet size and resulting capital ratios.</w:t>
      </w:r>
    </w:p>
    <w:p>
      <w:pPr>
        <w:spacing w:after="0" w:line="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Company regularly reviews its debt investment securities for declines in value below amortized cost that might be indicative of credit-related losses. In light of such reviews, there were no credit-related losses on debt investment securities recognized in any of the three months ended March 31, 2024, December 31, 2023 and March 31, 2023. A further discussion of fair values of investment securities is included herein under the heading "Capital." Additional information about the investment securities portfolio is included in notes 3 and 12 of Notes to Financial Statements.</w:t>
      </w:r>
    </w:p>
    <w:p>
      <w:pPr>
        <w:spacing w:after="0" w:line="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Other earning assets include interest-bearing deposits at banks, trading account assets, federal funds sold and agreements to resell securities. Those other earning assets in the aggregate averaged $30.8 billion in the recently completed quarter, compared with $30.3 billion and $24.4 billion during the three months ended December 31, 2023 and March 31, 2023, respectively. Interest-bearing deposits at banks averaged $30.6 billion, $30.2 billion and $24.3 billion during the three months ended March 31, 2024, December 31, 2023 and March 31, 2023, respectively. The amounts of interest-bearing deposits at banks at those respective dates were predominantly comprised of deposits held at the FRB of New York. In general, the levels of those deposits often fluctuate due to changes in deposits of retail and commercial customers, trust-related deposits and additions to or maturities of investment securities or borrowings.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Funding Activities - Deposits</w:t>
      </w:r>
    </w:p>
    <w:p>
      <w:pPr>
        <w:spacing w:after="0" w:line="1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$147.4 billion, or 76% of average earning assets, for the quarter ended March 31, 2024, compared with $147.6 billion, or 77%, and $152.0 billion, or 83%, for the quarters ended December 31, 2023 and March 31, 2023, respectively. The lower level of core deposits in the two most recent quarters as compared with the first quarter of 2023 reflects a shift in the mix of funding sources, including from other deposit sources such as branch-related time deposits over $250,000 and brokered deposits. Brokered savings and interest-bearing transaction accounts and brokered time deposit accounts averaged $8.0 billion and $5.2 billion, respectively, in the recent quarter, compared with $6.7 billion and $7.3 billion, respectively, in the fourth quarter of 2023 and $3.4 billion and $4.6 billion, respectively, in the first quarter of 2023. Additional brokered deposits may be added in the future depending on market conditions, including demand by customers and other investors for those deposits, and the cost of funds available from alternative sources at that time. The following table provides an analysis of quarterly changes in the components of average deposits.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1"/>
          <w:szCs w:val="21"/>
          <w:color w:val="auto"/>
        </w:rPr>
        <w:t>AVERAGE DEPOSITS</w:t>
      </w:r>
    </w:p>
    <w:p>
      <w:pPr>
        <w:spacing w:after="0" w:line="29"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Percent Change from</w:t>
            </w:r>
          </w:p>
        </w:tc>
      </w:tr>
      <w:tr>
        <w:trPr>
          <w:trHeight w:val="227"/>
        </w:trPr>
        <w:tc>
          <w:tcPr>
            <w:tcW w:w="6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First Quarter 2024</w:t>
            </w:r>
          </w:p>
        </w:tc>
        <w:tc>
          <w:tcPr>
            <w:tcW w:w="24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Fourth Quarter 2023</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First Quarter 2023</w:t>
            </w:r>
          </w:p>
        </w:tc>
        <w:tc>
          <w:tcPr>
            <w:tcW w:w="140" w:type="dxa"/>
            <w:vAlign w:val="bottom"/>
            <w:gridSpan w:val="2"/>
          </w:tcPr>
          <w:p>
            <w:pPr>
              <w:spacing w:after="0"/>
              <w:rPr>
                <w:sz w:val="19"/>
                <w:szCs w:val="19"/>
                <w:color w:val="auto"/>
              </w:rPr>
            </w:pPr>
          </w:p>
        </w:tc>
      </w:tr>
      <w:tr>
        <w:trPr>
          <w:trHeight w:val="22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52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48,615</w:t>
            </w:r>
          </w:p>
        </w:tc>
        <w:tc>
          <w:tcPr>
            <w:tcW w:w="2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-3 %</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40" w:type="dxa"/>
            <w:vAlign w:val="bottom"/>
          </w:tcPr>
          <w:p>
            <w:pPr>
              <w:spacing w:after="0"/>
              <w:rPr>
                <w:sz w:val="19"/>
                <w:szCs w:val="19"/>
                <w:color w:val="auto"/>
              </w:rPr>
            </w:pPr>
          </w:p>
        </w:tc>
      </w:tr>
      <w:tr>
        <w:trPr>
          <w:trHeight w:val="220"/>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Savings and interest-checking deposits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86,837</w:t>
            </w:r>
          </w:p>
        </w:tc>
        <w:tc>
          <w:tcPr>
            <w:tcW w:w="24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6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deposits of $250,000 or less</w:t>
            </w:r>
          </w:p>
        </w:tc>
        <w:tc>
          <w:tcPr>
            <w:tcW w:w="5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11,985</w:t>
            </w:r>
          </w:p>
        </w:tc>
        <w:tc>
          <w:tcPr>
            <w:tcW w:w="24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Total core deposits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147,437</w:t>
            </w:r>
          </w:p>
        </w:tc>
        <w:tc>
          <w:tcPr>
            <w:tcW w:w="24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040" w:type="dxa"/>
            <w:vAlign w:val="bottom"/>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Time deposits greater than $250,000</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3,405</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6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Brokered deposits</w:t>
            </w:r>
          </w:p>
        </w:tc>
        <w:tc>
          <w:tcPr>
            <w:tcW w:w="5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13,223</w:t>
            </w:r>
          </w:p>
        </w:tc>
        <w:tc>
          <w:tcPr>
            <w:tcW w:w="24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Total deposits</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164,065</w:t>
            </w:r>
          </w:p>
        </w:tc>
        <w:tc>
          <w:tcPr>
            <w:tcW w:w="24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4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-779145</wp:posOffset>
            </wp:positionV>
            <wp:extent cx="7747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-779145</wp:posOffset>
            </wp:positionV>
            <wp:extent cx="6858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-779145</wp:posOffset>
            </wp:positionV>
            <wp:extent cx="6858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-179070</wp:posOffset>
            </wp:positionV>
            <wp:extent cx="7747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-179070</wp:posOffset>
            </wp:positionV>
            <wp:extent cx="6858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-179070</wp:posOffset>
            </wp:positionV>
            <wp:extent cx="6858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Deposits averaged $164.1 billion in the recent quarter, a $648 million decline from $164.7 billion in the fourth quarter of 2023.</w:t>
      </w:r>
    </w:p>
    <w:p>
      <w:pPr>
        <w:spacing w:after="0" w:line="110" w:lineRule="exact"/>
        <w:rPr>
          <w:sz w:val="20"/>
          <w:szCs w:val="20"/>
          <w:color w:val="auto"/>
        </w:rPr>
      </w:pPr>
    </w:p>
    <w:p>
      <w:pPr>
        <w:ind w:left="1020" w:right="20" w:hanging="503"/>
        <w:spacing w:after="0" w:line="270" w:lineRule="auto"/>
        <w:tabs>
          <w:tab w:leader="none" w:pos="10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core deposits decreased nominally from the fourth quarter of 2023 reflecting a stabilization of customer deposits in the higher rate environment.</w:t>
      </w:r>
    </w:p>
    <w:p>
      <w:pPr>
        <w:spacing w:after="0" w:line="50" w:lineRule="exact"/>
        <w:rPr>
          <w:rFonts w:ascii="Times New Roman" w:cs="Times New Roman" w:eastAsia="Times New Roman" w:hAnsi="Times New Roman"/>
          <w:sz w:val="21"/>
          <w:szCs w:val="21"/>
          <w:color w:val="auto"/>
        </w:rPr>
      </w:pPr>
    </w:p>
    <w:p>
      <w:pPr>
        <w:jc w:val="both"/>
        <w:ind w:left="1020" w:hanging="503"/>
        <w:spacing w:after="0" w:line="246" w:lineRule="auto"/>
        <w:tabs>
          <w:tab w:leader="none" w:pos="10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decrease in average brokered deposits in the recent quarter reflected a mix shift in the Company's wholesale funding strategies. Average brokered time deposits decreased $2.1 billion to $5.2 billion in the recent quarter from $7.3 billion in the fourth quarter of 2023 and the rates paid on those deposits averaged 5.01% and 4.97%, respectively. Average brokered savings and interest-bearing transaction accounts increased $1.3 billion to $8.0 billion in the recent quarter from $6.7 billion in the fourth quarter of 2023 and the rates paid on those deposits averaged 4.78% and 4.66%, respectively. The rate paid on total non-brokered interest-bearing deposits was 2.67% in the first quarter of 2024, compared with 2.62% in the fourth quarter of 2023.</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deposits increased $2.5 billion from $161.5 billion in the year-earlier quarter.</w:t>
      </w:r>
    </w:p>
    <w:p>
      <w:pPr>
        <w:spacing w:after="0" w:line="110" w:lineRule="exact"/>
        <w:rPr>
          <w:sz w:val="20"/>
          <w:szCs w:val="20"/>
          <w:color w:val="auto"/>
        </w:rPr>
      </w:pPr>
    </w:p>
    <w:p>
      <w:pPr>
        <w:jc w:val="both"/>
        <w:ind w:left="1020" w:hanging="503"/>
        <w:spacing w:after="0" w:line="255" w:lineRule="auto"/>
        <w:tabs>
          <w:tab w:leader="none" w:pos="10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decrease in average core deposits in the recent quarter as compared with the year-earlier quarter reflects the impact of an elevated interest rate environment that influenced customers to seek higher rate alternatives, including a shift from noninterest-bearing deposit accounts to commercial sweep products and time deposits over $250,000.</w:t>
      </w:r>
    </w:p>
    <w:p>
      <w:pPr>
        <w:spacing w:after="0" w:line="67" w:lineRule="exact"/>
        <w:rPr>
          <w:rFonts w:ascii="Times New Roman" w:cs="Times New Roman" w:eastAsia="Times New Roman" w:hAnsi="Times New Roman"/>
          <w:sz w:val="21"/>
          <w:szCs w:val="21"/>
          <w:color w:val="auto"/>
        </w:rPr>
      </w:pPr>
    </w:p>
    <w:p>
      <w:pPr>
        <w:jc w:val="both"/>
        <w:ind w:left="1020" w:hanging="503"/>
        <w:spacing w:after="0" w:line="247" w:lineRule="auto"/>
        <w:tabs>
          <w:tab w:leader="none" w:pos="10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increase in average brokered deposits in the recent quarter as compared with the first quarter of 2023 reflects the Company's liquidity management and funding strategies during a period of rising interest rates, partially offset by the maturity of some brokered time deposits in the recent quarter. The Company had brokered savings and interest-bearing transaction accounts and brokered time deposits that averaged $3.4 billion and $4.6 billion, respectively, in the year-earlier quarter and the rates paid on those deposits averaged 3.54% and 4.82%, respectively. The rate paid on total non-brokered interest-bearing deposits in the first quarter of 2023 was 1.24%.</w:t>
      </w:r>
    </w:p>
    <w:p>
      <w:pPr>
        <w:spacing w:after="0" w:line="183"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5" w:name="page46"/>
    <w:bookmarkEnd w:id="45"/>
    <w:p>
      <w:pPr>
        <w:spacing w:after="0" w:line="270" w:lineRule="auto"/>
        <w:rPr>
          <w:sz w:val="20"/>
          <w:szCs w:val="20"/>
          <w:color w:val="auto"/>
        </w:rPr>
      </w:pPr>
      <w:r>
        <w:rPr>
          <w:rFonts w:ascii="Times New Roman" w:cs="Times New Roman" w:eastAsia="Times New Roman" w:hAnsi="Times New Roman"/>
          <w:sz w:val="21"/>
          <w:szCs w:val="21"/>
          <w:color w:val="auto"/>
        </w:rPr>
        <w:t>The accompanying table summarizes the components of average total deposits by segment for the quarters ended March 31, 2024, December 31, 2023 and March 31, 2023.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DEPOSITS BY SEGMENT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Institutional</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Services and</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Wealth</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47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00" w:type="dxa"/>
            <w:vAlign w:val="bottom"/>
          </w:tcPr>
          <w:p>
            <w:pPr>
              <w:spacing w:after="0"/>
              <w:rPr>
                <w:sz w:val="19"/>
                <w:szCs w:val="19"/>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Bank</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Retail Bank</w:t>
            </w:r>
          </w:p>
        </w:tc>
        <w:tc>
          <w:tcPr>
            <w:tcW w:w="36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75"/>
        </w:trPr>
        <w:tc>
          <w:tcPr>
            <w:tcW w:w="47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25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4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13,459</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25,380</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9,081</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48,615</w:t>
            </w:r>
          </w:p>
        </w:tc>
        <w:tc>
          <w:tcPr>
            <w:tcW w:w="100" w:type="dxa"/>
            <w:vAlign w:val="bottom"/>
            <w:shd w:val="clear" w:color="auto" w:fill="CFF0FC"/>
          </w:tcPr>
          <w:p>
            <w:pPr>
              <w:spacing w:after="0"/>
              <w:rPr>
                <w:sz w:val="19"/>
                <w:szCs w:val="19"/>
                <w:color w:val="auto"/>
              </w:rPr>
            </w:pPr>
          </w:p>
        </w:tc>
      </w:tr>
      <w:tr>
        <w:trPr>
          <w:trHeight w:val="220"/>
        </w:trPr>
        <w:tc>
          <w:tcPr>
            <w:tcW w:w="47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Savings and interest-checking deposits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51,274</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94,867</w:t>
            </w:r>
          </w:p>
        </w:tc>
        <w:tc>
          <w:tcPr>
            <w:tcW w:w="100" w:type="dxa"/>
            <w:vAlign w:val="bottom"/>
          </w:tcPr>
          <w:p>
            <w:pPr>
              <w:spacing w:after="0"/>
              <w:rPr>
                <w:sz w:val="19"/>
                <w:szCs w:val="19"/>
                <w:color w:val="auto"/>
              </w:rPr>
            </w:pPr>
          </w:p>
        </w:tc>
      </w:tr>
      <w:tr>
        <w:trPr>
          <w:trHeight w:val="233"/>
        </w:trPr>
        <w:tc>
          <w:tcPr>
            <w:tcW w:w="476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3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14,995</w:t>
            </w:r>
          </w:p>
        </w:tc>
        <w:tc>
          <w:tcPr>
            <w:tcW w:w="3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5,198</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20,583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7"/>
        </w:trPr>
        <w:tc>
          <w:tcPr>
            <w:tcW w:w="47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43,533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91,649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16,249</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12,634</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164,065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20" w:type="dxa"/>
            <w:vAlign w:val="bottom"/>
            <w:shd w:val="clear" w:color="auto" w:fill="CFF0FC"/>
          </w:tcPr>
          <w:p>
            <w:pPr>
              <w:spacing w:after="0"/>
              <w:rPr>
                <w:sz w:val="18"/>
                <w:szCs w:val="18"/>
                <w:color w:val="auto"/>
              </w:rPr>
            </w:pPr>
          </w:p>
        </w:tc>
        <w:tc>
          <w:tcPr>
            <w:tcW w:w="2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47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Three Months Ended December 31, 2023</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25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4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14,527</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26,474</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8,477</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50,124</w:t>
            </w:r>
          </w:p>
        </w:tc>
        <w:tc>
          <w:tcPr>
            <w:tcW w:w="100" w:type="dxa"/>
            <w:vAlign w:val="bottom"/>
            <w:shd w:val="clear" w:color="auto" w:fill="CFF0FC"/>
          </w:tcPr>
          <w:p>
            <w:pPr>
              <w:spacing w:after="0"/>
              <w:rPr>
                <w:sz w:val="19"/>
                <w:szCs w:val="19"/>
                <w:color w:val="auto"/>
              </w:rPr>
            </w:pPr>
          </w:p>
        </w:tc>
      </w:tr>
      <w:tr>
        <w:trPr>
          <w:trHeight w:val="220"/>
        </w:trPr>
        <w:tc>
          <w:tcPr>
            <w:tcW w:w="47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Savings and interest-checking deposits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51,941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93,365</w:t>
            </w:r>
          </w:p>
        </w:tc>
        <w:tc>
          <w:tcPr>
            <w:tcW w:w="100" w:type="dxa"/>
            <w:vAlign w:val="bottom"/>
          </w:tcPr>
          <w:p>
            <w:pPr>
              <w:spacing w:after="0"/>
              <w:rPr>
                <w:sz w:val="19"/>
                <w:szCs w:val="19"/>
                <w:color w:val="auto"/>
              </w:rPr>
            </w:pPr>
          </w:p>
        </w:tc>
      </w:tr>
      <w:tr>
        <w:trPr>
          <w:trHeight w:val="233"/>
        </w:trPr>
        <w:tc>
          <w:tcPr>
            <w:tcW w:w="476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3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13,507</w:t>
            </w:r>
          </w:p>
        </w:tc>
        <w:tc>
          <w:tcPr>
            <w:tcW w:w="3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7,261</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7"/>
        </w:trPr>
        <w:tc>
          <w:tcPr>
            <w:tcW w:w="47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43,654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91,922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15,236</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13,901</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20" w:type="dxa"/>
            <w:vAlign w:val="bottom"/>
            <w:shd w:val="clear" w:color="auto" w:fill="CFF0FC"/>
          </w:tcPr>
          <w:p>
            <w:pPr>
              <w:spacing w:after="0"/>
              <w:rPr>
                <w:sz w:val="18"/>
                <w:szCs w:val="18"/>
                <w:color w:val="auto"/>
              </w:rPr>
            </w:pPr>
          </w:p>
        </w:tc>
        <w:tc>
          <w:tcPr>
            <w:tcW w:w="2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47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25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4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20,206</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30,552</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10,363</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61,854</w:t>
            </w:r>
          </w:p>
        </w:tc>
        <w:tc>
          <w:tcPr>
            <w:tcW w:w="100" w:type="dxa"/>
            <w:vAlign w:val="bottom"/>
            <w:shd w:val="clear" w:color="auto" w:fill="CFF0FC"/>
          </w:tcPr>
          <w:p>
            <w:pPr>
              <w:spacing w:after="0"/>
              <w:rPr>
                <w:sz w:val="19"/>
                <w:szCs w:val="19"/>
                <w:color w:val="auto"/>
              </w:rPr>
            </w:pPr>
          </w:p>
        </w:tc>
      </w:tr>
      <w:tr>
        <w:trPr>
          <w:trHeight w:val="220"/>
        </w:trPr>
        <w:tc>
          <w:tcPr>
            <w:tcW w:w="47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Savings and interest-checking deposits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54,650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88,053</w:t>
            </w:r>
          </w:p>
        </w:tc>
        <w:tc>
          <w:tcPr>
            <w:tcW w:w="100" w:type="dxa"/>
            <w:vAlign w:val="bottom"/>
          </w:tcPr>
          <w:p>
            <w:pPr>
              <w:spacing w:after="0"/>
              <w:rPr>
                <w:sz w:val="19"/>
                <w:szCs w:val="19"/>
                <w:color w:val="auto"/>
              </w:rPr>
            </w:pPr>
          </w:p>
        </w:tc>
      </w:tr>
      <w:tr>
        <w:trPr>
          <w:trHeight w:val="233"/>
        </w:trPr>
        <w:tc>
          <w:tcPr>
            <w:tcW w:w="476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3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3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4,620</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47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42,799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91,869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18,333</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8,536</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161,537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-1996440</wp:posOffset>
            </wp:positionV>
            <wp:extent cx="7683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-1996440</wp:posOffset>
            </wp:positionV>
            <wp:extent cx="7747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-1996440</wp:posOffset>
            </wp:positionV>
            <wp:extent cx="6858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-1996440</wp:posOffset>
            </wp:positionV>
            <wp:extent cx="6858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-1088390</wp:posOffset>
            </wp:positionV>
            <wp:extent cx="7683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-1088390</wp:posOffset>
            </wp:positionV>
            <wp:extent cx="7747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-1088390</wp:posOffset>
            </wp:positionV>
            <wp:extent cx="6858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-1088390</wp:posOffset>
            </wp:positionV>
            <wp:extent cx="6858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-179705</wp:posOffset>
            </wp:positionV>
            <wp:extent cx="76835"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-179705</wp:posOffset>
            </wp:positionV>
            <wp:extent cx="7747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-179705</wp:posOffset>
            </wp:positionV>
            <wp:extent cx="6858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-179705</wp:posOffset>
            </wp:positionV>
            <wp:extent cx="6858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Funding Activities - Borrowings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following table summarizes the average balances utilized from the Company's short-term and long-term borrowing facilities and note programs.</w:t>
      </w:r>
    </w:p>
    <w:p>
      <w:pPr>
        <w:sectPr>
          <w:pgSz w:w="11900" w:h="16838" w:orient="portrait"/>
          <w:cols w:equalWidth="0" w:num="1">
            <w:col w:w="11240"/>
          </w:cols>
          <w:pgMar w:left="320" w:top="1092" w:right="339" w:bottom="771" w:gutter="0" w:footer="0" w:header="0"/>
        </w:sectPr>
      </w:pP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BORROWINGS</w:t>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Short-term borrowings:</w:t>
      </w:r>
    </w:p>
    <w:p>
      <w:pPr>
        <w:spacing w:after="0" w:line="46" w:lineRule="exact"/>
        <w:rPr>
          <w:sz w:val="20"/>
          <w:szCs w:val="20"/>
          <w:color w:val="auto"/>
        </w:rPr>
      </w:pPr>
    </w:p>
    <w:p>
      <w:pPr>
        <w:ind w:left="120" w:right="1240"/>
        <w:spacing w:after="0" w:line="333" w:lineRule="auto"/>
        <w:rPr>
          <w:sz w:val="20"/>
          <w:szCs w:val="20"/>
          <w:color w:val="auto"/>
        </w:rPr>
      </w:pPr>
      <w:r>
        <w:rPr>
          <w:rFonts w:ascii="Times New Roman" w:cs="Times New Roman" w:eastAsia="Times New Roman" w:hAnsi="Times New Roman"/>
          <w:sz w:val="16"/>
          <w:szCs w:val="16"/>
          <w:color w:val="auto"/>
        </w:rPr>
        <w:t>Federal funds purchased and repurchase agreements FHLB advances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short-term borrowings</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40"/>
        </w:trPr>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40"/>
        </w:trPr>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5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6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r>
      <w:tr>
        <w:trPr>
          <w:trHeight w:val="243"/>
        </w:trPr>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5,921</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4,752</w:t>
            </w:r>
          </w:p>
        </w:tc>
        <w:tc>
          <w:tcPr>
            <w:tcW w:w="3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4,630</w:t>
            </w:r>
          </w:p>
        </w:tc>
      </w:tr>
      <w:tr>
        <w:trPr>
          <w:trHeight w:val="223"/>
        </w:trPr>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6,228</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5,156</w:t>
            </w:r>
          </w:p>
        </w:tc>
        <w:tc>
          <w:tcPr>
            <w:tcW w:w="38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-471170</wp:posOffset>
            </wp:positionV>
            <wp:extent cx="7132320" cy="14605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-179070</wp:posOffset>
            </wp:positionV>
            <wp:extent cx="7132320" cy="17970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720"/>
            <w:col w:w="5800"/>
          </w:cols>
          <w:pgMar w:left="320" w:top="1092" w:right="339" w:bottom="771"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borrowings:</w:t>
            </w: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Senior notes</w:t>
            </w:r>
          </w:p>
        </w:tc>
        <w:tc>
          <w:tcPr>
            <w:tcW w:w="64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6,418</w:t>
            </w:r>
          </w:p>
        </w:tc>
        <w:tc>
          <w:tcPr>
            <w:tcW w:w="98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5,863</w:t>
            </w:r>
          </w:p>
        </w:tc>
        <w:tc>
          <w:tcPr>
            <w:tcW w:w="102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4,979</w:t>
            </w:r>
          </w:p>
        </w:tc>
        <w:tc>
          <w:tcPr>
            <w:tcW w:w="100" w:type="dxa"/>
            <w:vAlign w:val="bottom"/>
          </w:tcPr>
          <w:p>
            <w:pPr>
              <w:spacing w:after="0"/>
              <w:rPr>
                <w:sz w:val="19"/>
                <w:szCs w:val="19"/>
                <w:color w:val="auto"/>
              </w:rPr>
            </w:pPr>
          </w:p>
        </w:tc>
      </w:tr>
      <w:tr>
        <w:trPr>
          <w:trHeight w:val="239"/>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FHLB advances</w:t>
            </w:r>
          </w:p>
        </w:tc>
        <w:tc>
          <w:tcPr>
            <w:tcW w:w="6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20"/>
                <w:szCs w:val="20"/>
                <w:color w:val="auto"/>
              </w:rPr>
            </w:pPr>
          </w:p>
        </w:tc>
      </w:tr>
      <w:tr>
        <w:trPr>
          <w:trHeight w:val="220"/>
        </w:trPr>
        <w:tc>
          <w:tcPr>
            <w:tcW w:w="5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Subordinated notes</w:t>
            </w: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tcPr>
          <w:p>
            <w:pPr>
              <w:spacing w:after="0"/>
              <w:rPr>
                <w:sz w:val="19"/>
                <w:szCs w:val="19"/>
                <w:color w:val="auto"/>
              </w:rPr>
            </w:pPr>
          </w:p>
        </w:tc>
      </w:tr>
      <w:tr>
        <w:trPr>
          <w:trHeight w:val="239"/>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Junior subordinated debentures</w:t>
            </w:r>
          </w:p>
        </w:tc>
        <w:tc>
          <w:tcPr>
            <w:tcW w:w="6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3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shd w:val="clear" w:color="auto" w:fill="CFF0FC"/>
          </w:tcPr>
          <w:p>
            <w:pPr>
              <w:spacing w:after="0"/>
              <w:rPr>
                <w:sz w:val="20"/>
                <w:szCs w:val="20"/>
                <w:color w:val="auto"/>
              </w:rPr>
            </w:pPr>
          </w:p>
        </w:tc>
      </w:tr>
      <w:tr>
        <w:trPr>
          <w:trHeight w:val="220"/>
        </w:trPr>
        <w:tc>
          <w:tcPr>
            <w:tcW w:w="5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Asset-backed notes</w:t>
            </w: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5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6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long-term borrowings</w:t>
            </w: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9,773</w:t>
            </w:r>
          </w:p>
        </w:tc>
        <w:tc>
          <w:tcPr>
            <w:tcW w:w="3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7,901</w:t>
            </w:r>
          </w:p>
        </w:tc>
        <w:tc>
          <w:tcPr>
            <w:tcW w:w="3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6,511</w:t>
            </w:r>
          </w:p>
        </w:tc>
        <w:tc>
          <w:tcPr>
            <w:tcW w:w="100" w:type="dxa"/>
            <w:vAlign w:val="bottom"/>
          </w:tcPr>
          <w:p>
            <w:pPr>
              <w:spacing w:after="0"/>
              <w:rPr>
                <w:sz w:val="19"/>
                <w:szCs w:val="19"/>
                <w:color w:val="auto"/>
              </w:rPr>
            </w:pPr>
          </w:p>
        </w:tc>
      </w:tr>
      <w:tr>
        <w:trPr>
          <w:trHeight w:val="266"/>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borrowed funds</w:t>
            </w:r>
          </w:p>
        </w:tc>
        <w:tc>
          <w:tcPr>
            <w:tcW w:w="640" w:type="dxa"/>
            <w:vAlign w:val="bottom"/>
            <w:tcBorders>
              <w:bottom w:val="single" w:sz="8" w:color="auto"/>
            </w:tcBorders>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16,001</w:t>
            </w:r>
          </w:p>
        </w:tc>
        <w:tc>
          <w:tcPr>
            <w:tcW w:w="34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auto"/>
            </w:tcBorders>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13,057</w:t>
            </w:r>
          </w:p>
        </w:tc>
        <w:tc>
          <w:tcPr>
            <w:tcW w:w="38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-333375</wp:posOffset>
            </wp:positionV>
            <wp:extent cx="7747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-333375</wp:posOffset>
            </wp:positionV>
            <wp:extent cx="6858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7747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7747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Company also uses borrowing capacity from banks, the FHLBs, the FRB of New York and others as sources of funding. Short-term borrowings represent arrangements that at the time they were entered into had a contractual maturity of one year or less. The higher levels of short-term borrowings in the first quarter of 2024 as compared with the fourth quarter of 2023 and year-earlier first quarter reflect the Company's management of liquidity.</w:t>
      </w: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Long-term borrowings averaged $9.8 billion, $7.9 billion and $6.5 billion in the three-month periods ending March 31, 2024, December 31, 2023 and March 31, 2023, respectively. In February 2024, M&amp;T Bank advanced $2.0 billion from the FHLB of New York which matures in February 2025 at a variable rate of SOFR plus 25 basis points payable quarterly until maturity. In March 2024, M&amp;T issued $850 million of senior notes that mature in March 2032 and pay a 6.08% fixed rate semi-annually until March 2031 after which SOFR plus 2.26% will be paid quarterly until maturity. Also in March 2024, M&amp;T Bank issued $511 million of asset-backed notes secured by automobile loans with a weighted-average estimated life of approximately two years and a weighted-average interest rate of 5.29% at the time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771" w:gutter="0" w:footer="0" w:header="0"/>
          <w:type w:val="continuous"/>
        </w:sectPr>
      </w:pPr>
    </w:p>
    <w:bookmarkStart w:id="46" w:name="page47"/>
    <w:bookmarkEnd w:id="46"/>
    <w:p>
      <w:pPr>
        <w:jc w:val="both"/>
        <w:spacing w:after="0" w:line="255" w:lineRule="auto"/>
        <w:rPr>
          <w:sz w:val="20"/>
          <w:szCs w:val="20"/>
          <w:color w:val="auto"/>
        </w:rPr>
      </w:pPr>
      <w:r>
        <w:rPr>
          <w:rFonts w:ascii="Times New Roman" w:cs="Times New Roman" w:eastAsia="Times New Roman" w:hAnsi="Times New Roman"/>
          <w:sz w:val="21"/>
          <w:szCs w:val="21"/>
          <w:color w:val="auto"/>
        </w:rPr>
        <w:t>of securitization. The increased usage of borrowing facilities reflects the Company's strategies to diversify its wholesale funding options to provide long-term funding stabilization and prepare for proposed regulations enumerating certain long-term debt requirements as described in Part I, Item 1 of M&amp;T's 2023 Annual Report.</w:t>
      </w:r>
    </w:p>
    <w:p>
      <w:pPr>
        <w:spacing w:after="0" w:line="67" w:lineRule="exact"/>
        <w:rPr>
          <w:sz w:val="20"/>
          <w:szCs w:val="20"/>
          <w:color w:val="auto"/>
        </w:rPr>
      </w:pPr>
    </w:p>
    <w:p>
      <w:pPr>
        <w:ind w:right="2240"/>
        <w:spacing w:after="0" w:line="348" w:lineRule="auto"/>
        <w:rPr>
          <w:sz w:val="20"/>
          <w:szCs w:val="20"/>
          <w:color w:val="auto"/>
        </w:rPr>
      </w:pPr>
      <w:r>
        <w:rPr>
          <w:rFonts w:ascii="Times New Roman" w:cs="Times New Roman" w:eastAsia="Times New Roman" w:hAnsi="Times New Roman"/>
          <w:sz w:val="21"/>
          <w:szCs w:val="21"/>
          <w:color w:val="auto"/>
        </w:rPr>
        <w:t xml:space="preserve">Additional information regarding borrowings is provided in notes 5 and 11 of Notes to Financial Statements. </w:t>
      </w:r>
      <w:r>
        <w:rPr>
          <w:rFonts w:ascii="Times New Roman" w:cs="Times New Roman" w:eastAsia="Times New Roman" w:hAnsi="Times New Roman"/>
          <w:sz w:val="21"/>
          <w:szCs w:val="21"/>
          <w:b w:val="1"/>
          <w:bCs w:val="1"/>
          <w:i w:val="1"/>
          <w:iCs w:val="1"/>
          <w:color w:val="auto"/>
        </w:rPr>
        <w:t>Net Interest Margin</w:t>
      </w:r>
    </w:p>
    <w:p>
      <w:pPr>
        <w:spacing w:after="0" w:line="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Net interest income can be impacted by changes in the composition of the Company's earning assets and interest-bearing liabilities, as discussed herein, as well as changes in interest rates and spreads. Net interest spread, or the difference between the taxable-equivalent yield on earning assets and the rate paid on interest-bearing liabilities, was 2.48% in the recent quarter, down 8 basis points from 2.56% in the fourth quarter of 2023. The decline in the net interest spread from the fourth quarter of 2023 reflects higher levels of average borrowings, partially offset by higher rates earned on investment securities. The yield on earning assets during the first quarter of 2024 was 5.74%, up 1 basis point from 5.73% in the fourth quarter of 2023. The rate paid on interest-bearing liabilities was 3.26% in the recent quarter, compared with 3.17% in the final quarter of 2023. In the first quarter of 2023, the net interest spread was 3.30%, the yield on earning assets was 5.16% and the rate paid on interest-bearing liabilities was 1.86%. The decline in the net interest spread in the recent quarter as compared with the first quarter of 2023 reflects the impact of higher rates paid on interest-bearing liabilities (predominantly interest-bearing deposits) resulting from a general rise in interest rates during the first three quarters of 2023, which outpaced higher yields earned on loans and leases, deposits at the FRB of New York and investment securities.</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$61.7 billion in the first quarter of 2024, compared with $62.9 billion in the fourth quarter of 2023 and $72.9 billion in the year-earlier quarter. The lower level of average net interest-free funds in the recent quarter as compared with the fourth and first quarters of 2023 is predominantly the result of a decline in the average balance of noninterest-bearing deposits, partially offset by increases in common shareholders equity from retained earnings, net of common and preferred stock dividends. Noninterest-bearing deposits averaged $48.6 billion in the first quarter of 2024, compared with $50.1 billion in the last quarter of 2023 and $61.9 billion in the first quarter of 2023. The decline in average noninterest-bearing deposits since the first quarter of 2023 reflects customer use of off-balance sheet investment products and a shift in deposits to interest-bearing accounts as interest rates rose. The contribution of net interest-free funds to net interest margin was 1.04% in the first quarter of 2024, compared with 1.05% in the fourth quarter of 2023 and .74% in the first quarter of 2023. The increased contribution of net interest-free funds to net interest margin in the two most recent quarters as compared with the first 2023 quarter reflects higher rates paid on interest-bearing liabilities used to value net interest-free funds.</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Reflecting the changes to the net interest spread and the contribution of net interest-free funds as described herein, the Company’s net interest margin was 3.52% in the first quarter of 2024, compared with 3.61% in the fourth quarter of 2023 and 4.04% in the year-earlier period. The higher interest rate environment has led to an increase in the rates paid on the Company's sources of funding which has outpaced the rise in yields on earning assets. Future changes in market interest rates or spreads, as well as changes in the composition of the Company’s portfolios of earning assets and interest-bearing liabilities that result in changes to spreads, could impact the Company’s net interest income and net interest margin.</w:t>
      </w:r>
    </w:p>
    <w:p>
      <w:pPr>
        <w:spacing w:after="0" w:line="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Under the terms of those interest rate swap agreements, the Company received payments based on the outstanding notional amount at fixed rates and made payments at variable rates. Periodic settlement amounts arising from these agreements are reflected in either the yields on earning assets or the rates paid on interest-bearing liabilities. The Company enters into forward-starting interest rate swap agreements predominantly to hedge interest rate exposures expected in future periods. The following table summarizes information about interest rate swap agreements entered into for interest rate risk management purposes at March 31, 2024 and December 31,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1"/>
          <w:szCs w:val="21"/>
          <w:color w:val="auto"/>
        </w:rPr>
        <w:t>INTEREST RATE SWAP AGREEMENTS - DESIGNATED AS HEDGES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3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8"/>
                <w:szCs w:val="18"/>
                <w:color w:val="auto"/>
              </w:rPr>
            </w:pPr>
          </w:p>
        </w:tc>
        <w:tc>
          <w:tcPr>
            <w:tcW w:w="66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Starting</w:t>
            </w:r>
          </w:p>
        </w:tc>
        <w:tc>
          <w:tcPr>
            <w:tcW w:w="180" w:type="dxa"/>
            <w:vAlign w:val="bottom"/>
          </w:tcPr>
          <w:p>
            <w:pPr>
              <w:spacing w:after="0"/>
              <w:rPr>
                <w:sz w:val="18"/>
                <w:szCs w:val="18"/>
                <w:color w:val="auto"/>
              </w:rPr>
            </w:pPr>
          </w:p>
        </w:tc>
        <w:tc>
          <w:tcPr>
            <w:tcW w:w="6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4420" w:type="dxa"/>
            <w:vAlign w:val="bottom"/>
            <w:gridSpan w:val="2"/>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5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Fair value hedges:</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Fixed rate long-term borrowings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tcPr>
          <w:p>
            <w:pPr>
              <w:spacing w:after="0"/>
              <w:rPr>
                <w:sz w:val="19"/>
                <w:szCs w:val="19"/>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3.48 %</w:t>
            </w:r>
          </w:p>
        </w:tc>
        <w:tc>
          <w:tcPr>
            <w:tcW w:w="7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w w:val="92"/>
              </w:rPr>
              <w:t>5.51 %</w:t>
            </w:r>
          </w:p>
        </w:tc>
        <w:tc>
          <w:tcPr>
            <w:tcW w:w="0" w:type="dxa"/>
            <w:vAlign w:val="bottom"/>
          </w:tcPr>
          <w:p>
            <w:pPr>
              <w:spacing w:after="0"/>
              <w:rPr>
                <w:sz w:val="1"/>
                <w:szCs w:val="1"/>
                <w:color w:val="auto"/>
              </w:rPr>
            </w:pPr>
          </w:p>
        </w:tc>
      </w:tr>
      <w:tr>
        <w:trPr>
          <w:trHeight w:val="239"/>
        </w:trPr>
        <w:tc>
          <w:tcPr>
            <w:tcW w:w="55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55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 payments on variable rate commercial</w:t>
            </w:r>
          </w:p>
        </w:tc>
        <w:tc>
          <w:tcPr>
            <w:tcW w:w="16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17,477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23,427</w:t>
            </w:r>
          </w:p>
        </w:tc>
        <w:tc>
          <w:tcPr>
            <w:tcW w:w="220" w:type="dxa"/>
            <w:vAlign w:val="bottom"/>
            <w:vMerge w:val="restart"/>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FF0FC"/>
            </w:tcBorders>
            <w:shd w:val="clear" w:color="auto" w:fill="CFF0FC"/>
          </w:tcPr>
          <w:p>
            <w:pPr>
              <w:spacing w:after="0"/>
              <w:rPr>
                <w:sz w:val="18"/>
                <w:szCs w:val="18"/>
                <w:color w:val="auto"/>
              </w:rPr>
            </w:pPr>
          </w:p>
        </w:tc>
        <w:tc>
          <w:tcPr>
            <w:tcW w:w="5500" w:type="dxa"/>
            <w:vAlign w:val="bottom"/>
            <w:tcBorders>
              <w:bottom w:val="single" w:sz="8" w:color="CFF0FC"/>
            </w:tcBorders>
            <w:gridSpan w:val="3"/>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real estate loans</w:t>
            </w:r>
          </w:p>
        </w:tc>
        <w:tc>
          <w:tcPr>
            <w:tcW w:w="1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vMerge w:val="continue"/>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w w:val="99"/>
              </w:rPr>
              <w:t>3.38</w:t>
            </w:r>
          </w:p>
        </w:tc>
        <w:tc>
          <w:tcPr>
            <w:tcW w:w="2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w w:val="99"/>
              </w:rPr>
              <w:t>5.33</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gridSpan w:val="2"/>
            <w:shd w:val="clear" w:color="auto" w:fill="CFF0FC"/>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December 31, 2023</w:t>
            </w:r>
          </w:p>
        </w:tc>
        <w:tc>
          <w:tcPr>
            <w:tcW w:w="4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Fair value hedges: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Fixed rate long-term borrowings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20" w:type="dxa"/>
            <w:vAlign w:val="bottom"/>
          </w:tcPr>
          <w:p>
            <w:pPr>
              <w:spacing w:after="0"/>
              <w:rPr>
                <w:sz w:val="19"/>
                <w:szCs w:val="19"/>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3.45 %</w:t>
            </w:r>
          </w:p>
        </w:tc>
        <w:tc>
          <w:tcPr>
            <w:tcW w:w="7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w w:val="92"/>
              </w:rPr>
              <w:t>5.62 %</w:t>
            </w:r>
          </w:p>
        </w:tc>
        <w:tc>
          <w:tcPr>
            <w:tcW w:w="0" w:type="dxa"/>
            <w:vAlign w:val="bottom"/>
          </w:tcPr>
          <w:p>
            <w:pPr>
              <w:spacing w:after="0"/>
              <w:rPr>
                <w:sz w:val="1"/>
                <w:szCs w:val="1"/>
                <w:color w:val="auto"/>
              </w:rPr>
            </w:pPr>
          </w:p>
        </w:tc>
      </w:tr>
      <w:tr>
        <w:trPr>
          <w:trHeight w:val="239"/>
        </w:trPr>
        <w:tc>
          <w:tcPr>
            <w:tcW w:w="55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55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 payments on variable rate commercial</w:t>
            </w:r>
          </w:p>
        </w:tc>
        <w:tc>
          <w:tcPr>
            <w:tcW w:w="16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14,977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23,977</w:t>
            </w:r>
          </w:p>
        </w:tc>
        <w:tc>
          <w:tcPr>
            <w:tcW w:w="220" w:type="dxa"/>
            <w:vAlign w:val="bottom"/>
            <w:vMerge w:val="restart"/>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FF0FC"/>
            </w:tcBorders>
            <w:shd w:val="clear" w:color="auto" w:fill="CFF0FC"/>
          </w:tcPr>
          <w:p>
            <w:pPr>
              <w:spacing w:after="0"/>
              <w:rPr>
                <w:sz w:val="18"/>
                <w:szCs w:val="18"/>
                <w:color w:val="auto"/>
              </w:rPr>
            </w:pPr>
          </w:p>
        </w:tc>
        <w:tc>
          <w:tcPr>
            <w:tcW w:w="5500" w:type="dxa"/>
            <w:vAlign w:val="bottom"/>
            <w:tcBorders>
              <w:bottom w:val="single" w:sz="8" w:color="CFF0FC"/>
            </w:tcBorders>
            <w:gridSpan w:val="3"/>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real estate loans</w:t>
            </w:r>
          </w:p>
        </w:tc>
        <w:tc>
          <w:tcPr>
            <w:tcW w:w="1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vMerge w:val="continue"/>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w w:val="99"/>
              </w:rPr>
              <w:t>3.45</w:t>
            </w:r>
          </w:p>
        </w:tc>
        <w:tc>
          <w:tcPr>
            <w:tcW w:w="2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w w:val="99"/>
              </w:rPr>
              <w:t>5.36</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-1765300</wp:posOffset>
            </wp:positionV>
            <wp:extent cx="7132320" cy="14605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4541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-1207770</wp:posOffset>
            </wp:positionV>
            <wp:extent cx="7683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-1207770</wp:posOffset>
            </wp:positionV>
            <wp:extent cx="7683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-1207770</wp:posOffset>
            </wp:positionV>
            <wp:extent cx="6858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-1207770</wp:posOffset>
            </wp:positionV>
            <wp:extent cx="6858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-179070</wp:posOffset>
            </wp:positionV>
            <wp:extent cx="7683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-179070</wp:posOffset>
            </wp:positionV>
            <wp:extent cx="7683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-179070</wp:posOffset>
            </wp:positionV>
            <wp:extent cx="6858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-179070</wp:posOffset>
            </wp:positionV>
            <wp:extent cx="6858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21"/>
          <w:szCs w:val="21"/>
          <w:color w:val="auto"/>
        </w:rPr>
        <w:t>Information regarding the fair value of interest rate swap agreements is presented in note 10 of Notes to Financial Statements. The average notional amounts of interest rate swap agreements entered into for interest rate risk management purposes (excluding forward-starting interest rate swap agreements not in effect during the quarter), the related effect on net interest income and margin and the weighted-average interest rates paid or received on those swap agreements is presented in the table that follows.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INTEREST RATE SWAP AGREEMENTS - EFFECT ON NET INTEREST INCOME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20" w:type="dxa"/>
            <w:vAlign w:val="bottom"/>
          </w:tcPr>
          <w:p>
            <w:pPr>
              <w:ind w:left="2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Rate (a)</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Rate (a)</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(cash flow hedges)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(87 )</w:t>
            </w: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57"/>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(fair value hedges)</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interest income/margin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-.21 %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Average notional amount (b)</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vMerge w:val="continue"/>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Rate received (c)</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3.32 %</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line="20" w:lineRule="exact"/>
              <w:rPr>
                <w:sz w:val="1"/>
                <w:szCs w:val="1"/>
                <w:color w:val="auto"/>
              </w:rPr>
            </w:pPr>
          </w:p>
        </w:tc>
      </w:tr>
      <w:tr>
        <w:trPr>
          <w:trHeight w:val="217"/>
        </w:trPr>
        <w:tc>
          <w:tcPr>
            <w:tcW w:w="55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paid (c)</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15430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17970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6"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Computed as an annualized percentage of average earning assets or interest-bearing liabilities.</w:t>
      </w:r>
    </w:p>
    <w:p>
      <w:pPr>
        <w:spacing w:after="0" w:line="5" w:lineRule="exact"/>
        <w:rPr>
          <w:rFonts w:ascii="Times New Roman" w:cs="Times New Roman" w:eastAsia="Times New Roman" w:hAnsi="Times New Roman"/>
          <w:sz w:val="14"/>
          <w:szCs w:val="14"/>
          <w:i w:val="1"/>
          <w:iCs w:val="1"/>
          <w:color w:val="auto"/>
        </w:rPr>
      </w:pPr>
    </w:p>
    <w:p>
      <w:pPr>
        <w:ind w:left="520" w:hanging="512"/>
        <w:spacing w:after="0" w:line="221" w:lineRule="auto"/>
        <w:tabs>
          <w:tab w:leader="none" w:pos="52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forward-starting interest rate swap agreements not in effect during the period.</w:t>
      </w:r>
    </w:p>
    <w:p>
      <w:pPr>
        <w:ind w:left="520" w:hanging="512"/>
        <w:spacing w:after="0"/>
        <w:tabs>
          <w:tab w:leader="none" w:pos="52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Weighted-average rate paid or received on interest rate swap agreements in effect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190309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Provision for Credit Losses</w:t>
      </w:r>
    </w:p>
    <w:p>
      <w:pPr>
        <w:spacing w:after="0" w:line="112"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1"/>
          <w:szCs w:val="21"/>
          <w:color w:val="auto"/>
        </w:rPr>
        <w:t>A provision for credit losses is recorded to adjust the level of the allowance to reflect expected credit losses that are based on economic forecasts as of each reporting date. A provision for credit losses of $200 million was recorded in the first quarter of 2024, compared with $225 million in the fourth quarter of 2023 and $120 million in the year-earlier quarter. The comparatively higher provisions for credit losses in the most recent two quarters as compared with the first quarter of 2023 reflect declines in commercial real estate values and higher interest rates contributing to a deterioration in the performance of loans to commercial borrowers, including nonautomotive dealers and healthcare facilities, as well as growth in certain sectors of M&amp;T's commercial and industrial and consumer loan portfolios. Net charge-offs totaled $138 million in 2024's first quarter as compared with $148 million in 2023's final quarter and $70 million in the year-earlier quarter. The lower level of net charge-offs in the first quarter of 2024 as compared with the preceding quarter included a decline in commercial real estate loan net charge-offs, partially offset by an increase in net charge-offs of commercial and industrial and consumer loans. As compared with year-earlier first quarter, the recent quarter net charge-offs reflect higher levels of commercial and industrial and consumer loan net charge-offs.</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2" w:right="279" w:bottom="1440" w:gutter="0" w:footer="0" w:header="0"/>
        </w:sectPr>
      </w:pPr>
    </w:p>
    <w:bookmarkStart w:id="48" w:name="page49"/>
    <w:bookmarkEnd w:id="48"/>
    <w:p>
      <w:pPr>
        <w:ind w:right="80"/>
        <w:spacing w:after="0" w:line="308" w:lineRule="auto"/>
        <w:rPr>
          <w:sz w:val="20"/>
          <w:szCs w:val="20"/>
          <w:color w:val="auto"/>
        </w:rPr>
      </w:pPr>
      <w:r>
        <w:rPr>
          <w:rFonts w:ascii="Times New Roman" w:cs="Times New Roman" w:eastAsia="Times New Roman" w:hAnsi="Times New Roman"/>
          <w:sz w:val="21"/>
          <w:szCs w:val="21"/>
          <w:color w:val="auto"/>
        </w:rPr>
        <w:t>A summary of net charge-offs by loan type and as an annualized percentage of such average loans is presented in the table that follows. NET CHARGE-OFF (RECOVERY) INFORMATION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4"/>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First Quarter 2024</w:t>
            </w:r>
          </w:p>
        </w:tc>
        <w:tc>
          <w:tcPr>
            <w:tcW w:w="220" w:type="dxa"/>
            <w:vAlign w:val="bottom"/>
          </w:tcPr>
          <w:p>
            <w:pPr>
              <w:spacing w:after="0"/>
              <w:rPr>
                <w:sz w:val="18"/>
                <w:szCs w:val="18"/>
                <w:color w:val="auto"/>
              </w:rPr>
            </w:pPr>
          </w:p>
        </w:tc>
        <w:tc>
          <w:tcPr>
            <w:tcW w:w="2460" w:type="dxa"/>
            <w:vAlign w:val="bottom"/>
            <w:gridSpan w:val="4"/>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Fourth Quarter 2023</w:t>
            </w:r>
          </w:p>
        </w:tc>
        <w:tc>
          <w:tcPr>
            <w:tcW w:w="200" w:type="dxa"/>
            <w:vAlign w:val="bottom"/>
          </w:tcPr>
          <w:p>
            <w:pPr>
              <w:spacing w:after="0"/>
              <w:rPr>
                <w:sz w:val="18"/>
                <w:szCs w:val="18"/>
                <w:color w:val="auto"/>
              </w:rPr>
            </w:pPr>
          </w:p>
        </w:tc>
        <w:tc>
          <w:tcPr>
            <w:tcW w:w="234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First Quarter 2023</w:t>
            </w:r>
          </w:p>
        </w:tc>
      </w:tr>
      <w:tr>
        <w:trPr>
          <w:trHeight w:val="198"/>
        </w:trPr>
        <w:tc>
          <w:tcPr>
            <w:tcW w:w="3280" w:type="dxa"/>
            <w:vAlign w:val="bottom"/>
          </w:tcPr>
          <w:p>
            <w:pPr>
              <w:spacing w:after="0"/>
              <w:rPr>
                <w:sz w:val="17"/>
                <w:szCs w:val="17"/>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Net Charge-</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300" w:type="dxa"/>
            <w:vAlign w:val="bottom"/>
          </w:tcPr>
          <w:p>
            <w:pPr>
              <w:spacing w:after="0"/>
              <w:rPr>
                <w:sz w:val="17"/>
                <w:szCs w:val="17"/>
                <w:color w:val="auto"/>
              </w:rPr>
            </w:pP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Net Charge-</w:t>
            </w: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280" w:type="dxa"/>
            <w:vAlign w:val="bottom"/>
          </w:tcPr>
          <w:p>
            <w:pPr>
              <w:spacing w:after="0"/>
              <w:rPr>
                <w:sz w:val="17"/>
                <w:szCs w:val="17"/>
                <w:color w:val="auto"/>
              </w:rPr>
            </w:pPr>
          </w:p>
        </w:tc>
        <w:tc>
          <w:tcPr>
            <w:tcW w:w="120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Net Charge-</w:t>
            </w:r>
          </w:p>
        </w:tc>
        <w:tc>
          <w:tcPr>
            <w:tcW w:w="12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140" w:type="dxa"/>
            <w:vAlign w:val="bottom"/>
            <w:gridSpan w:val="2"/>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Offs</w:t>
            </w:r>
          </w:p>
        </w:tc>
        <w:tc>
          <w:tcPr>
            <w:tcW w:w="260" w:type="dxa"/>
            <w:vAlign w:val="bottom"/>
          </w:tcPr>
          <w:p>
            <w:pPr>
              <w:spacing w:after="0"/>
              <w:rPr>
                <w:sz w:val="17"/>
                <w:szCs w:val="17"/>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220" w:type="dxa"/>
            <w:vAlign w:val="bottom"/>
          </w:tcPr>
          <w:p>
            <w:pPr>
              <w:spacing w:after="0"/>
              <w:rPr>
                <w:sz w:val="17"/>
                <w:szCs w:val="17"/>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Offs</w:t>
            </w:r>
          </w:p>
        </w:tc>
        <w:tc>
          <w:tcPr>
            <w:tcW w:w="24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200" w:type="dxa"/>
            <w:vAlign w:val="bottom"/>
          </w:tcPr>
          <w:p>
            <w:pPr>
              <w:spacing w:after="0"/>
              <w:rPr>
                <w:sz w:val="17"/>
                <w:szCs w:val="17"/>
                <w:color w:val="auto"/>
              </w:rPr>
            </w:pP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Offs</w:t>
            </w: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26"/>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260" w:type="dxa"/>
            <w:vAlign w:val="bottom"/>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Average Loans</w:t>
            </w:r>
          </w:p>
        </w:tc>
        <w:tc>
          <w:tcPr>
            <w:tcW w:w="30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2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Loans</w:t>
            </w:r>
          </w:p>
        </w:tc>
        <w:tc>
          <w:tcPr>
            <w:tcW w:w="28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240" w:type="dxa"/>
            <w:vAlign w:val="bottom"/>
          </w:tcPr>
          <w:p>
            <w:pPr>
              <w:spacing w:after="0"/>
              <w:rPr>
                <w:sz w:val="19"/>
                <w:szCs w:val="19"/>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Average Loans</w:t>
            </w:r>
          </w:p>
        </w:tc>
        <w:tc>
          <w:tcPr>
            <w:tcW w:w="140" w:type="dxa"/>
            <w:vAlign w:val="bottom"/>
            <w:gridSpan w:val="2"/>
          </w:tcPr>
          <w:p>
            <w:pPr>
              <w:spacing w:after="0"/>
              <w:rPr>
                <w:sz w:val="19"/>
                <w:szCs w:val="19"/>
                <w:color w:val="auto"/>
              </w:rPr>
            </w:pPr>
          </w:p>
        </w:tc>
      </w:tr>
      <w:tr>
        <w:trPr>
          <w:trHeight w:val="210"/>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.51 %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.30 %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Commercial</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3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Residential builder and developer</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commercial construction</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(2 )</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Residential</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9"/>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Residential - limited documentation</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20"/>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Home equity lines and loans</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3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Recreational finance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Automobile</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.42 %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.44 %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0"/>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-1928495</wp:posOffset>
            </wp:positionV>
            <wp:extent cx="7132320" cy="14541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Asset Quality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summary of nonperforming assets and certain past due loan data and credit quality ratios is presented in the accompanying table.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NONPERFORMING ASSET AND PAST DUE LOAN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4"/>
                <w:szCs w:val="14"/>
                <w:color w:val="auto"/>
              </w:rPr>
            </w:pPr>
          </w:p>
        </w:tc>
        <w:tc>
          <w:tcPr>
            <w:tcW w:w="16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4"/>
                <w:szCs w:val="14"/>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4"/>
                <w:szCs w:val="14"/>
                <w:color w:val="auto"/>
              </w:rPr>
            </w:pPr>
          </w:p>
        </w:tc>
        <w:tc>
          <w:tcPr>
            <w:tcW w:w="160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7"/>
        </w:trPr>
        <w:tc>
          <w:tcPr>
            <w:tcW w:w="5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 and other foreclosed assets</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7"/>
        </w:trPr>
        <w:tc>
          <w:tcPr>
            <w:tcW w:w="56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Accruing loans past due 90 days or more (a)</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5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Government-guaranteed loans included in totals above:</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5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Nonaccrual loans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6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Accruing loans past due 90 days or more (a)</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30-89 days past due</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3240" w:type="dxa"/>
            <w:vAlign w:val="bottom"/>
            <w:shd w:val="clear" w:color="auto" w:fill="CFF0FC"/>
          </w:tcPr>
          <w:p>
            <w:pPr>
              <w:spacing w:after="0"/>
              <w:rPr>
                <w:sz w:val="21"/>
                <w:szCs w:val="21"/>
                <w:color w:val="auto"/>
              </w:rPr>
            </w:pPr>
          </w:p>
        </w:tc>
        <w:tc>
          <w:tcPr>
            <w:tcW w:w="2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Nonaccrual loans to total net loans and leases</w:t>
            </w:r>
          </w:p>
        </w:tc>
        <w:tc>
          <w:tcPr>
            <w:tcW w:w="240" w:type="dxa"/>
            <w:vAlign w:val="bottom"/>
          </w:tcPr>
          <w:p>
            <w:pPr>
              <w:spacing w:after="0"/>
              <w:rPr>
                <w:sz w:val="20"/>
                <w:szCs w:val="20"/>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1.71 %</w:t>
            </w:r>
          </w:p>
        </w:tc>
        <w:tc>
          <w:tcPr>
            <w:tcW w:w="180" w:type="dxa"/>
            <w:vAlign w:val="bottom"/>
          </w:tcPr>
          <w:p>
            <w:pPr>
              <w:spacing w:after="0"/>
              <w:rPr>
                <w:sz w:val="20"/>
                <w:szCs w:val="20"/>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1.62 %</w:t>
            </w:r>
          </w:p>
        </w:tc>
        <w:tc>
          <w:tcPr>
            <w:tcW w:w="24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15"/>
        </w:trPr>
        <w:tc>
          <w:tcPr>
            <w:tcW w:w="5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net loans and</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56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leases and real estate and other foreclosed assets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Accruing loans past due 90 days or more to</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5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net loans and leases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7"/>
        </w:trPr>
        <w:tc>
          <w:tcPr>
            <w:tcW w:w="5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Loans 30-89 days past due to total net loans and leases</w:t>
            </w:r>
          </w:p>
        </w:tc>
        <w:tc>
          <w:tcPr>
            <w:tcW w:w="240" w:type="dxa"/>
            <w:vAlign w:val="bottom"/>
            <w:shd w:val="clear" w:color="auto" w:fill="CFF0FC"/>
          </w:tcPr>
          <w:p>
            <w:pPr>
              <w:spacing w:after="0"/>
              <w:rPr>
                <w:sz w:val="24"/>
                <w:szCs w:val="2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95"/>
        </w:trPr>
        <w:tc>
          <w:tcPr>
            <w:tcW w:w="324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-1953895</wp:posOffset>
            </wp:positionV>
            <wp:extent cx="7747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-1936750</wp:posOffset>
            </wp:positionV>
            <wp:extent cx="7747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-1953895</wp:posOffset>
            </wp:positionV>
            <wp:extent cx="6858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-1936750</wp:posOffset>
            </wp:positionV>
            <wp:extent cx="6858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80" w:hanging="513"/>
        <w:spacing w:after="0"/>
        <w:tabs>
          <w:tab w:leader="none" w:pos="58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Predominantly residential real estate loans.</w:t>
      </w:r>
    </w:p>
    <w:p>
      <w:pPr>
        <w:spacing w:after="0" w:line="101"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21"/>
          <w:szCs w:val="21"/>
          <w:color w:val="auto"/>
        </w:rPr>
        <w:t>Nonaccrual loans were $2.3 billion at March 31, 2024, $136 million higher than December 31, 2023 and $255 million lower than March 31, 2023. The higher level of nonaccrual loans at the recent quarter end as compared with the immediately preceding quarter end was largely attributable to an increase in commercial and industrial nonaccrual loans, most notably loans to nonautomotive finance dealers and the manufacturing and services industries, partially offset by a decrease in commercial real estate nonaccrual loans. The decrease in nonaccrual loans at March 31, 2024 as compared with year-earlier quarter was predominantly due to lower levels of commercial real estate nonaccrual loans, including net charge-offs, and residential real estate nonaccrual loans, partially offset by a rise in commercial and industrial nonaccrual loans.</w:t>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2" w:right="279" w:bottom="1440" w:gutter="0" w:footer="0" w:header="0"/>
        </w:sectPr>
      </w:pPr>
    </w:p>
    <w:bookmarkStart w:id="49" w:name="page50"/>
    <w:bookmarkEnd w:id="49"/>
    <w:p>
      <w:pPr>
        <w:jc w:val="both"/>
        <w:spacing w:after="0" w:line="245" w:lineRule="auto"/>
        <w:rPr>
          <w:sz w:val="20"/>
          <w:szCs w:val="20"/>
          <w:color w:val="auto"/>
        </w:rPr>
      </w:pPr>
      <w:r>
        <w:rPr>
          <w:rFonts w:ascii="Times New Roman" w:cs="Times New Roman" w:eastAsia="Times New Roman" w:hAnsi="Times New Roman"/>
          <w:sz w:val="21"/>
          <w:szCs w:val="21"/>
          <w:color w:val="auto"/>
        </w:rPr>
        <w:t>Government-guaranteed loans classified as accruing loans past due 90 days or more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included in the amounts noted herein that are guaranteed by government-related entities totaled $195 million at March 31, 2024, $228 million at December 31, 2023 and $242 million at March 31, 2023. The remaining accruing loans past due 90 days or more not guaranteed by government-related entities were loans considered to be with creditworthy borrowers that were in the process of collection or renewal.</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Approximately 73% of loans 30 to 89 days past due were less than 60 days delinquent at each of March 31, 2024 and December 31, 2023. Information about past due and nonaccrual loans at March 31, 2024 and December 31, 2023 is also included in note 4 of Notes to Financial Statements.</w:t>
      </w:r>
    </w:p>
    <w:p>
      <w:pPr>
        <w:spacing w:after="0" w:line="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During the normal course of business, the Company modifies loans to maximize recovery efforts. The types of modifications that the Company grants typically include principal deferrals and interest rate reductions but may also include other types of modifications. The Company may offer such modified terms to borrowers experiencing financial difficulty. Such modified loans may be considered nonaccrual if the Company does not expect to collect the contractual cash flows owed under the loan agreement. Information about modifications of loans to borrowers experiencing financial difficulty is included in note 4 of Notes to Financial Statements.</w:t>
      </w:r>
    </w:p>
    <w:p>
      <w:pPr>
        <w:spacing w:after="0" w:line="7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Company utilizes a loan grading system to differentiate risk amongst its commercial and industrial loans and commercial real estate loans. Loans with a lower expectation of default are assigned one of ten possible “pass” loan grades while specific loans determined to have an elevated level of credit risk are classified as “criticized.” A criticized loan may be classified as “nonaccrual” if the Company no longer expects to collect all amounts according to the contractual terms of the loan agreement or the loan is delinquent 90 days or more.</w:t>
      </w:r>
    </w:p>
    <w:p>
      <w:pPr>
        <w:spacing w:after="0" w:line="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Line of business personnel in different geographic locations with support from and review by the Company’s credit risk personnel review and reassign loan grades based on their detailed knowledge of individual borrowers and their judgment of the impact on such borrowers resulting from changing conditions in their respective regions. The Company’s policy is that, at least annually, updated financial information is obtained from commercial borrowers associated with pass grade loans and additional analysis performed. On a quarterly basis, the Company’s centralized credit risk department personnel reviews all criticized commercial and industrial loans and commercial real estate loans greater than $5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w:t>
      </w:r>
    </w:p>
    <w:p>
      <w:pPr>
        <w:spacing w:after="0" w:line="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Targeted loan reviews have periodically been performed over segments of loan portfolios that are experiencing heightened credit risk due to current or anticipated economic conditions. The intention of such reviews is to identify trends across such portfolios and inform portfolio risk limits and loss mitigation strategies. The business climate in the first quarter of 2024 has continued to be subjected to inflationary pressures and elevated interest rates. These conditions have impacted many borrowers, particularly those with investor-owned commercial real estate loans in the hotel, office, retail, multifamily and healthcare sectors, including construction-related financing, and commercial and industrial loans to nonautomotive dealers and manufacturing and transportation industries. In 2023 and 2024, the Company completed targeted loan reviews covering the majority of its investor-owned commercial real estate portfolio, inclusive of construction loans, with a focus on criticized loans and loans with maturities in the next twelve months. The primary source of repayment of these loans is typically tenant lease payments to the investor/borrower. Vacancies, which have been influenced by certain demographic changes, and higher interest rates have contributed to lower current and anticipated future debt service coverage ratios, which has and could continue to influence the ability of borrowers to make existing loan payments. Lower debt service coverage ratios and reduced commercial real estate values also impact the ability of borrowers to refinance their obligations at loan maturity. As a result, criticized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0" w:name="page51"/>
    <w:bookmarkEnd w:id="50"/>
    <w:p>
      <w:pPr>
        <w:jc w:val="both"/>
        <w:spacing w:after="0" w:line="247" w:lineRule="auto"/>
        <w:rPr>
          <w:sz w:val="20"/>
          <w:szCs w:val="20"/>
          <w:color w:val="auto"/>
        </w:rPr>
      </w:pPr>
      <w:r>
        <w:rPr>
          <w:rFonts w:ascii="Times New Roman" w:cs="Times New Roman" w:eastAsia="Times New Roman" w:hAnsi="Times New Roman"/>
          <w:sz w:val="21"/>
          <w:szCs w:val="21"/>
          <w:color w:val="auto"/>
        </w:rPr>
        <w:t>investor-owned commercial real estate loans have remained elevated at $8.5 billion or 26% of such loans at March 31, 2024 and $8.8 billion or 27% of such loans at December 31, 2023. Investor-owned commercial real estate loans comprised 66% and 70% of total criticized loans at March 31, 2024 and December 31, 2023, respectively. The weighted-average LTV ratios for investor-owned commercial real estate loans was approximately 56% at each of March 31, 2024 and December 31, 2023. Criticized loans secured by investor-owned commercial real estate had a weighted-average LTV ratio of approximately 62% at March 31, 2024 and 61% at December 31, 2023.</w:t>
      </w:r>
    </w:p>
    <w:p>
      <w:pPr>
        <w:spacing w:after="0" w:line="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Company monitors its concentration of commercial real estate lending as a percentage of its Tier 1 capital plus its allowable allowance for credit losses, consistent with a metric utilized to differentiate such concentrations amongst regulated financial institutions. This metric, as prescribed in supervisory guidance, excludes loans secured by commercial real estate considered to be owner-occupied, but includes certain other loans, such as loans to real estate investment trusts, that are classified as commercial and industrial loans. The Company's commercial real estate loan concentration approximated 176% of Tier 1 capital plus its allowable allowance for credit losses at March 31, 2024, compared with 183% at December 31, 2023. The Company has reduced its relative concentration of investor-owned commercial real estate loans throughout 2023 and the first quarter of 2024.</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accompanying tables summarize the outstanding balances, and associated criticized balances, of commercial and industrial loans and leases by industry and commercial real estate loans by property type, respectively, at March 31, 2024 and December 31, 2023.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CRITICIZED COMMERCIAL AND INDUSTRIAL LOANS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7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Outstandin</w:t>
            </w:r>
          </w:p>
        </w:tc>
        <w:tc>
          <w:tcPr>
            <w:tcW w:w="260" w:type="dxa"/>
            <w:vAlign w:val="bottom"/>
          </w:tcPr>
          <w:p>
            <w:pPr>
              <w:spacing w:after="0"/>
              <w:rPr>
                <w:sz w:val="11"/>
                <w:szCs w:val="11"/>
                <w:color w:val="auto"/>
              </w:rPr>
            </w:pPr>
          </w:p>
        </w:tc>
        <w:tc>
          <w:tcPr>
            <w:tcW w:w="760" w:type="dxa"/>
            <w:vAlign w:val="bottom"/>
            <w:gridSpan w:val="2"/>
          </w:tcPr>
          <w:p>
            <w:pPr>
              <w:jc w:val="right"/>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Criticized</w:t>
            </w:r>
          </w:p>
        </w:tc>
        <w:tc>
          <w:tcPr>
            <w:tcW w:w="260" w:type="dxa"/>
            <w:vAlign w:val="bottom"/>
          </w:tcPr>
          <w:p>
            <w:pPr>
              <w:spacing w:after="0"/>
              <w:rPr>
                <w:sz w:val="11"/>
                <w:szCs w:val="11"/>
                <w:color w:val="auto"/>
              </w:rPr>
            </w:pPr>
          </w:p>
        </w:tc>
        <w:tc>
          <w:tcPr>
            <w:tcW w:w="780" w:type="dxa"/>
            <w:vAlign w:val="bottom"/>
            <w:gridSpan w:val="2"/>
          </w:tcPr>
          <w:p>
            <w:pPr>
              <w:jc w:val="right"/>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Criticized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168"/>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7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Outstandin</w:t>
            </w:r>
          </w:p>
        </w:tc>
        <w:tc>
          <w:tcPr>
            <w:tcW w:w="220" w:type="dxa"/>
            <w:vAlign w:val="bottom"/>
          </w:tcPr>
          <w:p>
            <w:pPr>
              <w:spacing w:after="0"/>
              <w:rPr>
                <w:sz w:val="11"/>
                <w:szCs w:val="11"/>
                <w:color w:val="auto"/>
              </w:rPr>
            </w:pPr>
          </w:p>
        </w:tc>
        <w:tc>
          <w:tcPr>
            <w:tcW w:w="740" w:type="dxa"/>
            <w:vAlign w:val="bottom"/>
            <w:gridSpan w:val="2"/>
          </w:tcPr>
          <w:p>
            <w:pPr>
              <w:jc w:val="right"/>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Criticized</w:t>
            </w:r>
          </w:p>
        </w:tc>
        <w:tc>
          <w:tcPr>
            <w:tcW w:w="240" w:type="dxa"/>
            <w:vAlign w:val="bottom"/>
          </w:tcPr>
          <w:p>
            <w:pPr>
              <w:spacing w:after="0"/>
              <w:rPr>
                <w:sz w:val="11"/>
                <w:szCs w:val="11"/>
                <w:color w:val="auto"/>
              </w:rPr>
            </w:pPr>
          </w:p>
        </w:tc>
        <w:tc>
          <w:tcPr>
            <w:tcW w:w="740" w:type="dxa"/>
            <w:vAlign w:val="bottom"/>
            <w:gridSpan w:val="2"/>
          </w:tcPr>
          <w:p>
            <w:pPr>
              <w:jc w:val="right"/>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Criticized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168"/>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5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26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40" w:type="dxa"/>
            <w:vAlign w:val="bottom"/>
          </w:tcPr>
          <w:p>
            <w:pPr>
              <w:spacing w:after="0"/>
              <w:rPr>
                <w:sz w:val="16"/>
                <w:szCs w:val="16"/>
                <w:color w:val="auto"/>
              </w:rPr>
            </w:pPr>
          </w:p>
        </w:tc>
        <w:tc>
          <w:tcPr>
            <w:tcW w:w="7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24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20" w:type="dxa"/>
            <w:vAlign w:val="bottom"/>
          </w:tcPr>
          <w:p>
            <w:pPr>
              <w:spacing w:after="0"/>
              <w:rPr>
                <w:sz w:val="16"/>
                <w:szCs w:val="16"/>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0" w:type="dxa"/>
            <w:vAlign w:val="bottom"/>
          </w:tcPr>
          <w:p>
            <w:pPr>
              <w:spacing w:after="0"/>
              <w:rPr>
                <w:sz w:val="1"/>
                <w:szCs w:val="1"/>
                <w:color w:val="auto"/>
              </w:rPr>
            </w:pPr>
          </w:p>
        </w:tc>
      </w:tr>
      <w:tr>
        <w:trPr>
          <w:trHeight w:val="133"/>
        </w:trPr>
        <w:tc>
          <w:tcPr>
            <w:tcW w:w="340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Commercial and industrial excluding</w:t>
            </w: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owner-occupied real estate by industry:</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Financial and insurance</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10,538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7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10,679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Services</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4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Motor vehicle and recreational</w:t>
            </w:r>
          </w:p>
        </w:tc>
        <w:tc>
          <w:tcPr>
            <w:tcW w:w="22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6,268</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finance dealers</w:t>
            </w:r>
          </w:p>
        </w:tc>
        <w:tc>
          <w:tcPr>
            <w:tcW w:w="22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Manufacturing</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Wholesale</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4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Transportation, communications,</w:t>
            </w:r>
          </w:p>
        </w:tc>
        <w:tc>
          <w:tcPr>
            <w:tcW w:w="2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3,525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3,342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utilities</w:t>
            </w: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Health services</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investors</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4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40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color w:val="auto"/>
              </w:rPr>
              <w:t>Total commercial and industrial</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47,959</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3,003</w:t>
            </w:r>
          </w:p>
        </w:tc>
        <w:tc>
          <w:tcPr>
            <w:tcW w:w="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3,706</w:t>
            </w:r>
          </w:p>
        </w:tc>
        <w:tc>
          <w:tcPr>
            <w:tcW w:w="4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47,104</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400" w:type="dxa"/>
            <w:vAlign w:val="bottom"/>
          </w:tcPr>
          <w:p>
            <w:pPr>
              <w:ind w:left="220"/>
              <w:spacing w:after="0" w:line="125" w:lineRule="exact"/>
              <w:rPr>
                <w:sz w:val="20"/>
                <w:szCs w:val="20"/>
                <w:color w:val="auto"/>
              </w:rPr>
            </w:pPr>
            <w:r>
              <w:rPr>
                <w:rFonts w:ascii="Times New Roman" w:cs="Times New Roman" w:eastAsia="Times New Roman" w:hAnsi="Times New Roman"/>
                <w:sz w:val="14"/>
                <w:szCs w:val="14"/>
                <w:color w:val="auto"/>
              </w:rPr>
              <w:t>excluding owner-occupied real estate</w:t>
            </w:r>
          </w:p>
        </w:tc>
        <w:tc>
          <w:tcPr>
            <w:tcW w:w="2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Owner-occupied real estate by industry:</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400" w:type="dxa"/>
            <w:vAlign w:val="bottom"/>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Motor vehicle and recreational</w:t>
            </w:r>
          </w:p>
        </w:tc>
        <w:tc>
          <w:tcPr>
            <w:tcW w:w="22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finance dealers</w:t>
            </w:r>
          </w:p>
        </w:tc>
        <w:tc>
          <w:tcPr>
            <w:tcW w:w="220" w:type="dxa"/>
            <w:vAlign w:val="bottom"/>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Retail</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Wholesale</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Manufacturing</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Real estate investors</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Health services</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6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4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owner-occupied real estate</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9,938</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0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57,897</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3,536</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864</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4,400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57,010</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3,089</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670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3,759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-1576705</wp:posOffset>
            </wp:positionV>
            <wp:extent cx="76835"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-1576705</wp:posOffset>
            </wp:positionV>
            <wp:extent cx="7747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-1576705</wp:posOffset>
            </wp:positionV>
            <wp:extent cx="7747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-1576705</wp:posOffset>
            </wp:positionV>
            <wp:extent cx="6858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-1576705</wp:posOffset>
            </wp:positionV>
            <wp:extent cx="6858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-1576705</wp:posOffset>
            </wp:positionV>
            <wp:extent cx="6858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-1576705</wp:posOffset>
            </wp:positionV>
            <wp:extent cx="6858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-264795</wp:posOffset>
            </wp:positionV>
            <wp:extent cx="76835"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-264795</wp:posOffset>
            </wp:positionV>
            <wp:extent cx="7747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-264795</wp:posOffset>
            </wp:positionV>
            <wp:extent cx="7747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-264795</wp:posOffset>
            </wp:positionV>
            <wp:extent cx="6858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-264795</wp:posOffset>
            </wp:positionV>
            <wp:extent cx="6858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-264795</wp:posOffset>
            </wp:positionV>
            <wp:extent cx="6858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-264795</wp:posOffset>
            </wp:positionV>
            <wp:extent cx="6858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-24765</wp:posOffset>
            </wp:positionV>
            <wp:extent cx="76835"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-7620</wp:posOffset>
            </wp:positionV>
            <wp:extent cx="7683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-24765</wp:posOffset>
            </wp:positionV>
            <wp:extent cx="7747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7747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7747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77470"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858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-24765</wp:posOffset>
            </wp:positionV>
            <wp:extent cx="6858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-7620</wp:posOffset>
            </wp:positionV>
            <wp:extent cx="6858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1"/>
          <w:szCs w:val="21"/>
          <w:color w:val="auto"/>
        </w:rPr>
        <w:t>CRITICIZED COMMERCIAL REAL ESTATE LOANS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3400" w:type="dxa"/>
            <w:vAlign w:val="bottom"/>
          </w:tcPr>
          <w:p>
            <w:pPr>
              <w:spacing w:after="0"/>
              <w:rPr>
                <w:sz w:val="11"/>
                <w:szCs w:val="11"/>
                <w:color w:val="auto"/>
              </w:rPr>
            </w:pPr>
          </w:p>
        </w:tc>
        <w:tc>
          <w:tcPr>
            <w:tcW w:w="7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Outstandin</w:t>
            </w:r>
          </w:p>
        </w:tc>
        <w:tc>
          <w:tcPr>
            <w:tcW w:w="260" w:type="dxa"/>
            <w:vAlign w:val="bottom"/>
          </w:tcPr>
          <w:p>
            <w:pPr>
              <w:spacing w:after="0"/>
              <w:rPr>
                <w:sz w:val="11"/>
                <w:szCs w:val="11"/>
                <w:color w:val="auto"/>
              </w:rPr>
            </w:pPr>
          </w:p>
        </w:tc>
        <w:tc>
          <w:tcPr>
            <w:tcW w:w="760" w:type="dxa"/>
            <w:vAlign w:val="bottom"/>
            <w:gridSpan w:val="2"/>
          </w:tcPr>
          <w:p>
            <w:pPr>
              <w:jc w:val="right"/>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Criticized</w:t>
            </w:r>
          </w:p>
        </w:tc>
        <w:tc>
          <w:tcPr>
            <w:tcW w:w="260" w:type="dxa"/>
            <w:vAlign w:val="bottom"/>
          </w:tcPr>
          <w:p>
            <w:pPr>
              <w:spacing w:after="0"/>
              <w:rPr>
                <w:sz w:val="11"/>
                <w:szCs w:val="11"/>
                <w:color w:val="auto"/>
              </w:rPr>
            </w:pPr>
          </w:p>
        </w:tc>
        <w:tc>
          <w:tcPr>
            <w:tcW w:w="780" w:type="dxa"/>
            <w:vAlign w:val="bottom"/>
            <w:gridSpan w:val="2"/>
          </w:tcPr>
          <w:p>
            <w:pPr>
              <w:jc w:val="right"/>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Criticized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168"/>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7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Outstandin</w:t>
            </w:r>
          </w:p>
        </w:tc>
        <w:tc>
          <w:tcPr>
            <w:tcW w:w="220" w:type="dxa"/>
            <w:vAlign w:val="bottom"/>
          </w:tcPr>
          <w:p>
            <w:pPr>
              <w:spacing w:after="0"/>
              <w:rPr>
                <w:sz w:val="11"/>
                <w:szCs w:val="11"/>
                <w:color w:val="auto"/>
              </w:rPr>
            </w:pPr>
          </w:p>
        </w:tc>
        <w:tc>
          <w:tcPr>
            <w:tcW w:w="740" w:type="dxa"/>
            <w:vAlign w:val="bottom"/>
            <w:gridSpan w:val="2"/>
          </w:tcPr>
          <w:p>
            <w:pPr>
              <w:jc w:val="right"/>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Criticized</w:t>
            </w:r>
          </w:p>
        </w:tc>
        <w:tc>
          <w:tcPr>
            <w:tcW w:w="240" w:type="dxa"/>
            <w:vAlign w:val="bottom"/>
          </w:tcPr>
          <w:p>
            <w:pPr>
              <w:spacing w:after="0"/>
              <w:rPr>
                <w:sz w:val="11"/>
                <w:szCs w:val="11"/>
                <w:color w:val="auto"/>
              </w:rPr>
            </w:pPr>
          </w:p>
        </w:tc>
        <w:tc>
          <w:tcPr>
            <w:tcW w:w="740" w:type="dxa"/>
            <w:vAlign w:val="bottom"/>
            <w:gridSpan w:val="2"/>
          </w:tcPr>
          <w:p>
            <w:pPr>
              <w:jc w:val="right"/>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Criticized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168"/>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r>
      <w:tr>
        <w:trPr>
          <w:trHeight w:val="187"/>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5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26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40" w:type="dxa"/>
            <w:vAlign w:val="bottom"/>
          </w:tcPr>
          <w:p>
            <w:pPr>
              <w:spacing w:after="0"/>
              <w:rPr>
                <w:sz w:val="16"/>
                <w:szCs w:val="16"/>
                <w:color w:val="auto"/>
              </w:rPr>
            </w:pPr>
          </w:p>
        </w:tc>
        <w:tc>
          <w:tcPr>
            <w:tcW w:w="7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Criticized</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24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20" w:type="dxa"/>
            <w:vAlign w:val="bottom"/>
          </w:tcPr>
          <w:p>
            <w:pPr>
              <w:spacing w:after="0"/>
              <w:rPr>
                <w:sz w:val="16"/>
                <w:szCs w:val="16"/>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Criticized</w:t>
            </w:r>
          </w:p>
        </w:tc>
      </w:tr>
      <w:tr>
        <w:trPr>
          <w:trHeight w:val="169"/>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Permanent finance by property type:</w:t>
            </w: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Apartments/Multifamily</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6,441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7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6,165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100" w:type="dxa"/>
            <w:vAlign w:val="bottom"/>
            <w:shd w:val="clear" w:color="auto" w:fill="CFF0FC"/>
          </w:tcPr>
          <w:p>
            <w:pPr>
              <w:spacing w:after="0"/>
              <w:rPr>
                <w:sz w:val="15"/>
                <w:szCs w:val="15"/>
                <w:color w:val="auto"/>
              </w:rPr>
            </w:pPr>
          </w:p>
        </w:tc>
      </w:tr>
      <w:tr>
        <w:trPr>
          <w:trHeight w:val="176"/>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Retail/Service</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tcPr>
          <w:p>
            <w:pPr>
              <w:spacing w:after="0"/>
              <w:rPr>
                <w:sz w:val="15"/>
                <w:szCs w:val="15"/>
                <w:color w:val="auto"/>
              </w:rPr>
            </w:pPr>
          </w:p>
        </w:tc>
      </w:tr>
      <w:tr>
        <w:trPr>
          <w:trHeight w:val="176"/>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Office</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4,599</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00" w:type="dxa"/>
            <w:vAlign w:val="bottom"/>
            <w:shd w:val="clear" w:color="auto" w:fill="CFF0FC"/>
          </w:tcPr>
          <w:p>
            <w:pPr>
              <w:spacing w:after="0"/>
              <w:rPr>
                <w:sz w:val="15"/>
                <w:szCs w:val="15"/>
                <w:color w:val="auto"/>
              </w:rPr>
            </w:pPr>
          </w:p>
        </w:tc>
      </w:tr>
      <w:tr>
        <w:trPr>
          <w:trHeight w:val="175"/>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Health services</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tcPr>
          <w:p>
            <w:pPr>
              <w:spacing w:after="0"/>
              <w:rPr>
                <w:sz w:val="15"/>
                <w:szCs w:val="15"/>
                <w:color w:val="auto"/>
              </w:rPr>
            </w:pPr>
          </w:p>
        </w:tc>
      </w:tr>
      <w:tr>
        <w:trPr>
          <w:trHeight w:val="176"/>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Hotel</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shd w:val="clear" w:color="auto" w:fill="CFF0FC"/>
          </w:tcPr>
          <w:p>
            <w:pPr>
              <w:spacing w:after="0"/>
              <w:rPr>
                <w:sz w:val="15"/>
                <w:szCs w:val="15"/>
                <w:color w:val="auto"/>
              </w:rPr>
            </w:pPr>
          </w:p>
        </w:tc>
      </w:tr>
      <w:tr>
        <w:trPr>
          <w:trHeight w:val="175"/>
        </w:trPr>
        <w:tc>
          <w:tcPr>
            <w:tcW w:w="3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Industrial/Warehouse</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5"/>
                <w:szCs w:val="15"/>
                <w:color w:val="auto"/>
              </w:rPr>
            </w:pPr>
          </w:p>
        </w:tc>
      </w:tr>
      <w:tr>
        <w:trPr>
          <w:trHeight w:val="176"/>
        </w:trPr>
        <w:tc>
          <w:tcPr>
            <w:tcW w:w="3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6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3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permanent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5,125</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25,277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6,119</w:t>
            </w:r>
          </w:p>
        </w:tc>
        <w:tc>
          <w:tcPr>
            <w:tcW w:w="100" w:type="dxa"/>
            <w:vAlign w:val="bottom"/>
          </w:tcPr>
          <w:p>
            <w:pPr>
              <w:spacing w:after="0"/>
              <w:rPr>
                <w:sz w:val="14"/>
                <w:szCs w:val="14"/>
                <w:color w:val="auto"/>
              </w:rPr>
            </w:pPr>
          </w:p>
        </w:tc>
      </w:tr>
      <w:tr>
        <w:trPr>
          <w:trHeight w:val="175"/>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Construction/Development</w:t>
            </w:r>
          </w:p>
        </w:tc>
        <w:tc>
          <w:tcPr>
            <w:tcW w:w="2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7,248</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26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2,563</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7,726</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34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32,416</w:t>
            </w:r>
          </w:p>
        </w:tc>
        <w:tc>
          <w:tcPr>
            <w:tcW w:w="3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7,544</w:t>
            </w:r>
          </w:p>
        </w:tc>
        <w:tc>
          <w:tcPr>
            <w:tcW w:w="70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999</w:t>
            </w:r>
          </w:p>
        </w:tc>
        <w:tc>
          <w:tcPr>
            <w:tcW w:w="4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8,543</w:t>
            </w:r>
          </w:p>
        </w:tc>
        <w:tc>
          <w:tcPr>
            <w:tcW w:w="440" w:type="dxa"/>
            <w:vAlign w:val="bottom"/>
            <w:gridSpan w:val="2"/>
          </w:tcPr>
          <w:p>
            <w:pPr>
              <w:ind w:left="2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33,003</w:t>
            </w:r>
          </w:p>
        </w:tc>
        <w:tc>
          <w:tcPr>
            <w:tcW w:w="3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7,777</w:t>
            </w:r>
          </w:p>
        </w:tc>
        <w:tc>
          <w:tcPr>
            <w:tcW w:w="480" w:type="dxa"/>
            <w:vAlign w:val="bottom"/>
            <w:gridSpan w:val="2"/>
          </w:tcPr>
          <w:p>
            <w:pPr>
              <w:ind w:left="2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1,043</w:t>
            </w:r>
          </w:p>
        </w:tc>
        <w:tc>
          <w:tcPr>
            <w:tcW w:w="3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8,820</w:t>
            </w:r>
          </w:p>
        </w:tc>
        <w:tc>
          <w:tcPr>
            <w:tcW w:w="100" w:type="dxa"/>
            <w:vAlign w:val="bottom"/>
          </w:tcPr>
          <w:p>
            <w:pPr>
              <w:spacing w:after="0"/>
              <w:rPr>
                <w:sz w:val="14"/>
                <w:szCs w:val="14"/>
                <w:color w:val="auto"/>
              </w:rPr>
            </w:pPr>
          </w:p>
        </w:tc>
      </w:tr>
      <w:tr>
        <w:trPr>
          <w:trHeight w:val="20"/>
        </w:trPr>
        <w:tc>
          <w:tcPr>
            <w:tcW w:w="3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-376555</wp:posOffset>
            </wp:positionV>
            <wp:extent cx="76835"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-376555</wp:posOffset>
            </wp:positionV>
            <wp:extent cx="7747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-376555</wp:posOffset>
            </wp:positionV>
            <wp:extent cx="7747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-376555</wp:posOffset>
            </wp:positionV>
            <wp:extent cx="6858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-376555</wp:posOffset>
            </wp:positionV>
            <wp:extent cx="6858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-376555</wp:posOffset>
            </wp:positionV>
            <wp:extent cx="6858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-376555</wp:posOffset>
            </wp:positionV>
            <wp:extent cx="6858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-145415</wp:posOffset>
            </wp:positionV>
            <wp:extent cx="7683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-145415</wp:posOffset>
            </wp:positionV>
            <wp:extent cx="7747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-145415</wp:posOffset>
            </wp:positionV>
            <wp:extent cx="7747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-145415</wp:posOffset>
            </wp:positionV>
            <wp:extent cx="6858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-145415</wp:posOffset>
            </wp:positionV>
            <wp:extent cx="6858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-145415</wp:posOffset>
            </wp:positionV>
            <wp:extent cx="6858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-145415</wp:posOffset>
            </wp:positionV>
            <wp:extent cx="6858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Total criticized commercial and industrial loans and commercial real estate loans were $12.9 billion and $12.6 billion at March 31, 2024 and December 31, 2023, respectively. Criticized loans represented 14.3% of the total commercial and industrial and commercial real estate loans at March 31, 2024, compared with 14.0% at December 31, 2023. At March 31, 2024 and December 31, 2023, permanent finance commercial real estate loans comprised 46% and 49% of total criticized loans, respectively, whereas commercial and industrial loans represented 34% and 30%, respectively, and construction loans represented 20% and 21%, respectively. Loans to nonautomotive finance dealers and manufacturing, wholesale and transportation companies mainly contributed to the $641 million increase in commercial and industrial criticized loans from December 31, 2023 to March 31, 2024.</w:t>
      </w:r>
    </w:p>
    <w:p>
      <w:pPr>
        <w:spacing w:after="0" w:line="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Company’s loss identification and estimation techniques with respect to loans secured by residential real estate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Limited documentation first lien mortgage loans represent loans secured by residential real estate that at origination typically included some form of limited borrower documentation requirements as compared with more traditional loans. The Company no longer originates limited documentation loans. With respect to junior lien loans, to the extent known by the Company, if a related senior lien loan would be on nonaccrual status because of payment delinquency, even if such senior lien loan was not owned by the Company, the junior lien loan or line that is owned by the Company is placed on nonaccrual status.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charge-off and for purposes of determining the allowance for credit losses, the Company considers the required repayment of any first lien positions related to collateral property. Information about the location of loans secured by residential real estate is presented in the following table.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1"/>
          <w:szCs w:val="21"/>
          <w:color w:val="auto"/>
        </w:rPr>
        <w:t>NONACCRUAL LOANS SECURED BY RESIDENTIAL REAL ESTATE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w w:val="98"/>
              </w:rPr>
              <w:t>Nonaccrual</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Percent of</w:t>
            </w:r>
          </w:p>
        </w:tc>
        <w:tc>
          <w:tcPr>
            <w:tcW w:w="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0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24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60" w:type="dxa"/>
            <w:vAlign w:val="bottom"/>
          </w:tcPr>
          <w:p>
            <w:pPr>
              <w:spacing w:after="0"/>
              <w:rPr>
                <w:sz w:val="21"/>
                <w:szCs w:val="21"/>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9"/>
              </w:rPr>
              <w:t>Balances</w:t>
            </w:r>
          </w:p>
        </w:tc>
        <w:tc>
          <w:tcPr>
            <w:tcW w:w="100" w:type="dxa"/>
            <w:vAlign w:val="bottom"/>
          </w:tcPr>
          <w:p>
            <w:pPr>
              <w:spacing w:after="0"/>
              <w:rPr>
                <w:sz w:val="21"/>
                <w:szCs w:val="21"/>
                <w:color w:val="auto"/>
              </w:rPr>
            </w:pPr>
          </w:p>
        </w:tc>
        <w:tc>
          <w:tcPr>
            <w:tcW w:w="1820" w:type="dxa"/>
            <w:vAlign w:val="bottom"/>
            <w:gridSpan w:val="3"/>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w w:val="99"/>
              </w:rPr>
              <w:t>Balances</w:t>
            </w:r>
          </w:p>
        </w:tc>
        <w:tc>
          <w:tcPr>
            <w:tcW w:w="12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Balances</w:t>
            </w:r>
          </w:p>
        </w:tc>
        <w:tc>
          <w:tcPr>
            <w:tcW w:w="0" w:type="dxa"/>
            <w:vAlign w:val="bottom"/>
          </w:tcPr>
          <w:p>
            <w:pPr>
              <w:spacing w:after="0"/>
              <w:rPr>
                <w:sz w:val="1"/>
                <w:szCs w:val="1"/>
                <w:color w:val="auto"/>
              </w:rPr>
            </w:pPr>
          </w:p>
        </w:tc>
      </w:tr>
      <w:tr>
        <w:trPr>
          <w:trHeight w:val="20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New York</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6,625</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0" w:type="dxa"/>
            <w:vAlign w:val="bottom"/>
          </w:tcPr>
          <w:p>
            <w:pPr>
              <w:spacing w:after="0"/>
              <w:rPr>
                <w:sz w:val="1"/>
                <w:szCs w:val="1"/>
                <w:color w:val="auto"/>
              </w:rPr>
            </w:pPr>
          </w:p>
        </w:tc>
      </w:tr>
      <w:tr>
        <w:trPr>
          <w:trHeight w:val="239"/>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Mid-Atlantic (a)</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New England (b)</w:t>
            </w: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6,010</w:t>
            </w: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2,952</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22,192</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Limited documentation first lien mortgage loans: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New York</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5.81 %</w:t>
            </w:r>
          </w:p>
        </w:tc>
        <w:tc>
          <w:tcPr>
            <w:tcW w:w="0" w:type="dxa"/>
            <w:vAlign w:val="bottom"/>
          </w:tcPr>
          <w:p>
            <w:pPr>
              <w:spacing w:after="0"/>
              <w:rPr>
                <w:sz w:val="1"/>
                <w:szCs w:val="1"/>
                <w:color w:val="auto"/>
              </w:rPr>
            </w:pPr>
          </w:p>
        </w:tc>
      </w:tr>
      <w:tr>
        <w:trPr>
          <w:trHeight w:val="239"/>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Mid-Atlantic (a)</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New England (b)</w:t>
            </w: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6.00 %</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First lien home equity loans and lines of credit: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New York</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0" w:type="dxa"/>
            <w:vAlign w:val="bottom"/>
          </w:tcPr>
          <w:p>
            <w:pPr>
              <w:spacing w:after="0"/>
              <w:rPr>
                <w:sz w:val="1"/>
                <w:szCs w:val="1"/>
                <w:color w:val="auto"/>
              </w:rPr>
            </w:pPr>
          </w:p>
        </w:tc>
      </w:tr>
      <w:tr>
        <w:trPr>
          <w:trHeight w:val="239"/>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Mid-Atlantic (a)</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New England (b)</w:t>
            </w: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Junior lien home equity loans and lines of credit: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New York</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0" w:type="dxa"/>
            <w:vAlign w:val="bottom"/>
          </w:tcPr>
          <w:p>
            <w:pPr>
              <w:spacing w:after="0"/>
              <w:rPr>
                <w:sz w:val="1"/>
                <w:szCs w:val="1"/>
                <w:color w:val="auto"/>
              </w:rPr>
            </w:pPr>
          </w:p>
        </w:tc>
      </w:tr>
      <w:tr>
        <w:trPr>
          <w:trHeight w:val="239"/>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Mid-Atlantic (a)</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New England (b)</w:t>
            </w: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3000" w:type="dxa"/>
            <w:vAlign w:val="bottom"/>
            <w:tcBorders>
              <w:bottom w:val="single" w:sz="8" w:color="auto"/>
            </w:tcBorders>
          </w:tcPr>
          <w:p>
            <w:pPr>
              <w:spacing w:after="0"/>
              <w:rPr>
                <w:sz w:val="3"/>
                <w:szCs w:val="3"/>
                <w:color w:val="auto"/>
              </w:rPr>
            </w:pPr>
          </w:p>
        </w:tc>
        <w:tc>
          <w:tcPr>
            <w:tcW w:w="3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-3531235</wp:posOffset>
            </wp:positionV>
            <wp:extent cx="7132320" cy="14605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-2622550</wp:posOffset>
            </wp:positionV>
            <wp:extent cx="7132320" cy="14605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14605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4605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-2939415</wp:posOffset>
            </wp:positionV>
            <wp:extent cx="7132320" cy="17145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-2030730</wp:posOffset>
            </wp:positionV>
            <wp:extent cx="7132320" cy="17145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17145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7145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520" w:hanging="512"/>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Includes Delaware, Maryland, New Jersey, Pennsylvania, Virginia, West Virginia and the District of Columbia.</w:t>
      </w:r>
    </w:p>
    <w:p>
      <w:pPr>
        <w:spacing w:after="0" w:line="29"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Includes Connecticut, Maine, Massachusetts, New Hampshire, Rhode Island and Vermont.</w:t>
      </w:r>
    </w:p>
    <w:p>
      <w:pPr>
        <w:spacing w:after="0" w:line="100"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1"/>
          <w:szCs w:val="21"/>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76" w:lineRule="exact"/>
        <w:rPr>
          <w:sz w:val="20"/>
          <w:szCs w:val="20"/>
          <w:color w:val="auto"/>
        </w:rPr>
      </w:pPr>
    </w:p>
    <w:p>
      <w:pPr>
        <w:ind w:right="2100"/>
        <w:spacing w:after="0" w:line="308" w:lineRule="auto"/>
        <w:rPr>
          <w:sz w:val="20"/>
          <w:szCs w:val="20"/>
          <w:color w:val="auto"/>
        </w:rPr>
      </w:pPr>
      <w:r>
        <w:rPr>
          <w:rFonts w:ascii="Times New Roman" w:cs="Times New Roman" w:eastAsia="Times New Roman" w:hAnsi="Times New Roman"/>
          <w:sz w:val="21"/>
          <w:szCs w:val="21"/>
          <w:color w:val="auto"/>
        </w:rPr>
        <w:t>A comparative summary of consumer loans in nonaccrual status by product is presented in the following table. NONACCRUAL CONSUMER LOANS</w:t>
      </w:r>
    </w:p>
    <w:tbl>
      <w:tblPr>
        <w:tblLayout w:type="fixed"/>
        <w:tblInd w:w="0" w:type="dxa"/>
        <w:tblCellMar>
          <w:top w:w="0" w:type="dxa"/>
          <w:left w:w="0" w:type="dxa"/>
          <w:bottom w:w="0" w:type="dxa"/>
          <w:right w:w="0" w:type="dxa"/>
        </w:tblCellMar>
      </w:tblPr>
      <w:tr>
        <w:trPr>
          <w:trHeight w:val="169"/>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4"/>
                <w:szCs w:val="14"/>
                <w:color w:val="auto"/>
              </w:rPr>
            </w:pPr>
          </w:p>
        </w:tc>
      </w:tr>
      <w:tr>
        <w:trPr>
          <w:trHeight w:val="23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4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20"/>
                <w:szCs w:val="20"/>
                <w:color w:val="auto"/>
              </w:rPr>
            </w:pP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Recreational finance</w:t>
            </w:r>
          </w:p>
        </w:tc>
        <w:tc>
          <w:tcPr>
            <w:tcW w:w="4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r>
      <w:tr>
        <w:trPr>
          <w:trHeight w:val="24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Automobile</w:t>
            </w:r>
          </w:p>
        </w:tc>
        <w:tc>
          <w:tcPr>
            <w:tcW w:w="4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1"/>
                <w:szCs w:val="21"/>
                <w:color w:val="auto"/>
              </w:rPr>
            </w:pP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r>
      <w:tr>
        <w:trPr>
          <w:trHeight w:val="27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FF0FC"/>
          </w:tcPr>
          <w:p>
            <w:pPr>
              <w:spacing w:after="0"/>
              <w:rPr>
                <w:sz w:val="24"/>
                <w:szCs w:val="24"/>
                <w:color w:val="auto"/>
              </w:rPr>
            </w:pPr>
          </w:p>
        </w:tc>
      </w:tr>
      <w:tr>
        <w:trPr>
          <w:trHeight w:val="633"/>
        </w:trPr>
        <w:tc>
          <w:tcPr>
            <w:tcW w:w="3740" w:type="dxa"/>
            <w:vAlign w:val="bottom"/>
            <w:tcBorders>
              <w:top w:val="single" w:sz="8" w:color="CFF0FC"/>
            </w:tcBorders>
          </w:tcPr>
          <w:p>
            <w:pPr>
              <w:spacing w:after="0"/>
              <w:rPr>
                <w:sz w:val="24"/>
                <w:szCs w:val="24"/>
                <w:color w:val="auto"/>
              </w:rPr>
            </w:pPr>
          </w:p>
        </w:tc>
        <w:tc>
          <w:tcPr>
            <w:tcW w:w="4040" w:type="dxa"/>
            <w:vAlign w:val="bottom"/>
            <w:tcBorders>
              <w:top w:val="single" w:sz="8" w:color="CFF0FC"/>
            </w:tcBorders>
          </w:tcPr>
          <w:p>
            <w:pPr>
              <w:jc w:val="right"/>
              <w:ind w:right="1870"/>
              <w:spacing w:after="0"/>
              <w:rPr>
                <w:sz w:val="20"/>
                <w:szCs w:val="20"/>
                <w:color w:val="auto"/>
              </w:rPr>
            </w:pPr>
            <w:r>
              <w:rPr>
                <w:rFonts w:ascii="Times New Roman" w:cs="Times New Roman" w:eastAsia="Times New Roman" w:hAnsi="Times New Roman"/>
                <w:sz w:val="18"/>
                <w:szCs w:val="18"/>
                <w:color w:val="auto"/>
              </w:rPr>
              <w:t>- 53 -</w:t>
            </w: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-933450</wp:posOffset>
            </wp:positionV>
            <wp:extent cx="6858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-916305</wp:posOffset>
            </wp:positionV>
            <wp:extent cx="6858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1092"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1"/>
          <w:szCs w:val="21"/>
          <w:b w:val="1"/>
          <w:bCs w:val="1"/>
          <w:i w:val="1"/>
          <w:iCs w:val="1"/>
          <w:color w:val="auto"/>
        </w:rPr>
        <w:t>Allowance for Credit Losses</w:t>
      </w:r>
    </w:p>
    <w:p>
      <w:pPr>
        <w:spacing w:after="0" w:line="114"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21"/>
          <w:szCs w:val="21"/>
          <w:color w:val="auto"/>
        </w:rPr>
        <w:t>Management determines the allowance for credit losses under accounting guidance that requires estimating the amount of current expected credit losses over the remaining contractual term of the loan and lease portfolio. A description of the methodologies used by the Company to estimate its allowance for credit losses can be found in note 4 of Notes to Financial Statements.</w:t>
      </w:r>
    </w:p>
    <w:p>
      <w:pPr>
        <w:spacing w:after="0" w:line="67"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1"/>
          <w:szCs w:val="21"/>
          <w:color w:val="auto"/>
        </w:rPr>
        <w:t>In establishing the allowance for credit losses, the Company estimates losses attributable to specific troubled credits identified through both normal and targeted credit review processes and also estimates losses for other loans and leases with similar risk characteristics on a collective basis. For purposes of determining the level of the allowance for credit losses, the Company evaluates its loan and lease portfolio by type. At the time of the Company’s analysis regarding the determination of the allowance for credit losses as of March 31, 2024 concerns existed about elevated levels of inflation; potential liquidity shortages and tightening credit in the financial services markets; a slowing economy or possible recession during the remainder of 2024; the volatile nature of global markets and international economic conditions that could impact the U.S. economy; Federal Reserve positioning of monetary policy; downward pressures on commercial and residential real estate values especially in the office, retail and healthcare sectors; higher interest rates and wage pressures impacting commercial borrowers, including nonautomotive finance dealers; the extent to which borrowers, in particular commercial real estate borrowers, may be negatively affected by general economic conditions; and continued stagnant population and economic growth in the upstate New York and central Pennsylvania regions (approximately 37% of the Company’s loans and leases are to customers in New York State and Pennsylvania) that historically lag other regions of the country.</w:t>
      </w:r>
    </w:p>
    <w:p>
      <w:pPr>
        <w:spacing w:after="0" w:line="78"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1"/>
          <w:szCs w:val="21"/>
          <w:color w:val="auto"/>
        </w:rPr>
        <w:t>The Company generally estimates current expected credit losses on loans with similar risk characteristics on a collective basis. To estimate expected losses, the Company utilizes statistically developed models to project principal balances over the remaining contractual lives of the loan portfolios and determine estimated credit losses through a reasonable and supportable forecast period. The Company’s approach for estimating current expected credit losses for loans and leases at March 31, 2024 and December 31, 2023 included utilizing macroeconomic assumptions to project losses over a two-year reasonable and supportable forecast period. Subsequent to the forecast period, the Company reverted to longer-term historical loss experience, over a period of one year, to estimate expected credit losses over the remaining contractual life. Forward-looking estimates of certain macroeconomic variables are determined by the M&amp;T Scenario Review Committee, which is comprised of senior management business leaders and economists. The assumptions utilized as of March 31, 2024 and December 31, 2023 are presented in the following table and were based on information available at or near the time the Company was preparing its estimate of expected credit losses as of those dates.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ALLOWANCE FOR CREDIT LOSSES MACROECONOMIC ASSUMPTIONS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1"/>
        </w:trPr>
        <w:tc>
          <w:tcPr>
            <w:tcW w:w="4440" w:type="dxa"/>
            <w:vAlign w:val="bottom"/>
          </w:tcPr>
          <w:p>
            <w:pPr>
              <w:spacing w:after="0"/>
              <w:rPr>
                <w:sz w:val="19"/>
                <w:szCs w:val="19"/>
                <w:color w:val="auto"/>
              </w:rPr>
            </w:pPr>
          </w:p>
        </w:tc>
        <w:tc>
          <w:tcPr>
            <w:tcW w:w="9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2</w:t>
            </w: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Cumulative</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1</w:t>
            </w: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2</w:t>
            </w: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Cumulative</w:t>
            </w:r>
          </w:p>
        </w:tc>
        <w:tc>
          <w:tcPr>
            <w:tcW w:w="140" w:type="dxa"/>
            <w:vAlign w:val="bottom"/>
            <w:gridSpan w:val="2"/>
          </w:tcPr>
          <w:p>
            <w:pPr>
              <w:spacing w:after="0"/>
              <w:rPr>
                <w:sz w:val="19"/>
                <w:szCs w:val="19"/>
                <w:color w:val="auto"/>
              </w:rPr>
            </w:pPr>
          </w:p>
        </w:tc>
      </w:tr>
      <w:tr>
        <w:trPr>
          <w:trHeight w:val="24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National unemployment rate</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4.4 %</w:t>
            </w:r>
          </w:p>
        </w:tc>
        <w:tc>
          <w:tcPr>
            <w:tcW w:w="12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4.7 %</w:t>
            </w: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4.7 %</w:t>
            </w: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GDP growth rate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15"/>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price</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4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index growth/decline rate</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11"/>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price index growth/</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decline rate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02"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21"/>
          <w:szCs w:val="21"/>
          <w:color w:val="auto"/>
        </w:rPr>
        <w:t>In establishing the allowance for credit losses, the Company also considers the impact of portfolio concentrations, imprecision in economic forecasts, geopolitical conditions and other risk factors that influence the loss estimation process. With respect to economic forecasts, the Company assessed the likelihood of alternative economic scenarios during the two-year reasonable and supportable time period. Generally, an increase in unemployment rate or a decrease in any of the rate of change in GDP, commercial real estate prices or home prices could have an adverse impact on expected credit losses and may result in an increase to the allowance for credit losses. Forward-looking economic forecasts are subject to inherent imprecision and future events may differ materially from forecasted events. In consideration of such uncertainty, the following alternative economic scenarios were considered to estimate the possible impact on modeled credit losses.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88"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1"/>
          <w:szCs w:val="21"/>
          <w:color w:val="auto"/>
        </w:rPr>
        <w:t>ALLOWANCE FOR CREDIT LOSSES SENSITIVITIES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460" w:type="dxa"/>
            <w:vAlign w:val="bottom"/>
          </w:tcPr>
          <w:p>
            <w:pPr>
              <w:spacing w:after="0"/>
              <w:rPr>
                <w:sz w:val="20"/>
                <w:szCs w:val="20"/>
                <w:color w:val="auto"/>
              </w:rPr>
            </w:pPr>
          </w:p>
        </w:tc>
        <w:tc>
          <w:tcPr>
            <w:tcW w:w="9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97"/>
              </w:rPr>
              <w:t>Year 1</w:t>
            </w:r>
          </w:p>
        </w:tc>
        <w:tc>
          <w:tcPr>
            <w:tcW w:w="4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7"/>
              </w:rPr>
              <w:t>Year 2</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160" w:type="dxa"/>
            <w:vAlign w:val="bottom"/>
            <w:gridSpan w:val="2"/>
          </w:tcPr>
          <w:p>
            <w:pPr>
              <w:spacing w:after="0"/>
              <w:rPr>
                <w:sz w:val="20"/>
                <w:szCs w:val="20"/>
                <w:color w:val="auto"/>
              </w:rPr>
            </w:pPr>
          </w:p>
        </w:tc>
      </w:tr>
      <w:tr>
        <w:trPr>
          <w:trHeight w:val="232"/>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Potential downside economic scenario:</w:t>
            </w: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7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National unemployment rate</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6.5 %</w:t>
            </w:r>
          </w:p>
        </w:tc>
        <w:tc>
          <w:tcPr>
            <w:tcW w:w="980" w:type="dxa"/>
            <w:vAlign w:val="bottom"/>
            <w:shd w:val="clear" w:color="auto" w:fill="CFF0FC"/>
          </w:tcPr>
          <w:p>
            <w:pPr>
              <w:spacing w:after="0"/>
              <w:rPr>
                <w:sz w:val="21"/>
                <w:szCs w:val="21"/>
                <w:color w:val="auto"/>
              </w:rPr>
            </w:pPr>
          </w:p>
        </w:tc>
        <w:tc>
          <w:tcPr>
            <w:tcW w:w="680" w:type="dxa"/>
            <w:vAlign w:val="bottom"/>
            <w:gridSpan w:val="3"/>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7.4 %</w:t>
            </w: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Real GDP growth/decline rate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7"/>
        </w:trPr>
        <w:tc>
          <w:tcPr>
            <w:tcW w:w="7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real estate price index decline rate</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Home price index growth/decline rate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Potential upside economic scenario:</w:t>
            </w:r>
          </w:p>
        </w:tc>
        <w:tc>
          <w:tcPr>
            <w:tcW w:w="4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National unemployment rate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Real GDP growth rate</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Commercial real estate price index growth/decline rate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Home price index growth rate</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367"/>
        </w:trPr>
        <w:tc>
          <w:tcPr>
            <w:tcW w:w="6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Impact to Modeled Credit</w:t>
            </w:r>
          </w:p>
        </w:tc>
      </w:tr>
      <w:tr>
        <w:trPr>
          <w:trHeight w:val="149"/>
        </w:trPr>
        <w:tc>
          <w:tcPr>
            <w:tcW w:w="6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r>
      <w:tr>
        <w:trPr>
          <w:trHeight w:val="187"/>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60" w:type="dxa"/>
            <w:vAlign w:val="bottom"/>
            <w:gridSpan w:val="2"/>
          </w:tcPr>
          <w:p>
            <w:pPr>
              <w:spacing w:after="0"/>
              <w:rPr>
                <w:sz w:val="16"/>
                <w:szCs w:val="16"/>
                <w:color w:val="auto"/>
              </w:rPr>
            </w:pPr>
          </w:p>
        </w:tc>
      </w:tr>
      <w:tr>
        <w:trPr>
          <w:trHeight w:val="237"/>
        </w:trPr>
        <w:tc>
          <w:tcPr>
            <w:tcW w:w="7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Potential downside economic scenario</w:t>
            </w:r>
          </w:p>
        </w:tc>
        <w:tc>
          <w:tcPr>
            <w:tcW w:w="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Potential upside economic scenario</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(170 )</w:t>
            </w:r>
          </w:p>
        </w:tc>
        <w:tc>
          <w:tcPr>
            <w:tcW w:w="60" w:type="dxa"/>
            <w:vAlign w:val="bottom"/>
          </w:tcPr>
          <w:p>
            <w:pPr>
              <w:spacing w:after="0"/>
              <w:rPr>
                <w:sz w:val="20"/>
                <w:szCs w:val="20"/>
                <w:color w:val="auto"/>
              </w:rPr>
            </w:pPr>
          </w:p>
        </w:tc>
      </w:tr>
    </w:tbl>
    <w:p>
      <w:pPr>
        <w:spacing w:after="0" w:line="97"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21"/>
          <w:szCs w:val="21"/>
          <w:color w:val="auto"/>
        </w:rPr>
        <w:t>These examples are only a few of the numerous possible economic scenarios that could be utilized in assessing the sensitivity of expected credit losses. The estimated impacts on credit losses in such scenarios pertain only to modeled credit losses and do not include consideration of other factors the Company may evaluate when determining its allowance for credit losses. As a result, it is possible that the Company may, at another point in time, reach different conclusions regarding credit loss estimates. The Company’s process for determining the allowance for credit losses undergoes quarterly and periodic evaluations by independent risk management personnel, which among many other considerations, evaluate the reasonableness of management’s methodology and significant assumptions. Further information about the Company’s methodology to estimate expected credit losses is included in note 4 of Notes to Financial Statements.</w:t>
      </w:r>
    </w:p>
    <w:p>
      <w:pPr>
        <w:spacing w:after="0" w:line="80"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1"/>
          <w:szCs w:val="21"/>
          <w:color w:val="auto"/>
        </w:rPr>
        <w:t>Management has assessed that the allowance for credit losses at March 31, 2024 appropriately reflected expected credit losses inherent in the portfolio as of that date. The allowance for credit losses totaled $2.2 billion at March 31, 2024, compared with $2.1 billion at December 31, 2023. As a percentage of loans outstanding, the allowance was 1.62% at March 31, 2024 and 1.59% at December 31, 2023. The increase in the allowance for credit losses as a percentage of loans and leases outstanding reflects a higher level of credit losses expected on certain commercial borrowers, including nonautomotive dealers and healthcare facilities. Included in the allocation of the allowance for credit losses were reserves for loans secured by office properties of 4.37% at each of March 31, 2024 and December 31, 2023. The level of the allowance reflects management’s evaluation of the loan and lease portfolio using the methodology and considering the factors as described herein. Should the various economic forecasts and credit factors considered by management in establishing the allowance for credit losses change and should management’s assessment of losses in the loan portfolio also change, the level of the allowance as a percentage of loans could increase or decrease in future periods. The reported level of the allowance reflects management’s evaluation of the loan and lease portfolio as of each respective date. Furthermore, the Company's allowance is general in nature and is available to absorb losses from any loan or lease category.</w:t>
      </w:r>
    </w:p>
    <w:p>
      <w:pPr>
        <w:spacing w:after="0" w:line="78" w:lineRule="exact"/>
        <w:rPr>
          <w:sz w:val="20"/>
          <w:szCs w:val="20"/>
          <w:color w:val="auto"/>
        </w:rPr>
      </w:pPr>
    </w:p>
    <w:p>
      <w:pPr>
        <w:jc w:val="both"/>
        <w:ind w:right="60"/>
        <w:spacing w:after="0" w:line="248" w:lineRule="auto"/>
        <w:rPr>
          <w:sz w:val="20"/>
          <w:szCs w:val="20"/>
          <w:color w:val="auto"/>
        </w:rPr>
      </w:pPr>
      <w:r>
        <w:rPr>
          <w:rFonts w:ascii="Times New Roman" w:cs="Times New Roman" w:eastAsia="Times New Roman" w:hAnsi="Times New Roman"/>
          <w:sz w:val="21"/>
          <w:szCs w:val="21"/>
          <w:color w:val="auto"/>
        </w:rPr>
        <w:t>The ratio of the allowance for credit losses to total nonaccrual loans at March 31, 2024 and December 31, 2023 was 95% and 98%, respectively. Given the Company’s general position as a secured lender and its practice of charging off loan balances when collection is deemed doubtful, that ratio and changes in the ratio are generally not an indicative measure of the adequacy of the Company’s allowance for credit losses, nor does management rely upon that ratio in assessing the adequacy of the Company’s allowance for credit losses.</w:t>
      </w:r>
    </w:p>
    <w:p>
      <w:pPr>
        <w:spacing w:after="0" w:line="1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2" w:right="2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1"/>
          <w:szCs w:val="21"/>
          <w:b w:val="1"/>
          <w:bCs w:val="1"/>
          <w:color w:val="auto"/>
        </w:rPr>
        <w:t>Other Income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components of other income are presented in the accompanying table.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INCOME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0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960" w:type="dxa"/>
            <w:vAlign w:val="bottom"/>
            <w:gridSpan w:val="2"/>
          </w:tcPr>
          <w:p>
            <w:pPr>
              <w:jc w:val="right"/>
              <w:ind w:right="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10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8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Mortgage banking 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94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5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-7 %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4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80" w:type="dxa"/>
            <w:vAlign w:val="bottom"/>
            <w:tcBorders>
              <w:right w:val="single" w:sz="8" w:color="CFF0FC"/>
            </w:tcBorders>
            <w:shd w:val="clear" w:color="auto" w:fill="CFF0FC"/>
          </w:tcPr>
          <w:p>
            <w:pPr>
              <w:spacing w:after="0"/>
              <w:rPr>
                <w:sz w:val="14"/>
                <w:szCs w:val="14"/>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Trust income</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(34 )</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Brokerage services income</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6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Trading account and other non-hedging</w:t>
            </w:r>
          </w:p>
        </w:tc>
        <w:tc>
          <w:tcPr>
            <w:tcW w:w="1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(3 )</w:t>
            </w: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derivative gains</w:t>
            </w:r>
          </w:p>
        </w:tc>
        <w:tc>
          <w:tcPr>
            <w:tcW w:w="12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tcBorders>
              <w:right w:val="single" w:sz="8" w:color="CFF0FC"/>
            </w:tcBorders>
            <w:gridSpan w:val="2"/>
            <w:vMerge w:val="continue"/>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on bank investment securities</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revenues from operations</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2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(7 )</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other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260" w:type="dxa"/>
            <w:vAlign w:val="bottom"/>
          </w:tcPr>
          <w:p>
            <w:pPr>
              <w:spacing w:after="0"/>
              <w:rPr>
                <w:sz w:val="19"/>
                <w:szCs w:val="19"/>
                <w:color w:val="auto"/>
              </w:rPr>
            </w:pPr>
          </w:p>
        </w:tc>
        <w:tc>
          <w:tcPr>
            <w:tcW w:w="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28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40"/>
              <w:spacing w:after="0" w:line="223"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5"/>
                <w:szCs w:val="25"/>
                <w:color w:val="auto"/>
                <w:vertAlign w:val="subscript"/>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4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-179070</wp:posOffset>
            </wp:positionV>
            <wp:extent cx="76835"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-179070</wp:posOffset>
            </wp:positionV>
            <wp:extent cx="7747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-179070</wp:posOffset>
            </wp:positionV>
            <wp:extent cx="7747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-179070</wp:posOffset>
            </wp:positionV>
            <wp:extent cx="6858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-179070</wp:posOffset>
            </wp:positionV>
            <wp:extent cx="6858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-179070</wp:posOffset>
            </wp:positionV>
            <wp:extent cx="6858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-179070</wp:posOffset>
            </wp:positionV>
            <wp:extent cx="6858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Mortgage banking revenues</w:t>
      </w:r>
    </w:p>
    <w:p>
      <w:pPr>
        <w:spacing w:after="0" w:line="11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1"/>
          <w:szCs w:val="21"/>
          <w:color w:val="auto"/>
        </w:rPr>
        <w:t>Mortgage banking revenues are comprised of both residential and commercial mortgage banking activities, which consist of realized gains and losses from sales of real estate loans and loan servicing rights, unrealized gains and losses on real estate loans held for sale and related commitments, real estate loan servicing fees, and other real estate loan related fees and income. The Company's involvement in commercial mortgage banking activities includes the origination, sales and servicing of loans under the multifamily loan programs of Fannie Mae, Freddie Mac, and the U.S. Department of Housing and Urban Development.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RESIDENTIAL MORTGAGE BANKING ACTIVITIES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8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9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6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6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mortgage banking revenues</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Gains on loans originated for sale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servicing fees</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Loan sub-servicing and other fees</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4"/>
                <w:szCs w:val="14"/>
                <w:color w:val="auto"/>
              </w:rPr>
              <w:t>Total loan servicing revenues</w:t>
            </w: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40" w:type="dxa"/>
            <w:vAlign w:val="bottom"/>
            <w:tcBorders>
              <w:top w:val="single" w:sz="8" w:color="CFF0FC"/>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Borders>
              <w:top w:val="single" w:sz="8" w:color="CFF0FC"/>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60" w:type="dxa"/>
            <w:vAlign w:val="bottom"/>
            <w:tcBorders>
              <w:top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Borders>
              <w:top w:val="single" w:sz="8" w:color="CFF0FC"/>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top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Total residential mortgage banking 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5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commitments to originate loans for sale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4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5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-384810</wp:posOffset>
            </wp:positionV>
            <wp:extent cx="76835"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-384810</wp:posOffset>
            </wp:positionV>
            <wp:extent cx="7747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-384810</wp:posOffset>
            </wp:positionV>
            <wp:extent cx="6858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-384810</wp:posOffset>
            </wp:positionV>
            <wp:extent cx="6858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-384810</wp:posOffset>
            </wp:positionV>
            <wp:extent cx="6858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-384810</wp:posOffset>
            </wp:positionV>
            <wp:extent cx="6858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-384810</wp:posOffset>
            </wp:positionV>
            <wp:extent cx="6858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-144780</wp:posOffset>
            </wp:positionV>
            <wp:extent cx="7683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-127635</wp:posOffset>
            </wp:positionV>
            <wp:extent cx="76835"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-144780</wp:posOffset>
            </wp:positionV>
            <wp:extent cx="7747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-127635</wp:posOffset>
            </wp:positionV>
            <wp:extent cx="7747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-144780</wp:posOffset>
            </wp:positionV>
            <wp:extent cx="6858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-127635</wp:posOffset>
            </wp:positionV>
            <wp:extent cx="6858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-144780</wp:posOffset>
            </wp:positionV>
            <wp:extent cx="6858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-127635</wp:posOffset>
            </wp:positionV>
            <wp:extent cx="6858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-144780</wp:posOffset>
            </wp:positionV>
            <wp:extent cx="6858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-127635</wp:posOffset>
            </wp:positionV>
            <wp:extent cx="6858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-144780</wp:posOffset>
            </wp:positionV>
            <wp:extent cx="6858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-127635</wp:posOffset>
            </wp:positionV>
            <wp:extent cx="6858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-144780</wp:posOffset>
            </wp:positionV>
            <wp:extent cx="6858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-127635</wp:posOffset>
            </wp:positionV>
            <wp:extent cx="6858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1"/>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period end</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FF0FC"/>
          </w:tcPr>
          <w:p>
            <w:pPr>
              <w:spacing w:after="0"/>
              <w:rPr>
                <w:sz w:val="18"/>
                <w:szCs w:val="18"/>
                <w:color w:val="auto"/>
              </w:rPr>
            </w:pPr>
          </w:p>
        </w:tc>
      </w:tr>
      <w:tr>
        <w:trPr>
          <w:trHeight w:val="203"/>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to originate loans for sale</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7"/>
                <w:szCs w:val="17"/>
                <w:color w:val="auto"/>
              </w:rPr>
            </w:pPr>
          </w:p>
        </w:tc>
      </w:tr>
      <w:tr>
        <w:trPr>
          <w:trHeight w:val="203"/>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Commitments to sell loans</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mortgage loan servicing assets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Pr>
          <w:p>
            <w:pPr>
              <w:spacing w:after="0"/>
              <w:rPr>
                <w:sz w:val="17"/>
                <w:szCs w:val="17"/>
                <w:color w:val="auto"/>
              </w:rPr>
            </w:pPr>
          </w:p>
        </w:tc>
      </w:tr>
      <w:tr>
        <w:trPr>
          <w:trHeight w:val="203"/>
        </w:trPr>
        <w:tc>
          <w:tcPr>
            <w:tcW w:w="6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serviced for others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41,547</w:t>
            </w:r>
          </w:p>
        </w:tc>
        <w:tc>
          <w:tcPr>
            <w:tcW w:w="100" w:type="dxa"/>
            <w:vAlign w:val="bottom"/>
          </w:tcPr>
          <w:p>
            <w:pPr>
              <w:spacing w:after="0"/>
              <w:rPr>
                <w:sz w:val="17"/>
                <w:szCs w:val="17"/>
                <w:color w:val="auto"/>
              </w:rPr>
            </w:pPr>
          </w:p>
        </w:tc>
      </w:tr>
      <w:tr>
        <w:trPr>
          <w:trHeight w:val="189"/>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Loans sub-serviced for others (a)</w:t>
            </w:r>
          </w:p>
        </w:tc>
        <w:tc>
          <w:tcPr>
            <w:tcW w:w="16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111,964</w:t>
            </w:r>
          </w:p>
        </w:tc>
        <w:tc>
          <w:tcPr>
            <w:tcW w:w="3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115,321</w:t>
            </w:r>
          </w:p>
        </w:tc>
        <w:tc>
          <w:tcPr>
            <w:tcW w:w="3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97,989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69"/>
        </w:trPr>
        <w:tc>
          <w:tcPr>
            <w:tcW w:w="6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loans serviced for others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151,562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155,342</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139,536</w:t>
            </w:r>
          </w:p>
        </w:tc>
        <w:tc>
          <w:tcPr>
            <w:tcW w:w="100" w:type="dxa"/>
            <w:vAlign w:val="bottom"/>
          </w:tcPr>
          <w:p>
            <w:pPr>
              <w:spacing w:after="0"/>
              <w:rPr>
                <w:sz w:val="14"/>
                <w:szCs w:val="14"/>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-145415</wp:posOffset>
            </wp:positionV>
            <wp:extent cx="7747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-145415</wp:posOffset>
            </wp:positionV>
            <wp:extent cx="6858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 w:lineRule="exact"/>
        <w:rPr>
          <w:sz w:val="20"/>
          <w:szCs w:val="20"/>
          <w:color w:val="auto"/>
        </w:rPr>
      </w:pPr>
    </w:p>
    <w:p>
      <w:pPr>
        <w:ind w:left="520" w:right="20" w:hanging="512"/>
        <w:spacing w:after="0" w:line="264" w:lineRule="auto"/>
        <w:tabs>
          <w:tab w:leader="none" w:pos="52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contractual servicing rights associated with residential mortgage loans sub-serviced by the Company were predominantly held by affiliates of BLG. Information about the Company’s relationship with BLG and its affiliates is included in note 15 of Notes to Financial Statements.</w:t>
      </w:r>
    </w:p>
    <w:p>
      <w:pPr>
        <w:spacing w:after="0" w:line="56" w:lineRule="exact"/>
        <w:rPr>
          <w:rFonts w:ascii="Times New Roman" w:cs="Times New Roman" w:eastAsia="Times New Roman" w:hAnsi="Times New Roman"/>
          <w:sz w:val="14"/>
          <w:szCs w:val="14"/>
          <w:i w:val="1"/>
          <w:iCs w:val="1"/>
          <w:color w:val="auto"/>
        </w:rPr>
      </w:pPr>
    </w:p>
    <w:p>
      <w:pPr>
        <w:jc w:val="both"/>
        <w:ind w:left="1020" w:right="20" w:hanging="503"/>
        <w:spacing w:after="0" w:line="255" w:lineRule="auto"/>
        <w:tabs>
          <w:tab w:leader="none" w:pos="1020"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increase in residential mortgage loan servicing fees of $19 million in the three-month period ending March 31, 2024 as compared with the similar 2023 period primarily reflects a $350 million bulk purchase of residential mortgage loan servicing rights associated with $19.5 billion of residential real estate loans on March 31, 2023.</w:t>
      </w:r>
    </w:p>
    <w:p>
      <w:pPr>
        <w:spacing w:after="0" w:line="67" w:lineRule="exact"/>
        <w:rPr>
          <w:rFonts w:ascii="Times New Roman" w:cs="Times New Roman" w:eastAsia="Times New Roman" w:hAnsi="Times New Roman"/>
          <w:sz w:val="21"/>
          <w:szCs w:val="21"/>
          <w:color w:val="auto"/>
        </w:rPr>
      </w:pPr>
    </w:p>
    <w:p>
      <w:pPr>
        <w:ind w:left="1020" w:right="20" w:hanging="503"/>
        <w:spacing w:after="0" w:line="270" w:lineRule="auto"/>
        <w:tabs>
          <w:tab w:leader="none" w:pos="1020"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lower balance of capitalized residential mortgage servicing rights at March 31, 2024 and December 31, 2023 as compared with March 31, 2023 reflects amortization of those servicing rights.</w:t>
      </w:r>
    </w:p>
    <w:p>
      <w:pPr>
        <w:spacing w:after="0" w:line="159"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-1362075</wp:posOffset>
            </wp:positionV>
            <wp:extent cx="1903095"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90"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1"/>
          <w:szCs w:val="21"/>
          <w:color w:val="auto"/>
        </w:rPr>
        <w:t>COMMERCIAL MORTGAGE BANKING ACTIVITIES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10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9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8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120" w:type="dxa"/>
            <w:vAlign w:val="bottom"/>
            <w:gridSpan w:val="5"/>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8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 banking revenues</w:t>
            </w: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Gains on loans originated for sale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9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(12 )</w:t>
            </w:r>
          </w:p>
        </w:tc>
        <w:tc>
          <w:tcPr>
            <w:tcW w:w="6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6"/>
                <w:szCs w:val="16"/>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(6 )</w:t>
            </w:r>
          </w:p>
        </w:tc>
        <w:tc>
          <w:tcPr>
            <w:tcW w:w="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servicing fees and other</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Total commercial mortgage banking 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4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(12 )</w:t>
            </w:r>
          </w:p>
        </w:tc>
        <w:tc>
          <w:tcPr>
            <w:tcW w:w="6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6"/>
                <w:szCs w:val="16"/>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(4 )</w:t>
            </w:r>
          </w:p>
        </w:tc>
        <w:tc>
          <w:tcPr>
            <w:tcW w:w="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originated for sale to other investors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2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240" w:type="dxa"/>
            <w:vAlign w:val="bottom"/>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106 %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80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4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191"/>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period end</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40" w:type="dxa"/>
            <w:vAlign w:val="bottom"/>
            <w:shd w:val="clear" w:color="auto" w:fill="CFF0FC"/>
          </w:tcPr>
          <w:p>
            <w:pPr>
              <w:spacing w:after="0"/>
              <w:rPr>
                <w:sz w:val="18"/>
                <w:szCs w:val="18"/>
                <w:color w:val="auto"/>
              </w:rPr>
            </w:pPr>
          </w:p>
        </w:tc>
        <w:tc>
          <w:tcPr>
            <w:tcW w:w="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to originate loans for sale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Commitments to sell loans</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4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mortgage loan servicing assets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gridSpan w:val="2"/>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gridSpan w:val="2"/>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serviced for others (a)</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24,771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24,157</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22,389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Loans sub-serviced for others</w:t>
            </w:r>
          </w:p>
        </w:tc>
        <w:tc>
          <w:tcPr>
            <w:tcW w:w="1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right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3,906</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3,873</w:t>
            </w:r>
          </w:p>
        </w:tc>
        <w:tc>
          <w:tcPr>
            <w:tcW w:w="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right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3,786</w:t>
            </w: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loans serviced for others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28,677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28,030</w:t>
            </w:r>
          </w:p>
        </w:tc>
        <w:tc>
          <w:tcPr>
            <w:tcW w:w="40" w:type="dxa"/>
            <w:vAlign w:val="bottom"/>
          </w:tcPr>
          <w:p>
            <w:pPr>
              <w:spacing w:after="0"/>
              <w:rPr>
                <w:sz w:val="14"/>
                <w:szCs w:val="14"/>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26,175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-1585595</wp:posOffset>
            </wp:positionV>
            <wp:extent cx="76835"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-1568450</wp:posOffset>
            </wp:positionV>
            <wp:extent cx="76835"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-1585595</wp:posOffset>
            </wp:positionV>
            <wp:extent cx="7747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-1568450</wp:posOffset>
            </wp:positionV>
            <wp:extent cx="7747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-1585595</wp:posOffset>
            </wp:positionV>
            <wp:extent cx="76835"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-1568450</wp:posOffset>
            </wp:positionV>
            <wp:extent cx="7683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-1585595</wp:posOffset>
            </wp:positionV>
            <wp:extent cx="6858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-1568450</wp:posOffset>
            </wp:positionV>
            <wp:extent cx="6858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-1585595</wp:posOffset>
            </wp:positionV>
            <wp:extent cx="6858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-1568450</wp:posOffset>
            </wp:positionV>
            <wp:extent cx="6858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-1585595</wp:posOffset>
            </wp:positionV>
            <wp:extent cx="6858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-1568450</wp:posOffset>
            </wp:positionV>
            <wp:extent cx="6858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-1585595</wp:posOffset>
            </wp:positionV>
            <wp:extent cx="6858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-1568450</wp:posOffset>
            </wp:positionV>
            <wp:extent cx="6858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-1568450</wp:posOffset>
            </wp:positionV>
            <wp:extent cx="6858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-145415</wp:posOffset>
            </wp:positionV>
            <wp:extent cx="76835"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-145415</wp:posOffset>
            </wp:positionV>
            <wp:extent cx="6858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 w:lineRule="exact"/>
        <w:rPr>
          <w:sz w:val="20"/>
          <w:szCs w:val="20"/>
          <w:color w:val="auto"/>
        </w:rPr>
      </w:pPr>
    </w:p>
    <w:p>
      <w:pPr>
        <w:ind w:left="520" w:right="20" w:hanging="512"/>
        <w:spacing w:after="0" w:line="264" w:lineRule="auto"/>
        <w:tabs>
          <w:tab w:leader="none" w:pos="52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$4.0 billion, $3.9 billion and $3.8 billion of loan balances for which investors had recourse to the Company if such balances are ultimately uncollectible at March 31, 2024, December 31, 2023 and March 31, 2023, respectively.</w:t>
      </w:r>
    </w:p>
    <w:p>
      <w:pPr>
        <w:spacing w:after="0" w:line="56" w:lineRule="exact"/>
        <w:rPr>
          <w:rFonts w:ascii="Times New Roman" w:cs="Times New Roman" w:eastAsia="Times New Roman" w:hAnsi="Times New Roman"/>
          <w:sz w:val="14"/>
          <w:szCs w:val="14"/>
          <w:i w:val="1"/>
          <w:iCs w:val="1"/>
          <w:color w:val="auto"/>
        </w:rPr>
      </w:pPr>
    </w:p>
    <w:p>
      <w:pPr>
        <w:jc w:val="both"/>
        <w:ind w:left="1020" w:right="40" w:hanging="503"/>
        <w:spacing w:after="0" w:line="255" w:lineRule="auto"/>
        <w:tabs>
          <w:tab w:leader="none" w:pos="102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decline in gains on commercial mortgage loans originated for sale in the first three months of 2024 as compared with the fourth quarter of 2023 and the corresponding 2023 period reflects lower volumes of new commitments to originate commercial real estate loans for sale, which were influenced by a higher interest rate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-741680</wp:posOffset>
            </wp:positionV>
            <wp:extent cx="1903095"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Service charges on deposit accounts</w:t>
      </w:r>
    </w:p>
    <w:p>
      <w:pPr>
        <w:spacing w:after="0" w:line="114"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21"/>
          <w:szCs w:val="21"/>
          <w:color w:val="auto"/>
        </w:rPr>
        <w:t>Service charges on deposit accounts in the recent quarter increased $3 million from the fourth quarter of 2023 reflecting higher commercial service charges from pricing changes. The $11 million increase in the recent quarter as compared with the similar 2023 quarter also reflects the increased customer usage of sweep products.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Trust income</w:t>
      </w:r>
    </w:p>
    <w:p>
      <w:pPr>
        <w:spacing w:after="0" w:line="11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Trust income includes fees from two significant businesses managed within the Company's Institutional Services and Wealth Management segment. The Institutional Services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assets (including retirement plan assets prior to the sale of CIT); and (iii) need investment and cash management services. The Wealth Management business offers personal trust, planning, fiduciary, asset management, family office and other services designed to help high net worth individuals and families grow, preserve and transfer wealth.</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TRUST INCOME AND ASSETS UNDER MANAGEMENT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31"/>
        </w:trPr>
        <w:tc>
          <w:tcPr>
            <w:tcW w:w="3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7"/>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jc w:val="right"/>
              <w:ind w:right="6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Trust income</w:t>
            </w:r>
          </w:p>
        </w:tc>
        <w:tc>
          <w:tcPr>
            <w:tcW w:w="4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Institutional Services</w:t>
            </w:r>
          </w:p>
        </w:tc>
        <w:tc>
          <w:tcPr>
            <w:tcW w:w="46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98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(1 )</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-1 %</w:t>
            </w:r>
          </w:p>
        </w:tc>
        <w:tc>
          <w:tcPr>
            <w:tcW w:w="560" w:type="dxa"/>
            <w:vAlign w:val="bottom"/>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76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(39 )</w:t>
            </w: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20" w:type="dxa"/>
            <w:vAlign w:val="bottom"/>
          </w:tcPr>
          <w:p>
            <w:pPr>
              <w:spacing w:after="0"/>
              <w:rPr>
                <w:sz w:val="15"/>
                <w:szCs w:val="15"/>
                <w:color w:val="auto"/>
              </w:rPr>
            </w:pPr>
          </w:p>
        </w:tc>
      </w:tr>
      <w:tr>
        <w:trPr>
          <w:trHeight w:val="18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Wealth Management</w:t>
            </w:r>
          </w:p>
        </w:tc>
        <w:tc>
          <w:tcPr>
            <w:tcW w:w="4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6"/>
                <w:szCs w:val="16"/>
                <w:color w:val="auto"/>
              </w:rPr>
            </w:pPr>
          </w:p>
        </w:tc>
        <w:tc>
          <w:tcPr>
            <w:tcW w:w="4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46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85"/>
              </w:rPr>
              <w:t>9</w:t>
            </w:r>
          </w:p>
        </w:tc>
        <w:tc>
          <w:tcPr>
            <w:tcW w:w="2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trust income</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40" w:type="dxa"/>
            <w:vAlign w:val="bottom"/>
          </w:tcPr>
          <w:p>
            <w:pPr>
              <w:spacing w:after="0"/>
              <w:rPr>
                <w:sz w:val="14"/>
                <w:szCs w:val="14"/>
                <w:color w:val="auto"/>
              </w:rPr>
            </w:pPr>
          </w:p>
        </w:tc>
        <w:tc>
          <w:tcPr>
            <w:tcW w:w="74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1 %</w:t>
            </w: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76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20" w:type="dxa"/>
            <w:vAlign w:val="bottom"/>
          </w:tcPr>
          <w:p>
            <w:pPr>
              <w:spacing w:after="0"/>
              <w:rPr>
                <w:sz w:val="14"/>
                <w:szCs w:val="14"/>
                <w:color w:val="auto"/>
              </w:rPr>
            </w:pPr>
          </w:p>
        </w:tc>
      </w:tr>
      <w:tr>
        <w:trPr>
          <w:trHeight w:val="20"/>
        </w:trPr>
        <w:tc>
          <w:tcPr>
            <w:tcW w:w="3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9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24"/>
                <w:szCs w:val="24"/>
                <w:color w:val="auto"/>
              </w:rPr>
            </w:pPr>
          </w:p>
        </w:tc>
        <w:tc>
          <w:tcPr>
            <w:tcW w:w="142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1"/>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 under management at period end</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3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Trust assets under management (excluding proprietary funds)</w:t>
            </w:r>
          </w:p>
        </w:tc>
        <w:tc>
          <w:tcPr>
            <w:tcW w:w="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65,191</w:t>
            </w: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63,963</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161,495</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Proprietary mutual funds</w:t>
            </w: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15,280</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14,772</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14,124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31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Total assets under management</w:t>
            </w:r>
          </w:p>
        </w:tc>
        <w:tc>
          <w:tcPr>
            <w:tcW w:w="4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80,471</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78,735</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175,619</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-916305</wp:posOffset>
            </wp:positionV>
            <wp:extent cx="76835"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-916305</wp:posOffset>
            </wp:positionV>
            <wp:extent cx="7747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-916305</wp:posOffset>
            </wp:positionV>
            <wp:extent cx="6858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-916305</wp:posOffset>
            </wp:positionV>
            <wp:extent cx="6858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-916305</wp:posOffset>
            </wp:positionV>
            <wp:extent cx="6858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-916305</wp:posOffset>
            </wp:positionV>
            <wp:extent cx="6858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-916305</wp:posOffset>
            </wp:positionV>
            <wp:extent cx="68580"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76835"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76835"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92" w:right="319" w:bottom="1440" w:gutter="0" w:footer="0" w:header="0"/>
        </w:sectPr>
      </w:pPr>
    </w:p>
    <w:bookmarkStart w:id="57" w:name="page58"/>
    <w:bookmarkEnd w:id="57"/>
    <w:p>
      <w:pPr>
        <w:jc w:val="both"/>
        <w:ind w:left="1020" w:right="20" w:hanging="503"/>
        <w:spacing w:after="0" w:line="251" w:lineRule="auto"/>
        <w:tabs>
          <w:tab w:leader="none" w:pos="10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April 2023, M&amp;T completed the divestiture of its CIT business to a private equity firm. Revenues associated with that business and included in Institutional Services trust income totaled $45 million in the first quarter of 2023. After considering expenses, the results of operations of that business were not material to M&amp;T's net income in 2023's initial quarter.</w:t>
      </w:r>
    </w:p>
    <w:p>
      <w:pPr>
        <w:spacing w:after="0" w:line="69" w:lineRule="exact"/>
        <w:rPr>
          <w:rFonts w:ascii="Times New Roman" w:cs="Times New Roman" w:eastAsia="Times New Roman" w:hAnsi="Times New Roman"/>
          <w:sz w:val="21"/>
          <w:szCs w:val="21"/>
          <w:color w:val="auto"/>
        </w:rPr>
      </w:pPr>
    </w:p>
    <w:p>
      <w:pPr>
        <w:jc w:val="both"/>
        <w:ind w:left="1020" w:right="20" w:hanging="503"/>
        <w:spacing w:after="0" w:line="255" w:lineRule="auto"/>
        <w:tabs>
          <w:tab w:leader="none" w:pos="10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Institutional Services trust income not related to the CIT business increased $6 million for the first three months of 2024 as compared with the similar 2023 period reflecting higher sales and fund management fees from its global capital markets business.</w:t>
      </w:r>
    </w:p>
    <w:p>
      <w:pPr>
        <w:spacing w:after="0" w:line="67" w:lineRule="exact"/>
        <w:rPr>
          <w:rFonts w:ascii="Times New Roman" w:cs="Times New Roman" w:eastAsia="Times New Roman" w:hAnsi="Times New Roman"/>
          <w:sz w:val="21"/>
          <w:szCs w:val="21"/>
          <w:color w:val="auto"/>
        </w:rPr>
      </w:pPr>
    </w:p>
    <w:p>
      <w:pPr>
        <w:ind w:left="1020" w:right="40" w:hanging="503"/>
        <w:spacing w:after="0" w:line="270" w:lineRule="auto"/>
        <w:tabs>
          <w:tab w:leader="none" w:pos="10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lower assets under management at March 31, 2024 and December 31, 2023 as compared with March 31, 2023 reflects the sale of the CIT business in the second quarter of 2023.</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Other revenues from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components of other revenues from operations are presented in the accompanying table.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REVENUES FROM OPERATIONS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4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20" w:type="dxa"/>
            <w:vAlign w:val="bottom"/>
          </w:tcPr>
          <w:p>
            <w:pPr>
              <w:spacing w:after="0"/>
              <w:rPr>
                <w:sz w:val="16"/>
                <w:szCs w:val="16"/>
                <w:color w:val="auto"/>
              </w:rPr>
            </w:pPr>
          </w:p>
        </w:tc>
        <w:tc>
          <w:tcPr>
            <w:tcW w:w="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Letter of credit and other credit-related fees</w:t>
            </w: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96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-19 %</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Merchant discount and credit card fees</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Bank owned life insurance revenue (a)</w:t>
            </w: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operating lease income</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BLG income (b)</w:t>
            </w: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Total other revenues from operations</w:t>
            </w: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4 %</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-25400</wp:posOffset>
            </wp:positionV>
            <wp:extent cx="76835"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-7620</wp:posOffset>
            </wp:positionV>
            <wp:extent cx="76835"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-25400</wp:posOffset>
            </wp:positionV>
            <wp:extent cx="7747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7747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-25400</wp:posOffset>
            </wp:positionV>
            <wp:extent cx="76835"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76835"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-25400</wp:posOffset>
            </wp:positionV>
            <wp:extent cx="6858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6858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-25400</wp:posOffset>
            </wp:positionV>
            <wp:extent cx="6858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-7620</wp:posOffset>
            </wp:positionV>
            <wp:extent cx="6858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 w:lineRule="exact"/>
        <w:rPr>
          <w:sz w:val="20"/>
          <w:szCs w:val="20"/>
          <w:color w:val="auto"/>
        </w:rPr>
      </w:pPr>
    </w:p>
    <w:p>
      <w:pPr>
        <w:jc w:val="both"/>
        <w:ind w:left="520" w:right="20" w:hanging="512"/>
        <w:spacing w:after="0" w:line="230" w:lineRule="auto"/>
        <w:tabs>
          <w:tab w:leader="none" w:pos="52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Tax-exempt income earned from bank owned life insurance includes increases in the cash surrender value of life insurance policies and benefits received. The Company owns both general account and separate account life insurance policies. To the extent market conditions change such that the market value of assets in a separate account bank owned life insurance policy becomes less than the previously recorded cash surrender value, an adjustment is recorded as a reduction to other revenues from operations.</w:t>
      </w:r>
    </w:p>
    <w:p>
      <w:pPr>
        <w:jc w:val="both"/>
        <w:ind w:left="520" w:right="20" w:hanging="512"/>
        <w:spacing w:after="0" w:line="230" w:lineRule="auto"/>
        <w:tabs>
          <w:tab w:leader="none" w:pos="52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During 2017, the operating losses of BLG resulted in M&amp;T reducing the carrying value of its investment in BLG to zero. Subsequently, M&amp;T has received cash distributions when declared by BLG that result in the recognition of income by M&amp;T. M&amp;T expects cash distributions from BLG in the future, but the timing and amount of those distributions are not within M&amp;T's control. BLG is entitled to receive distributions from its affiliates that provide asset management and other services that are available for distribution to BLG’s owners, including M&amp;T. Information about the Company’s relationship with BLG and its affiliates is included in note 15 of Notes to Financial Statements.</w:t>
      </w:r>
    </w:p>
    <w:p>
      <w:pPr>
        <w:spacing w:after="0" w:line="72" w:lineRule="exact"/>
        <w:rPr>
          <w:rFonts w:ascii="Times New Roman" w:cs="Times New Roman" w:eastAsia="Times New Roman" w:hAnsi="Times New Roman"/>
          <w:sz w:val="14"/>
          <w:szCs w:val="14"/>
          <w:i w:val="1"/>
          <w:iCs w:val="1"/>
          <w:color w:val="auto"/>
        </w:rPr>
      </w:pPr>
    </w:p>
    <w:p>
      <w:pPr>
        <w:ind w:left="1020" w:right="20" w:hanging="503"/>
        <w:spacing w:after="0" w:line="270" w:lineRule="auto"/>
        <w:tabs>
          <w:tab w:leader="none" w:pos="102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decrease in letter of credit and other credit-related fees of $10 million in the recent quarter as compared with the fourth quarter of 2023 was primarily the result of lower loan syndication fees.</w:t>
      </w:r>
    </w:p>
    <w:p>
      <w:pPr>
        <w:spacing w:after="0" w:line="50" w:lineRule="exact"/>
        <w:rPr>
          <w:rFonts w:ascii="Times New Roman" w:cs="Times New Roman" w:eastAsia="Times New Roman" w:hAnsi="Times New Roman"/>
          <w:sz w:val="21"/>
          <w:szCs w:val="21"/>
          <w:color w:val="auto"/>
        </w:rPr>
      </w:pPr>
    </w:p>
    <w:p>
      <w:pPr>
        <w:ind w:left="1020" w:right="20" w:hanging="503"/>
        <w:spacing w:after="0" w:line="270" w:lineRule="auto"/>
        <w:tabs>
          <w:tab w:leader="none" w:pos="102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Equipment operating lease income declined $10 million in 2024's first quarter as compared with the similar 2023 quarter reflecting lower gains on sales of leased equipment.</w:t>
      </w:r>
    </w:p>
    <w:p>
      <w:pPr>
        <w:spacing w:after="0" w:line="50" w:lineRule="exact"/>
        <w:rPr>
          <w:rFonts w:ascii="Times New Roman" w:cs="Times New Roman" w:eastAsia="Times New Roman" w:hAnsi="Times New Roman"/>
          <w:sz w:val="21"/>
          <w:szCs w:val="21"/>
          <w:color w:val="auto"/>
        </w:rPr>
      </w:pPr>
    </w:p>
    <w:p>
      <w:pPr>
        <w:ind w:left="1020" w:right="20" w:hanging="503"/>
        <w:spacing w:after="0" w:line="270" w:lineRule="auto"/>
        <w:tabs>
          <w:tab w:leader="none" w:pos="102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Distributions from M&amp;T's investment in BLG were $25 million and $20 million for the quarters ended March 31, 2024 and 2023, respectively. There were no such distributions in the fourth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-1823720</wp:posOffset>
            </wp:positionV>
            <wp:extent cx="1903095"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Expense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components of other expense are presented in the accompanying table.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2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12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08"/>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4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6"/>
                <w:szCs w:val="16"/>
                <w:color w:val="auto"/>
              </w:rPr>
            </w:pPr>
          </w:p>
        </w:tc>
        <w:tc>
          <w:tcPr>
            <w:tcW w:w="4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90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2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and net occupancy</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Outside data processing and software</w:t>
            </w: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and other services</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(40 )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FDIC assessments</w:t>
            </w: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(168 )</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Advertising and marketing</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4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Amortization of core deposit and other</w:t>
            </w:r>
          </w:p>
        </w:tc>
        <w:tc>
          <w:tcPr>
            <w:tcW w:w="2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(2 )</w:t>
            </w: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intangible assets</w:t>
            </w:r>
          </w:p>
        </w:tc>
        <w:tc>
          <w:tcPr>
            <w:tcW w:w="28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6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4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costs of operations</w:t>
            </w: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Total other expense</w:t>
            </w: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1,450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(54 )</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-25400</wp:posOffset>
            </wp:positionV>
            <wp:extent cx="76835"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-8255</wp:posOffset>
            </wp:positionV>
            <wp:extent cx="76835"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-25400</wp:posOffset>
            </wp:positionV>
            <wp:extent cx="76835"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-8255</wp:posOffset>
            </wp:positionV>
            <wp:extent cx="76835"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-25400</wp:posOffset>
            </wp:positionV>
            <wp:extent cx="7747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-8255</wp:posOffset>
            </wp:positionV>
            <wp:extent cx="7747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-25400</wp:posOffset>
            </wp:positionV>
            <wp:extent cx="6858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-8255</wp:posOffset>
            </wp:positionV>
            <wp:extent cx="6858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-25400</wp:posOffset>
            </wp:positionV>
            <wp:extent cx="6858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-8255</wp:posOffset>
            </wp:positionV>
            <wp:extent cx="6858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6858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6858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-25400</wp:posOffset>
            </wp:positionV>
            <wp:extent cx="6858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-8255</wp:posOffset>
            </wp:positionV>
            <wp:extent cx="6858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92"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1"/>
          <w:szCs w:val="21"/>
          <w:b w:val="1"/>
          <w:bCs w:val="1"/>
          <w:i w:val="1"/>
          <w:iCs w:val="1"/>
          <w:color w:val="auto"/>
        </w:rPr>
        <w:t>Salaries and employee benefits</w:t>
      </w:r>
    </w:p>
    <w:p>
      <w:pPr>
        <w:spacing w:after="0" w:line="114" w:lineRule="exact"/>
        <w:rPr>
          <w:sz w:val="20"/>
          <w:szCs w:val="20"/>
          <w:color w:val="auto"/>
        </w:rPr>
      </w:pPr>
    </w:p>
    <w:p>
      <w:pPr>
        <w:jc w:val="both"/>
        <w:ind w:left="1020" w:hanging="503"/>
        <w:spacing w:after="0" w:line="255" w:lineRule="auto"/>
        <w:tabs>
          <w:tab w:leader="none" w:pos="10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full time equivalent employees was 21,927 at March 31, 2024, compared with 21,980 at December 31, 2023 and 23,004 at March 31, 2023. Included in each of the first quarters of 2024 and 2023 was $99 million of seasonally higher stock-based compensation, medical plan costs, payroll-related taxes and unemployment insurance.</w:t>
      </w:r>
    </w:p>
    <w:p>
      <w:pPr>
        <w:spacing w:after="0" w:line="67" w:lineRule="exact"/>
        <w:rPr>
          <w:rFonts w:ascii="Times New Roman" w:cs="Times New Roman" w:eastAsia="Times New Roman" w:hAnsi="Times New Roman"/>
          <w:sz w:val="21"/>
          <w:szCs w:val="21"/>
          <w:color w:val="auto"/>
        </w:rPr>
      </w:pPr>
    </w:p>
    <w:p>
      <w:pPr>
        <w:jc w:val="both"/>
        <w:ind w:left="1020" w:hanging="503"/>
        <w:spacing w:after="0" w:line="255" w:lineRule="auto"/>
        <w:tabs>
          <w:tab w:leader="none" w:pos="10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Salaries and employee benefits expenses increased $109 million in the recent quarter as compared with the fourth quarter of 2023 reflecting the aforementioned seasonal costs, annual merit increases and a rise in incentive compensation, partially offset by lower severance expense.</w:t>
      </w:r>
    </w:p>
    <w:p>
      <w:pPr>
        <w:spacing w:after="0" w:line="67" w:lineRule="exact"/>
        <w:rPr>
          <w:rFonts w:ascii="Times New Roman" w:cs="Times New Roman" w:eastAsia="Times New Roman" w:hAnsi="Times New Roman"/>
          <w:sz w:val="21"/>
          <w:szCs w:val="21"/>
          <w:color w:val="auto"/>
        </w:rPr>
      </w:pPr>
    </w:p>
    <w:p>
      <w:pPr>
        <w:jc w:val="both"/>
        <w:ind w:left="1020" w:hanging="503"/>
        <w:spacing w:after="0" w:line="255" w:lineRule="auto"/>
        <w:tabs>
          <w:tab w:leader="none" w:pos="10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Salaries and employee benefits expenses increased $25 million in the recent quarter as compared with the year-earlier quarter reflecting annual merit increases in the first quarter of 2024, other pay increases in 2023 and higher incentive compensation, partially offset by lower employee staffing levels.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Nonpersonnel expenses</w:t>
      </w:r>
    </w:p>
    <w:p>
      <w:pPr>
        <w:spacing w:after="0" w:line="114" w:lineRule="exact"/>
        <w:rPr>
          <w:sz w:val="20"/>
          <w:szCs w:val="20"/>
          <w:color w:val="auto"/>
        </w:rPr>
      </w:pPr>
    </w:p>
    <w:p>
      <w:pPr>
        <w:ind w:left="1020" w:hanging="503"/>
        <w:spacing w:after="0" w:line="270" w:lineRule="auto"/>
        <w:tabs>
          <w:tab w:leader="none" w:pos="10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FDIC assessments reflect a $197 million estimated special assessment in the fourth quarter of 2023 and $29 million of estimated incremental special assessment expense recorded in the first quarter of 2024.</w:t>
      </w:r>
    </w:p>
    <w:p>
      <w:pPr>
        <w:spacing w:after="0" w:line="50" w:lineRule="exact"/>
        <w:rPr>
          <w:rFonts w:ascii="Times New Roman" w:cs="Times New Roman" w:eastAsia="Times New Roman" w:hAnsi="Times New Roman"/>
          <w:sz w:val="21"/>
          <w:szCs w:val="21"/>
          <w:color w:val="auto"/>
        </w:rPr>
      </w:pPr>
    </w:p>
    <w:p>
      <w:pPr>
        <w:jc w:val="both"/>
        <w:ind w:left="1020" w:hanging="503"/>
        <w:spacing w:after="0" w:line="262" w:lineRule="auto"/>
        <w:tabs>
          <w:tab w:leader="none" w:pos="10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Nonpersonnel expenses aggregated $563 million in the recent quarter as compared with $726 million in the fourth quarter of 2023. After considering the FDIC special assessments, the $5 million increase in the recent quarter as compared with 2023's fourth quarter reflects an increase in other costs of operations of $24 million, including higher costs associated with the Company's supplemental executive retirement savings plan, losses on lease terminations related to certain vacated properties and incremental charitable contributions. Those unfavorable factors were partially offset by lower professional and other services expenses of $14 million, reflecting the timing and level of consulting and legal-related fees.</w:t>
      </w:r>
    </w:p>
    <w:p>
      <w:pPr>
        <w:spacing w:after="0" w:line="59" w:lineRule="exact"/>
        <w:rPr>
          <w:rFonts w:ascii="Times New Roman" w:cs="Times New Roman" w:eastAsia="Times New Roman" w:hAnsi="Times New Roman"/>
          <w:sz w:val="20"/>
          <w:szCs w:val="20"/>
          <w:color w:val="auto"/>
        </w:rPr>
      </w:pPr>
    </w:p>
    <w:p>
      <w:pPr>
        <w:jc w:val="both"/>
        <w:ind w:left="1020" w:hanging="503"/>
        <w:spacing w:after="0" w:line="247" w:lineRule="auto"/>
        <w:tabs>
          <w:tab w:leader="none" w:pos="10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Nonpersonnel expenses increased $12 million in the recent quarter from $551 million in the year-earlier first quarter. That increase includes an FDIC special assessment of $29 million, higher outside data processing and software costs of $14 million and a rise in other costs of operations of $19 million, reflecting amortization of mortgage loan servicing rights obtained through a bulk purchase in March 2023. Those unfavorable factors were partially offset by lower professional and other services expenses of $40 million reflecting lower sub-advisory fees following the sale of the CIT business in April 2023 and a decline in advertising and marketing costs of $11 million.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Income Taxes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Income tax expense was $133 million in the first quarter of 2024, compared with $143 million in the fourth quarter of 2023 and $224 million in the year-earlier quarter. The effective tax rates were 20.0%, 22.9% and 24.2% for the quarters ended March 31, 2024, December 31, 2023 and March 31, 2023, respectively. The first quarter of 2024 income tax expense included a net discrete benefit related to the resolution of a tax matter inherited from the acquisition of People's United. The effective tax rate is affected by the level of income earned that is exempt from tax relative to the overall level of pre-tax income, the amount of income allocated to the various state and local jurisdictions where the Company operates, because tax rates differ among such jurisdictions, and the impact of any large discrete or infrequently occurring items. The Company’s effective tax rate in future periods may also be affected by any change in income tax laws or regulations and interpretations of income tax regulations that differ from the Company’s interpretations by any of various tax authorities that may examine tax returns filed by M&amp;T or any of its subsidiaries.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1"/>
          <w:szCs w:val="21"/>
          <w:b w:val="1"/>
          <w:bCs w:val="1"/>
          <w:color w:val="auto"/>
        </w:rPr>
        <w:t>Liquidity Risk</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cash flows associated with financial instruments included in assets and liabilities differ.</w:t>
      </w:r>
    </w:p>
    <w:p>
      <w:pPr>
        <w:spacing w:after="0" w:line="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most significant source of funding for the Company is core deposits, which are generated from a large base of consumer, corporate and institutional customers. That customer base has, over the past several years, become more geographically diverse as a result of expansion of the Company’s businesses. Nevertheless, the Company faces competition in offering products and services from a large array of financial market participants, including banks, thrifts, mutual funds, securities dealers and others. Core deposits totaled $151.5 billion and $146.5 billion at March 31, 2024 and December 31, 2023, respectively. The increase in core deposits at March 31, 2024 as compared with December 31, 2023 reflects a higher level of trust customer deposits.</w:t>
      </w:r>
    </w:p>
    <w:p>
      <w:pPr>
        <w:spacing w:after="0" w:line="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Company supplements funding provided through deposits with various short-term and long-term wholesale borrowings, including overnight federal funds purchased, repurchase agreements, advances from FHLBs, brokered deposits and longer-term borrowings. M&amp;T Bank has access to additional funding sources through secured borrowings from the FHLB of New York and the FRB of New York. Beginning in the first quarter of 2024, M&amp;T Bank became a counterparty to the FRB of New York standing repurchase agreement facility, which allows it to enter into overnight repurchase transactions using eligible investment securities. The Company has, in the past, issued subordinated capital notes and junior subordinated debentures associated with trust preferred securities to provide liquidity and enhance regulatory capital ratios. At March 31, 2024 and December 31, 2023, long-term borrowings aggregated $11.5 billion and $8.2 billion, respectively and short-term borrowings aggregated $4.8 billion and $5.3 billion, respectively. Information about the Company's borrowings is presented in note 5 of Notes to Financial Statements.</w:t>
      </w:r>
    </w:p>
    <w:p>
      <w:pPr>
        <w:spacing w:after="0" w:line="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Company has benefited from the placement of brokered deposits. The Company had brokered savings and interest-checking deposit accounts which aggregated $7.9 billion at March 31, 2024 and $7.8 billion at December 31, 2023. Brokered time deposits totaled $4.7 billion at March 31, 2024 and $6.1 billion at December 31, 2023. Approximately 87% of brokered time deposits at March 31, 2024 have a contractual maturity date in the next 12 months.</w:t>
      </w:r>
    </w:p>
    <w:p>
      <w:pPr>
        <w:spacing w:after="0" w:line="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Total uninsured deposits were estimated to be $71.9 billion at March 31, 2024 and $67.0 billion at December 31, 2023. Approximately $11.4 billion and $10.7 billion of those uninsured deposits were collateralized by the Company at March 31, 2024 and December 31, 2023, respectively. The Company maintains available liquidity sources which represent approximately 135% of uninsured deposits that are not collateralized by the Company at March 31, 2024.</w:t>
      </w:r>
    </w:p>
    <w:p>
      <w:pPr>
        <w:spacing w:after="0" w:line="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Company’s ability to obtain funding from these sources could be negatively impacted should the Company experience a substantial deterioration in its financial condition or its debt ratings or should the availability of funding become restricted due to a disruption in the financial markets. The Company attempts to quantify such risks by conducting scenario analyses that estimate the liquidity impact resulting from a debt ratings downgrade and other market events. Such impact is estimated by attempting to measure the effect on available unsecured lines of credit, available capacity from secured borrowing sources and securitizable assets.</w:t>
      </w:r>
    </w:p>
    <w:p>
      <w:pPr>
        <w:spacing w:after="0" w:line="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March 31, 2024 approximately $1.2 billion was available for payment of dividends to M&amp;T from bank subsidiaries. M&amp;T also may obtain funding through long-term borrowings. Further information about the long-term outstanding borrowings of M&amp;T is provided in note 5 of Notes to Financial Statements. As a bank holding company, M&amp;T is obligated to serve as a managerial and financial source of strength to its bank subsidiaries as described in Part I, Item 1, "Business" in the 2023 Annual Report. As its ability to access the capital markets may be affected by market disruptions, M&amp;T maintains sufficient cash resources at its parent company to satisfy projected cash outflows for an extended period without reliance on dividends from subsidiaries or external financing. As of March 31, 2024, M&amp;T's parent company liquidity covered projected cash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1"/>
          <w:szCs w:val="21"/>
          <w:color w:val="auto"/>
        </w:rPr>
        <w:t>outflows for more than 24 months, including dividends on common and preferred stock, debt service and scheduled debt maturities.</w:t>
      </w:r>
    </w:p>
    <w:p>
      <w:pPr>
        <w:spacing w:after="0" w:line="1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In addition to deposits and borrowings, other sources of liquidity include maturities and repayments of investment securities, loans and other earning assets, as well as cash generated from operations, such as fees collected for services. The Company also has the ability to securitize or sell certain financial assets, including various loan types, to provide other liquidity alternatives. U.S. Treasury and federal agency securities and government issued or guaranteed mortgage-backed securities comprised 90% of the Company's debt securities portfolio at March 31, 2024. The weighted-average durations of debt investment securities available for sale and held to maturity at March 31, 2024 were 2.0 years and 5.4 years, respectively.</w:t>
      </w:r>
    </w:p>
    <w:p>
      <w:pPr>
        <w:spacing w:after="0" w:line="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Company's Executive ALCO Committee closely monitors the Company’s liquidity position on an ongoing basis for compliance with internal policies and regulatory expectations. As a Category IV institution, the Company adheres to enhanced liquidity standards which require the performance of internal liquidity stress testing. The stress testing is designed to ensure the Company has sufficient liquidity to withstand both institution-specific and market-wide stress scenarios. For each scenario, the Company applies liquidity stress which may include deposit run-off, increased draws on unfunded loan commitments, increased collateral need for margin calls, increased haircuts on investment security-based funding and reductions in unsecured and secured borrowing capacity. Stress scenarios are measured over various time frames ranging from overnight to twelve months. As required by regulation, the Company maintains a liquidity buffer comprised of cash and highly liquid unencumbered securities to cover a 30-day stress horizon. Liquidity stress events occurring over longer time horizons can be mitigated by the availability of secured funding sources at the FHLB of New York and FRB of New York. The following table is a summary of the Company's available sources of liquidity at March 31,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AVAILABLE LIQUIDITY SOURCES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80" w:type="dxa"/>
            <w:vAlign w:val="bottom"/>
          </w:tcPr>
          <w:p>
            <w:pPr>
              <w:spacing w:after="0"/>
              <w:rPr>
                <w:sz w:val="19"/>
                <w:szCs w:val="19"/>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6"/>
        </w:trPr>
        <w:tc>
          <w:tcPr>
            <w:tcW w:w="9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Deposits at the FRB of New York</w:t>
            </w: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32,033</w:t>
            </w:r>
          </w:p>
        </w:tc>
        <w:tc>
          <w:tcPr>
            <w:tcW w:w="100" w:type="dxa"/>
            <w:vAlign w:val="bottom"/>
            <w:shd w:val="clear" w:color="auto" w:fill="CFF0FC"/>
          </w:tcPr>
          <w:p>
            <w:pPr>
              <w:spacing w:after="0"/>
              <w:rPr>
                <w:sz w:val="19"/>
                <w:szCs w:val="19"/>
                <w:color w:val="auto"/>
              </w:rPr>
            </w:pPr>
          </w:p>
        </w:tc>
      </w:tr>
      <w:tr>
        <w:trPr>
          <w:trHeight w:val="220"/>
        </w:trPr>
        <w:tc>
          <w:tcPr>
            <w:tcW w:w="9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Unused secured borrowing facilities:</w:t>
            </w: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9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FRB of New York</w:t>
            </w:r>
          </w:p>
        </w:tc>
        <w:tc>
          <w:tcPr>
            <w:tcW w:w="28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18,404</w:t>
            </w:r>
          </w:p>
        </w:tc>
        <w:tc>
          <w:tcPr>
            <w:tcW w:w="100" w:type="dxa"/>
            <w:vAlign w:val="bottom"/>
            <w:shd w:val="clear" w:color="auto" w:fill="CFF0FC"/>
          </w:tcPr>
          <w:p>
            <w:pPr>
              <w:spacing w:after="0"/>
              <w:rPr>
                <w:sz w:val="20"/>
                <w:szCs w:val="20"/>
                <w:color w:val="auto"/>
              </w:rPr>
            </w:pPr>
          </w:p>
        </w:tc>
      </w:tr>
      <w:tr>
        <w:trPr>
          <w:trHeight w:val="220"/>
        </w:trPr>
        <w:tc>
          <w:tcPr>
            <w:tcW w:w="9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FHLB of New York</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14,589</w:t>
            </w:r>
          </w:p>
        </w:tc>
        <w:tc>
          <w:tcPr>
            <w:tcW w:w="100" w:type="dxa"/>
            <w:vAlign w:val="bottom"/>
          </w:tcPr>
          <w:p>
            <w:pPr>
              <w:spacing w:after="0"/>
              <w:rPr>
                <w:sz w:val="19"/>
                <w:szCs w:val="19"/>
                <w:color w:val="auto"/>
              </w:rPr>
            </w:pPr>
          </w:p>
        </w:tc>
      </w:tr>
      <w:tr>
        <w:trPr>
          <w:trHeight w:val="233"/>
        </w:trPr>
        <w:tc>
          <w:tcPr>
            <w:tcW w:w="9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Unencumbered investment securities (after estimated haircuts)</w:t>
            </w:r>
          </w:p>
        </w:tc>
        <w:tc>
          <w:tcPr>
            <w:tcW w:w="28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16,506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7"/>
        </w:trPr>
        <w:tc>
          <w:tcPr>
            <w:tcW w:w="9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81,532</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Management continuously evaluates the use and mix of its various available funding alternatives, including short-term borrowings, issuances of long-term debt, the placement of brokered deposits and the securitization of certain loan products. Management does not anticipate engaging in any activities, either currently or in the long term, for which adequate funding would not be available and would therefore result in a significant strain on liquidity at either M&amp;T or its subsidiary banks. In accordance with liquidity regulations, the Company maintains a contingency funding plan to facilitate on-going liquidity management in times of liquidity stress. The plan outlines various funding options available during a liquidity stress event and establishes a clear escalation protocol to be followed within the Company's risk management framework. The plan sets forth funding strategies and procedures that management can quickly leverage to assist in decision-making and specifies roles and responsibilities for departments impacted by a potential liquidity stress event.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1"/>
          <w:szCs w:val="21"/>
          <w:b w:val="1"/>
          <w:bCs w:val="1"/>
          <w:color w:val="auto"/>
        </w:rPr>
        <w:t>Market Risk and Interest Rate Sensitivity</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The Company has entered into interest rate swap agreements to help manage exposure to interest rate risk. At March 31, 2024, the aggregate notional amount of interest rate swap agreements entered into for interest rate risk management purposes that were currently in effect was $19.5 billion. In addition, the Company has entered into $7.8 billion of forward-starting interest rate swap agreements predominantly related to cash flow hedges. Information about interest rate swap agreements entered into for interest rate risk management purposes is included herein under the heading “Net Interest Margin” and in note 10 of Notes to Financial Statements.</w:t>
      </w:r>
    </w:p>
    <w:p>
      <w:pPr>
        <w:spacing w:after="0" w:line="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Company’s Executive ALCO Committee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with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8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0"/>
          <w:szCs w:val="20"/>
          <w:color w:val="auto"/>
        </w:rPr>
        <w:t>The accompanying table as of March 31, 2024 and December 31, 2023 displays the estimated impact on net interest income in the base scenario described above resulting from parallel changes in interest rates across repricing categories during the first modeling year.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SENSITIVITY OF NET INTEREST INCOME TO CHANGES IN INTEREST RATES</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00" w:type="dxa"/>
            <w:vAlign w:val="bottom"/>
            <w:gridSpan w:val="3"/>
          </w:tcPr>
          <w:p>
            <w:pPr>
              <w:jc w:val="center"/>
              <w:ind w:left="1118"/>
              <w:spacing w:after="0" w:line="158" w:lineRule="exact"/>
              <w:rPr>
                <w:sz w:val="20"/>
                <w:szCs w:val="20"/>
                <w:color w:val="auto"/>
              </w:rPr>
            </w:pPr>
            <w:r>
              <w:rPr>
                <w:rFonts w:ascii="Times New Roman" w:cs="Times New Roman" w:eastAsia="Times New Roman" w:hAnsi="Times New Roman"/>
                <w:sz w:val="14"/>
                <w:szCs w:val="14"/>
                <w:b w:val="1"/>
                <w:bCs w:val="1"/>
                <w:color w:val="auto"/>
              </w:rPr>
              <w:t>Calculated Change</w:t>
            </w: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Changes in interest rates</w:t>
            </w:r>
          </w:p>
        </w:tc>
        <w:tc>
          <w:tcPr>
            <w:tcW w:w="340" w:type="dxa"/>
            <w:vAlign w:val="bottom"/>
          </w:tcPr>
          <w:p>
            <w:pPr>
              <w:spacing w:after="0"/>
              <w:rPr>
                <w:sz w:val="15"/>
                <w:szCs w:val="15"/>
                <w:color w:val="auto"/>
              </w:rPr>
            </w:pPr>
          </w:p>
        </w:tc>
        <w:tc>
          <w:tcPr>
            <w:tcW w:w="4160" w:type="dxa"/>
            <w:vAlign w:val="bottom"/>
            <w:gridSpan w:val="5"/>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in Projected Net Interest Income</w:t>
            </w:r>
          </w:p>
        </w:tc>
      </w:tr>
      <w:tr>
        <w:trPr>
          <w:trHeight w:val="230"/>
        </w:trPr>
        <w:tc>
          <w:tcPr>
            <w:tcW w:w="2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7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40" w:type="dxa"/>
            <w:vAlign w:val="bottom"/>
            <w:tcBorders>
              <w:top w:val="single" w:sz="8" w:color="auto"/>
            </w:tcBorders>
            <w:gridSpan w:val="2"/>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9"/>
                <w:szCs w:val="19"/>
                <w:color w:val="auto"/>
              </w:rPr>
            </w:pPr>
          </w:p>
        </w:tc>
      </w:tr>
      <w:tr>
        <w:trPr>
          <w:trHeight w:val="236"/>
        </w:trPr>
        <w:tc>
          <w:tcPr>
            <w:tcW w:w="6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shd w:val="clear" w:color="auto" w:fill="CFF0FC"/>
          </w:tcPr>
          <w:p>
            <w:pPr>
              <w:jc w:val="center"/>
              <w:ind w:right="2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6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3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r>
      <w:tr>
        <w:trPr>
          <w:trHeight w:val="247"/>
        </w:trPr>
        <w:tc>
          <w:tcPr>
            <w:tcW w:w="6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340" w:type="dxa"/>
            <w:vAlign w:val="bottom"/>
            <w:shd w:val="clear" w:color="auto" w:fill="CFF0FC"/>
          </w:tcPr>
          <w:p>
            <w:pPr>
              <w:spacing w:after="0"/>
              <w:rPr>
                <w:sz w:val="21"/>
                <w:szCs w:val="21"/>
                <w:color w:val="auto"/>
              </w:rPr>
            </w:pPr>
          </w:p>
        </w:tc>
        <w:tc>
          <w:tcPr>
            <w:tcW w:w="22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(18 )</w:t>
            </w:r>
          </w:p>
        </w:tc>
        <w:tc>
          <w:tcPr>
            <w:tcW w:w="2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4"/>
        </w:trPr>
        <w:tc>
          <w:tcPr>
            <w:tcW w:w="6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340" w:type="dxa"/>
            <w:vAlign w:val="bottom"/>
          </w:tcPr>
          <w:p>
            <w:pPr>
              <w:spacing w:after="0"/>
              <w:rPr>
                <w:sz w:val="20"/>
                <w:szCs w:val="20"/>
                <w:color w:val="auto"/>
              </w:rPr>
            </w:pPr>
          </w:p>
        </w:tc>
        <w:tc>
          <w:tcPr>
            <w:tcW w:w="22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(36 )</w:t>
            </w:r>
          </w:p>
        </w:tc>
        <w:tc>
          <w:tcPr>
            <w:tcW w:w="26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r>
    </w:tbl>
    <w:p>
      <w:pPr>
        <w:spacing w:after="0" w:line="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loan and deposit volumes, mix and pricing, and deposit maturities. In the scenarios presented, the Company also assumed gradual changes in interest rates during a twelve-month period as compared with the base scenario. Changes in amounts presented since December 31, 2023 reflect changes in portfolio composition (including shifts between noninterest-bearing and interest-bearing deposits and higher levels of borrowings), the level of market-implied forward interest rates and hedging actions taken by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62" w:name="page63"/>
    <w:bookmarkEnd w:id="62"/>
    <w:p>
      <w:pPr>
        <w:jc w:val="both"/>
        <w:spacing w:after="0" w:line="257" w:lineRule="auto"/>
        <w:rPr>
          <w:sz w:val="20"/>
          <w:szCs w:val="20"/>
          <w:color w:val="auto"/>
        </w:rPr>
      </w:pPr>
      <w:r>
        <w:rPr>
          <w:rFonts w:ascii="Times New Roman" w:cs="Times New Roman" w:eastAsia="Times New Roman" w:hAnsi="Times New Roman"/>
          <w:sz w:val="20"/>
          <w:szCs w:val="20"/>
          <w:color w:val="auto"/>
        </w:rPr>
        <w:t>Company. Amidst the rising interest rate environment since the first quarter of 2022, M&amp;T's cumulative deposit pricing beta, which is the change in deposit pricing in response to a change in market interest rates, approximated 55 percent. Excluding brokered deposits that cumulative pricing beta approximated 50 percent. The cumulative deposit pricing beta (including and excluding brokered deposits) is assumed to approximate 50 to 55 percent in the interest rate scenarios presented.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Management also uses an “economic value of equity” model to supplement the modeling technique described above and provide a long-term interest rate risk metric. Economic value of equity is a point-in-time analysis of the economic sensitivity of assets, liabilities and off-balance sheet positions that incorporates all cash flows over their estimated remaining lives. Management measures the impact of changes in market values due to interest rates under a number of scenarios, including immediate shifts of the yield curve.</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In addition to the effect of interest rates, changes in fair value of the Company’s financial instruments can also result from a lack of trading activity for similar instruments in the financial markets. Information about the fair valuation of financial instruments is presented in note 12 of Notes to Financial Statements.</w:t>
      </w:r>
    </w:p>
    <w:p>
      <w:pPr>
        <w:spacing w:after="0" w:line="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Company enters into interest rate and foreign exchange contracts to meet the financial needs of customers that it includes in its financial statements as other non-hedging derivatives within other assets and other liabilities. Financial instruments utilized for such activities consist predominantly of interest rate swap agreements and forward and futures contracts related to foreign currencies. The Company generally mitigates the foreign currency and interest rate risk associated with customer activities by entering into offsetting positions with third parties that are also included in other assets and other liabilities. The fair values of non-hedging derivative positions associated with interest rate contracts and foreign currency and other option and futures contracts are presented in note 10 of Notes to Financial Statements. As with any non-government guaranteed financial instrument, the Company is exposed to credit risk associated with counterparties to the Company’s non-hedging derivative activities. Although the notional amounts of these contracts are not recorded in the Consolidated Balance Sheet, the unsettled fair values of such financial instruments are recorded in the Consolidated Balance Sheet. The fair values of such non-hedging derivative assets and liabilities recognized on the Consolidated Balance Sheet were $258 million and $1.0 billion, respectively, at March 31, 2024 and $256 million and $898 million, respectively, at December 31, 2023. The fair value asset and liability amounts at March 31, 2024 have been reduced by contractual settlements of $893 million and $16 million, respectively, and at December 31, 2023 have been reduced by contractual settlements of $783 million and $32 million, respectively. The amounts associated with the Company's non-hedging derivative activities at March 31, 2024 and December 31, 2023 reflect changes in values associated with interest rate swap agreements entered into with commercial customers that are not subject to periodic variation margin settlement payments.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Trading account assets were $99 million at March 31, 2024 and $106 million at December 31, 2023. Included in trading account assets were assets related to deferred compensation plans of $22 million at each of March 31, 2024 and December 31, 2023. Changes in the fair values of such assets are recorded as trading account and other non-hedging derivative gains in the Consolidated Statement of Income. Included in accrued interest and other liabilities in the Consolidated Balance Sheet was $27 million of liabilities related to deferred compensation plans at each of March 31, 2024 and December 31, 2023. Changes in the balances of such liabilities due to the valuation of allocated investment options to which the liabilities are indexed and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$77 million at March 31, 2024 and $80 million at December 31, 2023.</w:t>
      </w:r>
    </w:p>
    <w:p>
      <w:pPr>
        <w:spacing w:after="0" w:line="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Given the Company’s policies and positions, management believes that the potential loss exposure to the Company resulting from market risk associated with trading account and other non-hedging derivative activities was not material, however, as previously noted, the Company is exposed to credit risk associated with counterparties to transactions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3" w:name="page64"/>
    <w:bookmarkEnd w:id="63"/>
    <w:p>
      <w:pPr>
        <w:jc w:val="both"/>
        <w:ind w:right="60"/>
        <w:spacing w:after="0" w:line="270" w:lineRule="auto"/>
        <w:rPr>
          <w:sz w:val="20"/>
          <w:szCs w:val="20"/>
          <w:color w:val="auto"/>
        </w:rPr>
      </w:pPr>
      <w:r>
        <w:rPr>
          <w:rFonts w:ascii="Times New Roman" w:cs="Times New Roman" w:eastAsia="Times New Roman" w:hAnsi="Times New Roman"/>
          <w:sz w:val="21"/>
          <w:szCs w:val="21"/>
          <w:color w:val="auto"/>
        </w:rPr>
        <w:t>related to the Company’s actions to mitigate foreign currency and interest rate risk associated with customer activities. Information about the Company’s use of derivative financial instruments is included in note 10 of Notes to Financial Statements.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Capital</w:t>
      </w:r>
    </w:p>
    <w:p>
      <w:pPr>
        <w:spacing w:after="0" w:line="112" w:lineRule="exact"/>
        <w:rPr>
          <w:sz w:val="20"/>
          <w:szCs w:val="20"/>
          <w:color w:val="auto"/>
        </w:rPr>
      </w:pPr>
    </w:p>
    <w:p>
      <w:pPr>
        <w:jc w:val="both"/>
        <w:ind w:right="60"/>
        <w:spacing w:after="0" w:line="295" w:lineRule="auto"/>
        <w:rPr>
          <w:sz w:val="20"/>
          <w:szCs w:val="20"/>
          <w:color w:val="auto"/>
        </w:rPr>
      </w:pPr>
      <w:r>
        <w:rPr>
          <w:rFonts w:ascii="Times New Roman" w:cs="Times New Roman" w:eastAsia="Times New Roman" w:hAnsi="Times New Roman"/>
          <w:sz w:val="20"/>
          <w:szCs w:val="20"/>
          <w:color w:val="auto"/>
        </w:rPr>
        <w:t>The following table presents components related to shareholders' equity and dividends. Reconciliations of total common shareholders’ equity and tangible common equity and total assets and tangible assets as of each of those dates are presented in Table 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SHAREHOLDERS' EQUITY, DIVIDENDS AND SELECT RATIOS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220" w:type="dxa"/>
            <w:vAlign w:val="bottom"/>
          </w:tcPr>
          <w:p>
            <w:pPr>
              <w:spacing w:after="0"/>
              <w:rPr>
                <w:sz w:val="14"/>
                <w:szCs w:val="14"/>
                <w:color w:val="auto"/>
              </w:rPr>
            </w:pPr>
          </w:p>
        </w:tc>
        <w:tc>
          <w:tcPr>
            <w:tcW w:w="18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4"/>
                <w:szCs w:val="14"/>
                <w:color w:val="auto"/>
              </w:rPr>
            </w:pPr>
          </w:p>
        </w:tc>
        <w:tc>
          <w:tcPr>
            <w:tcW w:w="19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4"/>
                <w:szCs w:val="14"/>
                <w:color w:val="auto"/>
              </w:rPr>
            </w:pP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27,169</w:t>
            </w:r>
          </w:p>
        </w:tc>
        <w:tc>
          <w:tcPr>
            <w:tcW w:w="4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26,957</w:t>
            </w:r>
          </w:p>
        </w:tc>
        <w:tc>
          <w:tcPr>
            <w:tcW w:w="4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220" w:type="dxa"/>
            <w:vAlign w:val="bottom"/>
          </w:tcPr>
          <w:p>
            <w:pPr>
              <w:spacing w:after="0"/>
              <w:rPr>
                <w:sz w:val="21"/>
                <w:szCs w:val="21"/>
                <w:color w:val="auto"/>
              </w:rPr>
            </w:pPr>
          </w:p>
        </w:tc>
        <w:tc>
          <w:tcPr>
            <w:tcW w:w="1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(2,011 )</w:t>
            </w:r>
          </w:p>
        </w:tc>
        <w:tc>
          <w:tcPr>
            <w:tcW w:w="160" w:type="dxa"/>
            <w:vAlign w:val="bottom"/>
          </w:tcPr>
          <w:p>
            <w:pPr>
              <w:spacing w:after="0"/>
              <w:rPr>
                <w:sz w:val="21"/>
                <w:szCs w:val="21"/>
                <w:color w:val="auto"/>
              </w:rPr>
            </w:pP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(2,011 )</w:t>
            </w:r>
          </w:p>
        </w:tc>
        <w:tc>
          <w:tcPr>
            <w:tcW w:w="220" w:type="dxa"/>
            <w:vAlign w:val="bottom"/>
          </w:tcPr>
          <w:p>
            <w:pPr>
              <w:spacing w:after="0"/>
              <w:rPr>
                <w:sz w:val="21"/>
                <w:szCs w:val="21"/>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(2,011 )</w:t>
            </w:r>
          </w:p>
        </w:tc>
        <w:tc>
          <w:tcPr>
            <w:tcW w:w="60" w:type="dxa"/>
            <w:vAlign w:val="bottom"/>
          </w:tcPr>
          <w:p>
            <w:pPr>
              <w:spacing w:after="0"/>
              <w:rPr>
                <w:sz w:val="21"/>
                <w:szCs w:val="21"/>
                <w:color w:val="auto"/>
              </w:rPr>
            </w:pPr>
          </w:p>
        </w:tc>
      </w:tr>
      <w:tr>
        <w:trPr>
          <w:trHeight w:val="277"/>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shareholders' equity</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25,158</w:t>
            </w:r>
          </w:p>
        </w:tc>
        <w:tc>
          <w:tcPr>
            <w:tcW w:w="4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24,946</w:t>
            </w:r>
          </w:p>
        </w:tc>
        <w:tc>
          <w:tcPr>
            <w:tcW w:w="4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23,366</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7"/>
        </w:trPr>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shareholders’ equity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150.15</w:t>
            </w: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Tangible common shareholders’ equity</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Ratios:</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Shareholder's equity to total assets</w:t>
            </w:r>
          </w:p>
        </w:tc>
        <w:tc>
          <w:tcPr>
            <w:tcW w:w="220" w:type="dxa"/>
            <w:vAlign w:val="bottom"/>
          </w:tcPr>
          <w:p>
            <w:pPr>
              <w:spacing w:after="0"/>
              <w:rPr>
                <w:sz w:val="20"/>
                <w:szCs w:val="20"/>
                <w:color w:val="auto"/>
              </w:rPr>
            </w:pP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12.63 %</w:t>
            </w:r>
          </w:p>
        </w:tc>
        <w:tc>
          <w:tcPr>
            <w:tcW w:w="160" w:type="dxa"/>
            <w:vAlign w:val="bottom"/>
          </w:tcPr>
          <w:p>
            <w:pPr>
              <w:spacing w:after="0"/>
              <w:rPr>
                <w:sz w:val="20"/>
                <w:szCs w:val="20"/>
                <w:color w:val="auto"/>
              </w:rPr>
            </w:pP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12.94 %</w:t>
            </w:r>
          </w:p>
        </w:tc>
        <w:tc>
          <w:tcPr>
            <w:tcW w:w="2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12.50 %</w:t>
            </w:r>
          </w:p>
        </w:tc>
      </w:tr>
      <w:tr>
        <w:trPr>
          <w:trHeight w:val="215"/>
        </w:trPr>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Tangible common shareholders' equity</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 tangible assets</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for quarter ended:</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per share</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-1705610</wp:posOffset>
            </wp:positionV>
            <wp:extent cx="77470"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-1687830</wp:posOffset>
            </wp:positionV>
            <wp:extent cx="7747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-1705610</wp:posOffset>
            </wp:positionV>
            <wp:extent cx="6858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-1687830</wp:posOffset>
            </wp:positionV>
            <wp:extent cx="68580"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-1705610</wp:posOffset>
            </wp:positionV>
            <wp:extent cx="68580"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21"/>
          <w:szCs w:val="21"/>
          <w:color w:val="auto"/>
        </w:rPr>
        <w:t>Shareholders’ equity reflects accumulated other comprehensive income or loss, which includes the net after-tax impact of unrealized gains or losses on investment securities classified as available for sale, gains or losses associated with interest rate swap agreements designated as cash flow hedges and adjustments to reflect the funded status of defined benefit pension and other postretirement plans. The components of other comprehensive income (loss) are presented in the following table.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ACCUMULATED OTHER COMPREHENSIVE INCOME (LOSS) - NET OF INCOME TAX</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unrealized losses, net (a)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(197 )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(187 )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(264 )</w:t>
            </w: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 unrealized losses, net (b)</w:t>
            </w:r>
          </w:p>
        </w:tc>
        <w:tc>
          <w:tcPr>
            <w:tcW w:w="18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(268 )</w:t>
            </w:r>
          </w:p>
        </w:tc>
        <w:tc>
          <w:tcPr>
            <w:tcW w:w="1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(151 )</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(169 )</w:t>
            </w:r>
          </w:p>
        </w:tc>
      </w:tr>
      <w:tr>
        <w:trPr>
          <w:trHeight w:val="24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Defined benefit plans adjustments, net (c)</w:t>
            </w: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(116 )</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(115 )</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(204 )</w:t>
            </w: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0"/>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1"/>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(589 )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(459 )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(645 )</w:t>
            </w:r>
          </w:p>
        </w:tc>
      </w:tr>
      <w:tr>
        <w:trPr>
          <w:trHeight w:val="223"/>
        </w:trPr>
        <w:tc>
          <w:tcPr>
            <w:tcW w:w="710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63"/>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 net, per common share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(3.53 )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(3.89 )</w:t>
            </w:r>
          </w:p>
        </w:tc>
      </w:tr>
      <w:tr>
        <w:trPr>
          <w:trHeight w:val="20"/>
        </w:trPr>
        <w:tc>
          <w:tcPr>
            <w:tcW w:w="7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-359410</wp:posOffset>
            </wp:positionV>
            <wp:extent cx="76835"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-342265</wp:posOffset>
            </wp:positionV>
            <wp:extent cx="76835"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-359410</wp:posOffset>
            </wp:positionV>
            <wp:extent cx="6858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-342265</wp:posOffset>
            </wp:positionV>
            <wp:extent cx="6858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76835"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76835"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Refer to note 3 of Notes to Financial Statements.</w:t>
      </w:r>
    </w:p>
    <w:p>
      <w:pPr>
        <w:spacing w:after="0" w:line="5" w:lineRule="exact"/>
        <w:rPr>
          <w:rFonts w:ascii="Times New Roman" w:cs="Times New Roman" w:eastAsia="Times New Roman" w:hAnsi="Times New Roman"/>
          <w:sz w:val="14"/>
          <w:szCs w:val="14"/>
          <w:i w:val="1"/>
          <w:iCs w:val="1"/>
          <w:color w:val="auto"/>
        </w:rPr>
      </w:pPr>
    </w:p>
    <w:p>
      <w:pPr>
        <w:ind w:left="520" w:hanging="512"/>
        <w:spacing w:after="0" w:line="221" w:lineRule="auto"/>
        <w:tabs>
          <w:tab w:leader="none" w:pos="520"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Refer to note 10 of Notes to Financial Statements.</w:t>
      </w:r>
    </w:p>
    <w:p>
      <w:pPr>
        <w:ind w:left="520" w:hanging="512"/>
        <w:spacing w:after="0"/>
        <w:tabs>
          <w:tab w:leader="none" w:pos="520"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Refer to note 7 of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1903095"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63" w:lineRule="exact"/>
        <w:rPr>
          <w:sz w:val="20"/>
          <w:szCs w:val="20"/>
          <w:color w:val="auto"/>
        </w:rPr>
      </w:pPr>
    </w:p>
    <w:p>
      <w:pPr>
        <w:jc w:val="both"/>
        <w:ind w:right="60"/>
        <w:spacing w:after="0" w:line="248" w:lineRule="auto"/>
        <w:rPr>
          <w:sz w:val="20"/>
          <w:szCs w:val="20"/>
          <w:color w:val="auto"/>
        </w:rPr>
      </w:pPr>
      <w:r>
        <w:rPr>
          <w:rFonts w:ascii="Times New Roman" w:cs="Times New Roman" w:eastAsia="Times New Roman" w:hAnsi="Times New Roman"/>
          <w:sz w:val="21"/>
          <w:szCs w:val="21"/>
          <w:color w:val="auto"/>
        </w:rPr>
        <w:t>Reflected in the carrying amount of available-for-sale investment securities at March 31, 2024 were pre-tax effect unrealized gains of $1 million on securities with an amortized cost of $622 million and pre-tax effect unrealized losses of $264 million on securities with an amortized cost of $11.8 billion. Information concerning the Company’s fair valuations of investment securities is provided in notes 3 and 12 of Notes to Financial Statements. As also described in note 3 of Notes to Financial Statements, the Company does not expect any material credit-related losses with respect to its investment securities portfolio at March 31, 2024.</w:t>
      </w:r>
    </w:p>
    <w:p>
      <w:pPr>
        <w:spacing w:after="0" w:line="75"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20"/>
          <w:szCs w:val="20"/>
          <w:color w:val="auto"/>
        </w:rPr>
        <w:t>Pursuant to previously approved capital plans and authorizations approved by M&amp;T's Board of Directors, M&amp;T repurchased 3,838,157 shares of its common stock for a total cost of $600 million, including the share repurchase excise tax, under the program in the first quarter of 2023. There were no shares of common stock repurchased in the fourth quarter of 2023 and the first quarter of 2024.</w:t>
      </w:r>
    </w:p>
    <w:p>
      <w:pPr>
        <w:spacing w:after="0" w:line="1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2" w:right="279" w:bottom="1440" w:gutter="0" w:footer="0" w:header="0"/>
        </w:sectPr>
      </w:pPr>
    </w:p>
    <w:bookmarkStart w:id="64" w:name="page65"/>
    <w:bookmarkEnd w:id="64"/>
    <w:p>
      <w:pPr>
        <w:ind w:right="60"/>
        <w:spacing w:after="0" w:line="270" w:lineRule="auto"/>
        <w:rPr>
          <w:sz w:val="20"/>
          <w:szCs w:val="20"/>
          <w:color w:val="auto"/>
        </w:rPr>
      </w:pPr>
      <w:r>
        <w:rPr>
          <w:rFonts w:ascii="Times New Roman" w:cs="Times New Roman" w:eastAsia="Times New Roman" w:hAnsi="Times New Roman"/>
          <w:sz w:val="21"/>
          <w:szCs w:val="21"/>
          <w:color w:val="auto"/>
        </w:rPr>
        <w:t>M&amp;T and its subsidiary banks are required to comply with applicable Capital Rules. Pursuant to those regulations, the minimum capital ratios are as follows:</w:t>
      </w:r>
    </w:p>
    <w:p>
      <w:pPr>
        <w:spacing w:after="0" w:line="51"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4.5% CET1 to RWA (each as defined in the Capital Rules);</w:t>
      </w:r>
    </w:p>
    <w:p>
      <w:pPr>
        <w:spacing w:after="0" w:line="109" w:lineRule="exact"/>
        <w:rPr>
          <w:rFonts w:ascii="Times New Roman" w:cs="Times New Roman" w:eastAsia="Times New Roman" w:hAnsi="Times New Roman"/>
          <w:sz w:val="21"/>
          <w:szCs w:val="21"/>
          <w:color w:val="auto"/>
        </w:rPr>
      </w:pPr>
    </w:p>
    <w:p>
      <w:pPr>
        <w:ind w:left="760" w:hanging="378"/>
        <w:spacing w:after="0"/>
        <w:tabs>
          <w:tab w:leader="none" w:pos="76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6.0% Tier 1 capital (that is, CET1 plus additional Tier 1 capital) to RWA (each as defined in the Capital Rules);</w:t>
      </w:r>
    </w:p>
    <w:p>
      <w:pPr>
        <w:spacing w:after="0" w:line="109" w:lineRule="exact"/>
        <w:rPr>
          <w:rFonts w:ascii="Times New Roman" w:cs="Times New Roman" w:eastAsia="Times New Roman" w:hAnsi="Times New Roman"/>
          <w:sz w:val="21"/>
          <w:szCs w:val="21"/>
          <w:color w:val="auto"/>
        </w:rPr>
      </w:pPr>
    </w:p>
    <w:p>
      <w:pPr>
        <w:ind w:left="760" w:hanging="378"/>
        <w:spacing w:after="0"/>
        <w:tabs>
          <w:tab w:leader="none" w:pos="76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8.0% Total capital (that is, Tier 1 capital plus Tier 2 capital) to RWA (each as defined in the Capital Rules); and</w:t>
      </w:r>
    </w:p>
    <w:p>
      <w:pPr>
        <w:spacing w:after="0" w:line="109" w:lineRule="exact"/>
        <w:rPr>
          <w:rFonts w:ascii="Times New Roman" w:cs="Times New Roman" w:eastAsia="Times New Roman" w:hAnsi="Times New Roman"/>
          <w:sz w:val="21"/>
          <w:szCs w:val="21"/>
          <w:color w:val="auto"/>
        </w:rPr>
      </w:pPr>
    </w:p>
    <w:p>
      <w:pPr>
        <w:ind w:left="760" w:right="60" w:hanging="378"/>
        <w:spacing w:after="0" w:line="270" w:lineRule="auto"/>
        <w:tabs>
          <w:tab w:leader="none" w:pos="76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 Tier 1 capital to average consolidated assets as reported on consolidated financial statements (known as the “leverage ratio”), as defined in the Capital Rules.</w:t>
      </w:r>
    </w:p>
    <w:p>
      <w:pPr>
        <w:spacing w:after="0" w:line="51"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21"/>
          <w:szCs w:val="21"/>
          <w:color w:val="auto"/>
        </w:rPr>
        <w:t>Capital Rules require buffers in addition to the minimum risk-based capital ratios noted above. M&amp;T is subject to a SCB requirement that is determined through the Federal Reserve’s supervisory stress tests and M&amp;T’s bank subsidiaries are subject to a 2.5% capital conservation buffer requirement. The buffer requirement must be composed entirely of CET1. Based on the Federal Reserve's most recent supervisory stress tests M&amp;T's SCB is 4.0%.</w:t>
      </w:r>
    </w:p>
    <w:p>
      <w:pPr>
        <w:spacing w:after="0" w:line="70"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21"/>
          <w:szCs w:val="21"/>
          <w:color w:val="auto"/>
        </w:rPr>
        <w:t>The regulatory capital ratios of the Company and its bank subsidiaries, M&amp;T Bank and Wilmington Trust, N.A., as of March 31, 2024 are presented in the accompanying table.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REGULATORY CAPITAL RATIOS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March 31, 2024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M&amp;T</w:t>
            </w:r>
          </w:p>
        </w:tc>
        <w:tc>
          <w:tcPr>
            <w:tcW w:w="380" w:type="dxa"/>
            <w:vAlign w:val="bottom"/>
          </w:tcPr>
          <w:p>
            <w:pPr>
              <w:spacing w:after="0"/>
              <w:rPr>
                <w:sz w:val="19"/>
                <w:szCs w:val="19"/>
                <w:color w:val="auto"/>
              </w:rPr>
            </w:pPr>
          </w:p>
        </w:tc>
        <w:tc>
          <w:tcPr>
            <w:tcW w:w="17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M&amp;T</w:t>
            </w:r>
          </w:p>
        </w:tc>
        <w:tc>
          <w:tcPr>
            <w:tcW w:w="240" w:type="dxa"/>
            <w:vAlign w:val="bottom"/>
          </w:tcPr>
          <w:p>
            <w:pPr>
              <w:spacing w:after="0"/>
              <w:rPr>
                <w:sz w:val="19"/>
                <w:szCs w:val="19"/>
                <w:color w:val="auto"/>
              </w:rPr>
            </w:pPr>
          </w:p>
        </w:tc>
        <w:tc>
          <w:tcPr>
            <w:tcW w:w="16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Wilmington</w:t>
            </w:r>
          </w:p>
        </w:tc>
      </w:tr>
      <w:tr>
        <w:trPr>
          <w:trHeight w:val="252"/>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millions)</w:t>
            </w: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Bank</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Trust, N.A.</w:t>
            </w:r>
          </w:p>
        </w:tc>
        <w:tc>
          <w:tcPr>
            <w:tcW w:w="160" w:type="dxa"/>
            <w:vAlign w:val="bottom"/>
            <w:gridSpan w:val="2"/>
          </w:tcPr>
          <w:p>
            <w:pPr>
              <w:spacing w:after="0"/>
              <w:rPr>
                <w:sz w:val="21"/>
                <w:szCs w:val="2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CET1</w:t>
            </w:r>
          </w:p>
        </w:tc>
        <w:tc>
          <w:tcPr>
            <w:tcW w:w="20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11.08 %</w:t>
            </w:r>
          </w:p>
        </w:tc>
        <w:tc>
          <w:tcPr>
            <w:tcW w:w="38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11.66 %</w:t>
            </w:r>
          </w:p>
        </w:tc>
        <w:tc>
          <w:tcPr>
            <w:tcW w:w="24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260.57 %</w:t>
            </w:r>
          </w:p>
        </w:tc>
      </w:tr>
      <w:tr>
        <w:trPr>
          <w:trHeight w:val="24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capital</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capital</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leverage</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RWA</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155,338</w:t>
            </w: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154,730</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5430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9" w:lineRule="exact"/>
        <w:rPr>
          <w:sz w:val="20"/>
          <w:szCs w:val="20"/>
          <w:color w:val="auto"/>
        </w:rPr>
      </w:pPr>
    </w:p>
    <w:p>
      <w:pPr>
        <w:jc w:val="both"/>
        <w:ind w:right="60"/>
        <w:spacing w:after="0" w:line="243" w:lineRule="auto"/>
        <w:rPr>
          <w:sz w:val="20"/>
          <w:szCs w:val="20"/>
          <w:color w:val="auto"/>
        </w:rPr>
      </w:pPr>
      <w:r>
        <w:rPr>
          <w:rFonts w:ascii="Times New Roman" w:cs="Times New Roman" w:eastAsia="Times New Roman" w:hAnsi="Times New Roman"/>
          <w:sz w:val="21"/>
          <w:szCs w:val="21"/>
          <w:color w:val="auto"/>
        </w:rPr>
        <w:t>Capital Rules generally require the deduction of goodwill and core deposit and other intangible assets, net of applicable deferred taxes, from the calculation of capital in the determination of the minimum capital ratios. As a result of previous business acquisitions, the Company recorded goodwill of $8.5 billion and core deposit and other intangible assets of $132 million at March 31, 2024. Goodwill, as required by GAAP, is not amortized, but rather is tested for impairment at least annually at the business reporting unit level. The Company completed its annual goodwill impairment test in the fourth quarter of 2023 and concluded the amount of goodwill was not impaired at the testing date. The Company has not identified events or circumstances that would more likely than not reduce the fair value of a business reporting unit below its carrying amount at March 31, 2024. Should a business reporting unit with assigned goodwill experience declines in revenue, increased credit losses or expenses, or other adverse developments due to economic, regulatory, competition or other factors, that would be material to that reporting unit, an impairment of goodwill could occur in a future period that could be material to the Company's Consolidated Balance Sheet and its Consolidated Statement of Income. Although a goodwill impairment charge would not have a significant impact on the Company's regulatory tangible capital ratios, it would reduce the capacity of its bank subsidiary, M&amp;T Bank, to dividend earnings to M&amp;T. As described herein under the heading "Liquidity Risk", M&amp;T's parent company liquidity at March 31, 2024 covered projected cash outflows for more than 24 months, including dividends on common and preferred stock, debt service and scheduled debt maturities. Information concerning goodwill and other intangible assets is included in note 8 of Notes to Financial Statements in the 2023 Annual Report.</w:t>
      </w:r>
    </w:p>
    <w:p>
      <w:pPr>
        <w:spacing w:after="0" w:line="1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2" w:right="279" w:bottom="1440" w:gutter="0" w:footer="0" w:header="0"/>
        </w:sectPr>
      </w:pPr>
    </w:p>
    <w:bookmarkStart w:id="65" w:name="page66"/>
    <w:bookmarkEnd w:id="65"/>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The Company is subject to the comprehensive regulatory framework applicable to bank and financial holding companies and their subsidiaries, which includes examinations by a number of regulators. Regulation of financial institutions such as M&amp;T and its subsidiaries is intended primarily for the protection of depositors, the DIF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the 2023 Annual Report.</w:t>
      </w:r>
    </w:p>
    <w:p>
      <w:pPr>
        <w:spacing w:after="0" w:line="67"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1"/>
          <w:szCs w:val="21"/>
          <w:color w:val="auto"/>
        </w:rPr>
        <w:t>On July 27, 2023, the federal banking agencies issued a notice of proposed rulemaking to modify the regulatory capital requirements applicable to large banking organizations with over $100 billion of total assets and their depository institution subsidiaries. The proposed rule would generally require banking organizations subject to Category III and IV standards, like the Company, to compute their regulatory capital consistent with Category I and II standards. Management is in the process of evaluating the impact of the proposed rule on the regulatory capital requirements of M&amp;T and its subsidiary banks and currently estimates the proposed rules would increase the Company's RWA by a percentage in the mid-single digits.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Segment Information</w:t>
      </w:r>
    </w:p>
    <w:p>
      <w:pPr>
        <w:spacing w:after="0" w:line="112"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1"/>
          <w:szCs w:val="21"/>
          <w:color w:val="auto"/>
        </w:rPr>
        <w:t>Reportable segments have been determined based upon the Company's organizational structure and its internal profitability reporting system. Financial information about the Company's segments is presented in note 14 of Notes to Financial Statements. The reportable segments are Commercial Bank, Retail Bank, and Institutional Services and Wealth Management. All other business activities that are not included in the three reportable segment results have been included in the "All Other" category.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INCOME (LOSS) BY SEGMENT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0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9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Bank</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(19 )</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-9 %</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(132 )</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 Bank</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Institutional Services and Wealth</w:t>
            </w:r>
          </w:p>
        </w:tc>
        <w:tc>
          <w:tcPr>
            <w:tcW w:w="3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Management</w:t>
            </w:r>
          </w:p>
        </w:tc>
        <w:tc>
          <w:tcPr>
            <w:tcW w:w="30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3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(244 )</w:t>
            </w:r>
          </w:p>
        </w:tc>
        <w:tc>
          <w:tcPr>
            <w:tcW w:w="8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(281 )</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(244 )</w:t>
            </w:r>
          </w:p>
        </w:tc>
        <w:tc>
          <w:tcPr>
            <w:tcW w:w="64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(193 )</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Total net income</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10 %</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(171 )</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-24765</wp:posOffset>
            </wp:positionV>
            <wp:extent cx="76835"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-7620</wp:posOffset>
            </wp:positionV>
            <wp:extent cx="76835"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-24765</wp:posOffset>
            </wp:positionV>
            <wp:extent cx="7747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77470"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wp:posOffset>
            </wp:positionV>
            <wp:extent cx="6858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68580"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6858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8580"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-24765</wp:posOffset>
            </wp:positionV>
            <wp:extent cx="6858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-7620</wp:posOffset>
            </wp:positionV>
            <wp:extent cx="68580"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Commercial Bank</w:t>
      </w:r>
    </w:p>
    <w:p>
      <w:pPr>
        <w:spacing w:after="0" w:line="11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The Commercial Bank segment provides a wide range of credit products and banking services to middle-market and large commercial customers, mainly within the markets served by the Company. Services provided by this segment include commercial lending and leasing, credit facilities which are secured by various types of commercial real estate, letters of credit, deposit products and cash management services. Commercial real estate loans may be secured by multifamily residential buildings, hotels, office, retail and industrial space or other types of collateral. Activities of this segment include the origination, sales and servicing of commercial real estate loans through the Fannie Mae DUS program and other programs. Commercial real estate loans held for sale are included in this segment.</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92"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1"/>
          <w:szCs w:val="21"/>
          <w:color w:val="auto"/>
        </w:rPr>
        <w:t>COMMERCIAL BANK SEGMENT FINANCIAL SUMMARY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4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3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(35 )</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-6 %</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(101 )</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(25 )</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(60 )</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(112 )</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(36 )</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3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2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(25 )</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(178 )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3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(6 )</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(46 )</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(19 )</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-9 %</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(132 )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Average Balance Sheet</w:t>
            </w:r>
          </w:p>
        </w:tc>
        <w:tc>
          <w:tcPr>
            <w:tcW w:w="3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and leases:</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49,048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47,717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22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3 %</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49,048</w:t>
            </w:r>
          </w:p>
        </w:tc>
        <w:tc>
          <w:tcPr>
            <w:tcW w:w="80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44,655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20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 real estate</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30,747</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31,489</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(742 )</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30,747</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33,280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(2,533 )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Residential real estate</w:t>
            </w:r>
          </w:p>
        </w:tc>
        <w:tc>
          <w:tcPr>
            <w:tcW w:w="3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Consumer</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loans and leases, net</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80,267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79,671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1 %</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80,267</w:t>
            </w:r>
          </w:p>
        </w:tc>
        <w:tc>
          <w:tcPr>
            <w:tcW w:w="80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78,289</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18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Deposits:</w:t>
            </w: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Noninterest-bearing</w:t>
            </w:r>
          </w:p>
        </w:tc>
        <w:tc>
          <w:tcPr>
            <w:tcW w:w="3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13,459</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14,527</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(1,068 )</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13,459</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20,206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(6,747 )</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Interest-bearing</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30,074</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29,127</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22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30,074</w:t>
            </w:r>
          </w:p>
        </w:tc>
        <w:tc>
          <w:tcPr>
            <w:tcW w:w="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22,593</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7,481</w:t>
            </w:r>
          </w:p>
        </w:tc>
        <w:tc>
          <w:tcPr>
            <w:tcW w:w="20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43,533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43,654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(121 )</w:t>
            </w:r>
          </w:p>
        </w:tc>
        <w:tc>
          <w:tcPr>
            <w:tcW w:w="900" w:type="dxa"/>
            <w:vAlign w:val="bottom"/>
            <w:gridSpan w:val="3"/>
          </w:tcPr>
          <w:p>
            <w:pPr>
              <w:jc w:val="right"/>
              <w:ind w:right="128"/>
              <w:spacing w:after="0" w:line="223"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5"/>
                <w:szCs w:val="25"/>
                <w:color w:val="auto"/>
                <w:vertAlign w:val="subscript"/>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43,533</w:t>
            </w:r>
          </w:p>
        </w:tc>
        <w:tc>
          <w:tcPr>
            <w:tcW w:w="80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42,799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20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-1722120</wp:posOffset>
            </wp:positionV>
            <wp:extent cx="76835"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-1722120</wp:posOffset>
            </wp:positionV>
            <wp:extent cx="7683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-1722120</wp:posOffset>
            </wp:positionV>
            <wp:extent cx="68580"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-1722120</wp:posOffset>
            </wp:positionV>
            <wp:extent cx="68580"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-1722120</wp:posOffset>
            </wp:positionV>
            <wp:extent cx="68580"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-1722120</wp:posOffset>
            </wp:positionV>
            <wp:extent cx="68580"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-1722120</wp:posOffset>
            </wp:positionV>
            <wp:extent cx="68580"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-1490980</wp:posOffset>
            </wp:positionV>
            <wp:extent cx="76835"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-1490980</wp:posOffset>
            </wp:positionV>
            <wp:extent cx="76835"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-1490980</wp:posOffset>
            </wp:positionV>
            <wp:extent cx="68580"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-1490980</wp:posOffset>
            </wp:positionV>
            <wp:extent cx="68580"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-1490980</wp:posOffset>
            </wp:positionV>
            <wp:extent cx="68580"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-1490980</wp:posOffset>
            </wp:positionV>
            <wp:extent cx="68580"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-1490980</wp:posOffset>
            </wp:positionV>
            <wp:extent cx="6858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-539115</wp:posOffset>
            </wp:positionV>
            <wp:extent cx="7683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-521970</wp:posOffset>
            </wp:positionV>
            <wp:extent cx="7683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-539115</wp:posOffset>
            </wp:positionV>
            <wp:extent cx="76835"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-521970</wp:posOffset>
            </wp:positionV>
            <wp:extent cx="76835"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-539115</wp:posOffset>
            </wp:positionV>
            <wp:extent cx="68580"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-521970</wp:posOffset>
            </wp:positionV>
            <wp:extent cx="68580"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-539115</wp:posOffset>
            </wp:positionV>
            <wp:extent cx="68580"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-521970</wp:posOffset>
            </wp:positionV>
            <wp:extent cx="68580"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-539115</wp:posOffset>
            </wp:positionV>
            <wp:extent cx="68580"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-521970</wp:posOffset>
            </wp:positionV>
            <wp:extent cx="68580"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-539115</wp:posOffset>
            </wp:positionV>
            <wp:extent cx="68580"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-521970</wp:posOffset>
            </wp:positionV>
            <wp:extent cx="68580"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-539115</wp:posOffset>
            </wp:positionV>
            <wp:extent cx="68580"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-521970</wp:posOffset>
            </wp:positionV>
            <wp:extent cx="68580"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21"/>
          <w:szCs w:val="21"/>
          <w:color w:val="auto"/>
        </w:rPr>
        <w:t>The Commercial Bank segment’s net income was $201 million in the first quarter of 2024, compared with $220 million in the fourth quarter of 2023.</w:t>
      </w:r>
    </w:p>
    <w:p>
      <w:pPr>
        <w:spacing w:after="0" w:line="51" w:lineRule="exact"/>
        <w:rPr>
          <w:sz w:val="20"/>
          <w:szCs w:val="20"/>
          <w:color w:val="auto"/>
        </w:rPr>
      </w:pPr>
    </w:p>
    <w:p>
      <w:pPr>
        <w:ind w:left="1020" w:right="40" w:hanging="503"/>
        <w:spacing w:after="0" w:line="270" w:lineRule="auto"/>
        <w:tabs>
          <w:tab w:leader="none" w:pos="102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declined $35 million reflecting a narrowing of the net interest margin on loans and deposits by 13 basis points and 4 basis points, respectively.</w:t>
      </w:r>
    </w:p>
    <w:p>
      <w:pPr>
        <w:spacing w:after="0" w:line="50" w:lineRule="exact"/>
        <w:rPr>
          <w:rFonts w:ascii="Times New Roman" w:cs="Times New Roman" w:eastAsia="Times New Roman" w:hAnsi="Times New Roman"/>
          <w:sz w:val="21"/>
          <w:szCs w:val="21"/>
          <w:color w:val="auto"/>
        </w:rPr>
      </w:pPr>
    </w:p>
    <w:p>
      <w:pPr>
        <w:ind w:left="1020" w:right="40" w:hanging="503"/>
        <w:spacing w:after="0" w:line="270" w:lineRule="auto"/>
        <w:tabs>
          <w:tab w:leader="none" w:pos="102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decreased $25 million reflecting lower commercial mortgage banking revenues and a decrease in credit-related fees (predominantly loan syndication fees).</w:t>
      </w:r>
    </w:p>
    <w:p>
      <w:pPr>
        <w:spacing w:after="0" w:line="50" w:lineRule="exact"/>
        <w:rPr>
          <w:rFonts w:ascii="Times New Roman" w:cs="Times New Roman" w:eastAsia="Times New Roman" w:hAnsi="Times New Roman"/>
          <w:sz w:val="21"/>
          <w:szCs w:val="21"/>
          <w:color w:val="auto"/>
        </w:rPr>
      </w:pPr>
    </w:p>
    <w:p>
      <w:pPr>
        <w:ind w:left="1020" w:right="60" w:hanging="503"/>
        <w:spacing w:after="0" w:line="270" w:lineRule="auto"/>
        <w:tabs>
          <w:tab w:leader="none" w:pos="102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 for credit losses decreased $36 million reflecting lower net charge-offs on loans secured by commercial real estate, partially offset by higher net charge-offs on commercial and industrial loans.</w:t>
      </w:r>
    </w:p>
    <w:p>
      <w:pPr>
        <w:spacing w:after="0" w:line="50" w:lineRule="exact"/>
        <w:rPr>
          <w:rFonts w:ascii="Times New Roman" w:cs="Times New Roman" w:eastAsia="Times New Roman" w:hAnsi="Times New Roman"/>
          <w:sz w:val="21"/>
          <w:szCs w:val="21"/>
          <w:color w:val="auto"/>
        </w:rPr>
      </w:pPr>
    </w:p>
    <w:p>
      <w:pPr>
        <w:ind w:left="1020" w:right="60" w:hanging="503"/>
        <w:spacing w:after="0" w:line="270" w:lineRule="auto"/>
        <w:tabs>
          <w:tab w:leader="none" w:pos="102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loans and leases increased $596 million reflecting $1.3 billion of growth in average commercial and industrial loans that spanned most industry types, partially offset by a reduction in average commercial real estate loans.</w:t>
      </w:r>
    </w:p>
    <w:p>
      <w:pPr>
        <w:spacing w:after="0" w:line="50" w:lineRule="exact"/>
        <w:rPr>
          <w:rFonts w:ascii="Times New Roman" w:cs="Times New Roman" w:eastAsia="Times New Roman" w:hAnsi="Times New Roman"/>
          <w:sz w:val="21"/>
          <w:szCs w:val="21"/>
          <w:color w:val="auto"/>
        </w:rPr>
      </w:pPr>
    </w:p>
    <w:p>
      <w:pPr>
        <w:ind w:left="1020" w:right="60" w:hanging="503"/>
        <w:spacing w:after="0" w:line="270" w:lineRule="auto"/>
        <w:tabs>
          <w:tab w:leader="none" w:pos="102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deposits in the recent quarter as compared with the final quarter of 2023 reflect a shift from noninterest-bearing accounts to interest-bearing products amidst an elevated interest rate environment.</w:t>
      </w:r>
    </w:p>
    <w:p>
      <w:pPr>
        <w:spacing w:after="0" w:line="5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21"/>
          <w:szCs w:val="21"/>
          <w:color w:val="auto"/>
        </w:rPr>
        <w:t>Net income for the Commercial Bank segment declined $132 million in the first quarter of 2024 from $333 million in the year-earlier quarter.</w:t>
      </w:r>
    </w:p>
    <w:p>
      <w:pPr>
        <w:spacing w:after="0" w:line="51" w:lineRule="exact"/>
        <w:rPr>
          <w:sz w:val="20"/>
          <w:szCs w:val="20"/>
          <w:color w:val="auto"/>
        </w:rPr>
      </w:pPr>
    </w:p>
    <w:p>
      <w:pPr>
        <w:ind w:left="1020" w:right="40" w:hanging="503"/>
        <w:spacing w:after="0" w:line="295" w:lineRule="auto"/>
        <w:tabs>
          <w:tab w:leader="none" w:pos="10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interest income declined $101 million reflecting a narrowing of the net interest margin on loans and deposits of 37 basis points and 43 basis points, respectively, partially offset by a rise in average outstanding loan balances of $2.0 billion.</w:t>
      </w:r>
    </w:p>
    <w:p>
      <w:pPr>
        <w:spacing w:after="0" w:line="28" w:lineRule="exact"/>
        <w:rPr>
          <w:rFonts w:ascii="Times New Roman" w:cs="Times New Roman" w:eastAsia="Times New Roman" w:hAnsi="Times New Roman"/>
          <w:sz w:val="20"/>
          <w:szCs w:val="20"/>
          <w:color w:val="auto"/>
        </w:rPr>
      </w:pPr>
    </w:p>
    <w:p>
      <w:pPr>
        <w:ind w:left="1020" w:right="40" w:hanging="503"/>
        <w:spacing w:after="0" w:line="295" w:lineRule="auto"/>
        <w:tabs>
          <w:tab w:leader="none" w:pos="10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Noninterest income decreased $11 million due to lower gains on sales of leased equipment and lower gains on commercial mortgage loans originated for sale, partially offset by higher service charges on commercial deposit accounts.</w:t>
      </w:r>
    </w:p>
    <w:p>
      <w:pPr>
        <w:spacing w:after="0" w:line="28" w:lineRule="exact"/>
        <w:rPr>
          <w:rFonts w:ascii="Times New Roman" w:cs="Times New Roman" w:eastAsia="Times New Roman" w:hAnsi="Times New Roman"/>
          <w:sz w:val="20"/>
          <w:szCs w:val="20"/>
          <w:color w:val="auto"/>
        </w:rPr>
      </w:pPr>
    </w:p>
    <w:p>
      <w:pPr>
        <w:ind w:left="1020" w:right="40" w:hanging="503"/>
        <w:spacing w:after="0" w:line="270" w:lineRule="auto"/>
        <w:tabs>
          <w:tab w:leader="none" w:pos="102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 for credit losses increased $43 million reflecting higher net charge-offs on commercial and industrial loans, partially offset by lower net charge-offs on loans secured by commercial real estate.</w:t>
      </w:r>
    </w:p>
    <w:p>
      <w:pPr>
        <w:spacing w:after="0" w:line="50" w:lineRule="exact"/>
        <w:rPr>
          <w:rFonts w:ascii="Times New Roman" w:cs="Times New Roman" w:eastAsia="Times New Roman" w:hAnsi="Times New Roman"/>
          <w:sz w:val="21"/>
          <w:szCs w:val="21"/>
          <w:color w:val="auto"/>
        </w:rPr>
      </w:pPr>
    </w:p>
    <w:p>
      <w:pPr>
        <w:ind w:left="1020" w:right="40" w:hanging="503"/>
        <w:spacing w:after="0" w:line="270" w:lineRule="auto"/>
        <w:tabs>
          <w:tab w:leader="none" w:pos="102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increased $23 million reflecting a rise in centrally-allocated costs associated with data processing, risk management and other support services provided to the Commercial Bank segment of $21 million.</w:t>
      </w:r>
    </w:p>
    <w:p>
      <w:pPr>
        <w:spacing w:after="0" w:line="159"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92" w:right="299" w:bottom="1440" w:gutter="0" w:footer="0" w:header="0"/>
        </w:sectPr>
      </w:pPr>
    </w:p>
    <w:bookmarkStart w:id="67" w:name="page68"/>
    <w:bookmarkEnd w:id="67"/>
    <w:p>
      <w:pPr>
        <w:jc w:val="both"/>
        <w:ind w:left="1020" w:right="40" w:hanging="503"/>
        <w:spacing w:after="0" w:line="274" w:lineRule="auto"/>
        <w:tabs>
          <w:tab w:leader="none" w:pos="10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increase in average loans from the first quarter of 2023 reflects higher average balances of commercial and industrial loans including growth in loans to financial and insurance industry customers and to motor-vehicle and recreational finance dealers, partially offset by a reduction in average permanent commercial real estate and average construction loans.</w:t>
      </w:r>
    </w:p>
    <w:p>
      <w:pPr>
        <w:spacing w:after="0" w:line="49" w:lineRule="exact"/>
        <w:rPr>
          <w:rFonts w:ascii="Times New Roman" w:cs="Times New Roman" w:eastAsia="Times New Roman" w:hAnsi="Times New Roman"/>
          <w:sz w:val="20"/>
          <w:szCs w:val="20"/>
          <w:color w:val="auto"/>
        </w:rPr>
      </w:pPr>
    </w:p>
    <w:p>
      <w:pPr>
        <w:ind w:left="1020" w:right="40" w:hanging="503"/>
        <w:spacing w:after="0" w:line="270" w:lineRule="auto"/>
        <w:tabs>
          <w:tab w:leader="none" w:pos="102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deposits grew $734 million from the year-earlier first quarter and reflected a shift in customer funds from noninterest-bearing accounts to interest-bearing products amidst an elevated interest rate environment.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Retail Bank</w:t>
      </w:r>
    </w:p>
    <w:p>
      <w:pPr>
        <w:spacing w:after="0" w:line="114"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20"/>
          <w:szCs w:val="20"/>
          <w:color w:val="auto"/>
        </w:rPr>
        <w:t>The Retail Bank segment provides a wide range of services to consumers and small businesses through the Company’s branch network and several other delivery channels such as telephone banking, internet banking and automated teller machines. The Company has branch offices in New York State, Maryland, New Jersey, Pennsylvania, Delaware, Connecticut, Massachusetts, Maine, Vermont, New Hampshire, Virginia, West Virginia and the District of Columbia. The segment offers to its customers deposit products, including demand, savings and time accounts, and other services. Credit services offered by this segment include automobile and recreational finance loans (originated both directly and indirectly through dealers), home equity loans and lines of credit, credit cards and other loan products. This segment also originates and services residential mortgage loans and either sells those loans in the secondary market to investors or retains them for investment purposes. Residential mortgage loans are also originated and serviced on behalf of the Institutional Services and Wealth Management segment. The Company periodically purchases the rights to service residential real estate loans that have been originated by other entities and also sub-services residential real estate loans for others. Residential real estate loans held for sale are included in this segment. This segment also provides various business loans, including loans guaranteed by the SBA, business credit cards, deposit products and services such as cash management, payroll and direct deposit, merchant credit card and letters of credits to small businesses and professionals through the Company's branch network and other delivery channels.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RETAIL BANK SEGMENT FINANCIAL SUMMARY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4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20" w:type="dxa"/>
            <w:vAlign w:val="bottom"/>
          </w:tcPr>
          <w:p>
            <w:pPr>
              <w:jc w:val="right"/>
              <w:ind w:right="6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3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(12 )</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-1 %</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80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(9 )</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3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(30 )</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3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(4 )</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2 %</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80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(6 )</w:t>
            </w:r>
          </w:p>
        </w:tc>
        <w:tc>
          <w:tcPr>
            <w:tcW w:w="520" w:type="dxa"/>
            <w:vAlign w:val="bottom"/>
            <w:gridSpan w:val="2"/>
          </w:tcPr>
          <w:p>
            <w:pPr>
              <w:jc w:val="center"/>
              <w:ind w:left="207"/>
              <w:spacing w:after="0"/>
              <w:rPr>
                <w:sz w:val="20"/>
                <w:szCs w:val="20"/>
                <w:color w:val="auto"/>
              </w:rPr>
            </w:pPr>
            <w:r>
              <w:rPr>
                <w:rFonts w:ascii="Times New Roman" w:cs="Times New Roman" w:eastAsia="Times New Roman" w:hAnsi="Times New Roman"/>
                <w:sz w:val="14"/>
                <w:szCs w:val="14"/>
                <w:color w:val="auto"/>
                <w:w w:val="89"/>
              </w:rPr>
              <w:t>-1 %</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Average Balance Sheet</w:t>
            </w:r>
          </w:p>
        </w:tc>
        <w:tc>
          <w:tcPr>
            <w:tcW w:w="3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and leases:</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6,874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6,766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2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2 %</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6,874</w:t>
            </w:r>
          </w:p>
        </w:tc>
        <w:tc>
          <w:tcPr>
            <w:tcW w:w="80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6,819</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 real estate</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(4 )</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(5 )</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Residential real estate</w:t>
            </w:r>
          </w:p>
        </w:tc>
        <w:tc>
          <w:tcPr>
            <w:tcW w:w="3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20,843</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21,057</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(214 )</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20,843</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21,721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(878 )</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Consumer</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20,387</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19,762</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22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20,387</w:t>
            </w:r>
          </w:p>
        </w:tc>
        <w:tc>
          <w:tcPr>
            <w:tcW w:w="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19,645</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20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loans and leases, net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49,493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2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1 %</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50,008</w:t>
            </w:r>
          </w:p>
        </w:tc>
        <w:tc>
          <w:tcPr>
            <w:tcW w:w="80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50,094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(86 )</w:t>
            </w:r>
          </w:p>
        </w:tc>
        <w:tc>
          <w:tcPr>
            <w:tcW w:w="560" w:type="dxa"/>
            <w:vAlign w:val="bottom"/>
            <w:gridSpan w:val="3"/>
          </w:tcPr>
          <w:p>
            <w:pPr>
              <w:jc w:val="center"/>
              <w:ind w:left="167"/>
              <w:spacing w:after="0"/>
              <w:rPr>
                <w:sz w:val="20"/>
                <w:szCs w:val="20"/>
                <w:color w:val="auto"/>
              </w:rPr>
            </w:pPr>
            <w:r>
              <w:rPr>
                <w:rFonts w:ascii="Times New Roman" w:cs="Times New Roman" w:eastAsia="Times New Roman" w:hAnsi="Times New Roman"/>
                <w:sz w:val="16"/>
                <w:szCs w:val="16"/>
                <w:color w:val="auto"/>
                <w:w w:val="95"/>
              </w:rPr>
              <w:t>— %</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Noninterest-bearing</w:t>
            </w:r>
          </w:p>
        </w:tc>
        <w:tc>
          <w:tcPr>
            <w:tcW w:w="3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25,380</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26,474</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(1,094 )</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25,380</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30,552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(5,172 )</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Interest-bearing</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66,269</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65,448</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22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66,269</w:t>
            </w:r>
          </w:p>
        </w:tc>
        <w:tc>
          <w:tcPr>
            <w:tcW w:w="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61,317</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20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91,649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91,922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(273 )</w:t>
            </w:r>
          </w:p>
        </w:tc>
        <w:tc>
          <w:tcPr>
            <w:tcW w:w="900" w:type="dxa"/>
            <w:vAlign w:val="bottom"/>
            <w:gridSpan w:val="3"/>
          </w:tcPr>
          <w:p>
            <w:pPr>
              <w:jc w:val="right"/>
              <w:ind w:right="128"/>
              <w:spacing w:after="0" w:line="223"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5"/>
                <w:szCs w:val="25"/>
                <w:color w:val="auto"/>
                <w:vertAlign w:val="subscript"/>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91,649</w:t>
            </w:r>
          </w:p>
        </w:tc>
        <w:tc>
          <w:tcPr>
            <w:tcW w:w="80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91,869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(220 )</w:t>
            </w:r>
          </w:p>
        </w:tc>
        <w:tc>
          <w:tcPr>
            <w:tcW w:w="560" w:type="dxa"/>
            <w:vAlign w:val="bottom"/>
            <w:gridSpan w:val="3"/>
          </w:tcPr>
          <w:p>
            <w:pPr>
              <w:jc w:val="center"/>
              <w:ind w:left="167"/>
              <w:spacing w:after="0"/>
              <w:rPr>
                <w:sz w:val="20"/>
                <w:szCs w:val="20"/>
                <w:color w:val="auto"/>
              </w:rPr>
            </w:pPr>
            <w:r>
              <w:rPr>
                <w:rFonts w:ascii="Times New Roman" w:cs="Times New Roman" w:eastAsia="Times New Roman" w:hAnsi="Times New Roman"/>
                <w:sz w:val="16"/>
                <w:szCs w:val="16"/>
                <w:color w:val="auto"/>
                <w:w w:val="95"/>
              </w:rPr>
              <w:t>—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-1757045</wp:posOffset>
            </wp:positionV>
            <wp:extent cx="76835"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-1757045</wp:posOffset>
            </wp:positionV>
            <wp:extent cx="76835"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-1757045</wp:posOffset>
            </wp:positionV>
            <wp:extent cx="6858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-1757045</wp:posOffset>
            </wp:positionV>
            <wp:extent cx="6858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-1757045</wp:posOffset>
            </wp:positionV>
            <wp:extent cx="6858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-1757045</wp:posOffset>
            </wp:positionV>
            <wp:extent cx="6858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-1757045</wp:posOffset>
            </wp:positionV>
            <wp:extent cx="6858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-1757045</wp:posOffset>
            </wp:positionV>
            <wp:extent cx="6858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-1525270</wp:posOffset>
            </wp:positionV>
            <wp:extent cx="7683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-1525270</wp:posOffset>
            </wp:positionV>
            <wp:extent cx="76835"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-1525270</wp:posOffset>
            </wp:positionV>
            <wp:extent cx="6858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-1525270</wp:posOffset>
            </wp:positionV>
            <wp:extent cx="68580"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-1525270</wp:posOffset>
            </wp:positionV>
            <wp:extent cx="68580"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-1525270</wp:posOffset>
            </wp:positionV>
            <wp:extent cx="68580"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-1525270</wp:posOffset>
            </wp:positionV>
            <wp:extent cx="68580"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7145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92" w:right="299" w:bottom="1440" w:gutter="0" w:footer="0" w:header="0"/>
        </w:sectPr>
      </w:pPr>
    </w:p>
    <w:bookmarkStart w:id="68" w:name="page69"/>
    <w:bookmarkEnd w:id="68"/>
    <w:p>
      <w:pPr>
        <w:ind w:right="20"/>
        <w:spacing w:after="0" w:line="270" w:lineRule="auto"/>
        <w:rPr>
          <w:sz w:val="20"/>
          <w:szCs w:val="20"/>
          <w:color w:val="auto"/>
        </w:rPr>
      </w:pPr>
      <w:r>
        <w:rPr>
          <w:rFonts w:ascii="Times New Roman" w:cs="Times New Roman" w:eastAsia="Times New Roman" w:hAnsi="Times New Roman"/>
          <w:sz w:val="21"/>
          <w:szCs w:val="21"/>
          <w:color w:val="auto"/>
        </w:rPr>
        <w:t>The Retail Bank segment’s net income increased $8 million to $446 million in the first quarter of 2024 from $438 million in the final quarter of 2023.</w:t>
      </w:r>
    </w:p>
    <w:p>
      <w:pPr>
        <w:spacing w:after="0" w:line="51"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declined $12 million.</w:t>
      </w:r>
    </w:p>
    <w:p>
      <w:pPr>
        <w:spacing w:after="0" w:line="109" w:lineRule="exact"/>
        <w:rPr>
          <w:rFonts w:ascii="Times New Roman" w:cs="Times New Roman" w:eastAsia="Times New Roman" w:hAnsi="Times New Roman"/>
          <w:sz w:val="21"/>
          <w:szCs w:val="21"/>
          <w:color w:val="auto"/>
        </w:rPr>
      </w:pPr>
    </w:p>
    <w:p>
      <w:pPr>
        <w:ind w:left="1020" w:hanging="503"/>
        <w:spacing w:after="0"/>
        <w:tabs>
          <w:tab w:leader="none" w:pos="10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increased $3 million.</w:t>
      </w:r>
    </w:p>
    <w:p>
      <w:pPr>
        <w:spacing w:after="0" w:line="109" w:lineRule="exact"/>
        <w:rPr>
          <w:rFonts w:ascii="Times New Roman" w:cs="Times New Roman" w:eastAsia="Times New Roman" w:hAnsi="Times New Roman"/>
          <w:sz w:val="21"/>
          <w:szCs w:val="21"/>
          <w:color w:val="auto"/>
        </w:rPr>
      </w:pPr>
    </w:p>
    <w:p>
      <w:pPr>
        <w:ind w:left="1020" w:hanging="503"/>
        <w:spacing w:after="0" w:line="270" w:lineRule="auto"/>
        <w:tabs>
          <w:tab w:leader="none" w:pos="10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 for credit losses increased $12 million reflecting higher net charge-offs of recreational finance loans, indirect auto loans and business banking loans.</w:t>
      </w:r>
    </w:p>
    <w:p>
      <w:pPr>
        <w:spacing w:after="0" w:line="50" w:lineRule="exact"/>
        <w:rPr>
          <w:rFonts w:ascii="Times New Roman" w:cs="Times New Roman" w:eastAsia="Times New Roman" w:hAnsi="Times New Roman"/>
          <w:sz w:val="21"/>
          <w:szCs w:val="21"/>
          <w:color w:val="auto"/>
        </w:rPr>
      </w:pPr>
    </w:p>
    <w:p>
      <w:pPr>
        <w:jc w:val="both"/>
        <w:ind w:left="1020" w:right="20" w:hanging="503"/>
        <w:spacing w:after="0" w:line="255" w:lineRule="auto"/>
        <w:tabs>
          <w:tab w:leader="none" w:pos="10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expenses declined $30 million due to declines in equipment and net occupancy costs of $10 million, centrally-allocated costs associated with data processing, risk management, and other support services provided to the Retail Bank segment of $8 million and advertising and marketing expenses of $7 million.</w:t>
      </w:r>
    </w:p>
    <w:p>
      <w:pPr>
        <w:spacing w:after="0" w:line="67" w:lineRule="exact"/>
        <w:rPr>
          <w:rFonts w:ascii="Times New Roman" w:cs="Times New Roman" w:eastAsia="Times New Roman" w:hAnsi="Times New Roman"/>
          <w:sz w:val="21"/>
          <w:szCs w:val="21"/>
          <w:color w:val="auto"/>
        </w:rPr>
      </w:pPr>
    </w:p>
    <w:p>
      <w:pPr>
        <w:ind w:left="1020" w:hanging="503"/>
        <w:spacing w:after="0" w:line="270" w:lineRule="auto"/>
        <w:tabs>
          <w:tab w:leader="none" w:pos="10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loans increased $515 million reflecting growth in the segment's portfolio of recreational finance loans and automobile loans.</w:t>
      </w:r>
    </w:p>
    <w:p>
      <w:pPr>
        <w:spacing w:after="0" w:line="50" w:lineRule="exact"/>
        <w:rPr>
          <w:rFonts w:ascii="Times New Roman" w:cs="Times New Roman" w:eastAsia="Times New Roman" w:hAnsi="Times New Roman"/>
          <w:sz w:val="21"/>
          <w:szCs w:val="21"/>
          <w:color w:val="auto"/>
        </w:rPr>
      </w:pPr>
    </w:p>
    <w:p>
      <w:pPr>
        <w:ind w:left="1020" w:right="20" w:hanging="503"/>
        <w:spacing w:after="0" w:line="270" w:lineRule="auto"/>
        <w:tabs>
          <w:tab w:leader="none" w:pos="10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deposits in the recent quarter as compared with the final quarter of 2023 reflect a shift from noninterest-bearing accounts to interest-bearing products amidst an elevated interest rate environment.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income for the Retail Bank segment decreased $6 million in the recent quarter from $452 million in the first quarter of 2023.</w:t>
      </w:r>
    </w:p>
    <w:p>
      <w:pPr>
        <w:spacing w:after="0" w:line="110"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rose $7 million.</w:t>
      </w:r>
    </w:p>
    <w:p>
      <w:pPr>
        <w:spacing w:after="0" w:line="109" w:lineRule="exact"/>
        <w:rPr>
          <w:rFonts w:ascii="Times New Roman" w:cs="Times New Roman" w:eastAsia="Times New Roman" w:hAnsi="Times New Roman"/>
          <w:sz w:val="21"/>
          <w:szCs w:val="21"/>
          <w:color w:val="auto"/>
        </w:rPr>
      </w:pPr>
    </w:p>
    <w:p>
      <w:pPr>
        <w:jc w:val="both"/>
        <w:ind w:left="1020" w:hanging="503"/>
        <w:spacing w:after="0" w:line="255" w:lineRule="auto"/>
        <w:tabs>
          <w:tab w:leader="none" w:pos="102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increased $27 million primarily due to higher residential mortgage banking revenues reflecting a rise in servicing income from the bulk purchase of residential mortgage loan servicing rights at the end of the first quarter of 2023 and an increase in service charges on deposit accounts.</w:t>
      </w:r>
    </w:p>
    <w:p>
      <w:pPr>
        <w:spacing w:after="0" w:line="67" w:lineRule="exact"/>
        <w:rPr>
          <w:rFonts w:ascii="Times New Roman" w:cs="Times New Roman" w:eastAsia="Times New Roman" w:hAnsi="Times New Roman"/>
          <w:sz w:val="21"/>
          <w:szCs w:val="21"/>
          <w:color w:val="auto"/>
        </w:rPr>
      </w:pPr>
    </w:p>
    <w:p>
      <w:pPr>
        <w:ind w:left="1020" w:hanging="503"/>
        <w:spacing w:after="0"/>
        <w:tabs>
          <w:tab w:leader="none" w:pos="102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 for credit losses increased $25 million reflecting higher net charge-offs of consumer loans.</w:t>
      </w:r>
    </w:p>
    <w:p>
      <w:pPr>
        <w:spacing w:after="0" w:line="109" w:lineRule="exact"/>
        <w:rPr>
          <w:rFonts w:ascii="Times New Roman" w:cs="Times New Roman" w:eastAsia="Times New Roman" w:hAnsi="Times New Roman"/>
          <w:sz w:val="21"/>
          <w:szCs w:val="21"/>
          <w:color w:val="auto"/>
        </w:rPr>
      </w:pPr>
    </w:p>
    <w:p>
      <w:pPr>
        <w:jc w:val="both"/>
        <w:ind w:left="1020" w:hanging="503"/>
        <w:spacing w:after="0" w:line="255" w:lineRule="auto"/>
        <w:tabs>
          <w:tab w:leader="none" w:pos="102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rose $19 million predominantly due to higher centrally-allocated costs associated with data processing, risk management, and other support services provided to the Retail Bank segment of $22 million, partially offset by a decrease in personnel-related costs reflecting lower staffing levels.</w:t>
      </w:r>
    </w:p>
    <w:p>
      <w:pPr>
        <w:spacing w:after="0" w:line="67" w:lineRule="exact"/>
        <w:rPr>
          <w:rFonts w:ascii="Times New Roman" w:cs="Times New Roman" w:eastAsia="Times New Roman" w:hAnsi="Times New Roman"/>
          <w:sz w:val="21"/>
          <w:szCs w:val="21"/>
          <w:color w:val="auto"/>
        </w:rPr>
      </w:pPr>
    </w:p>
    <w:p>
      <w:pPr>
        <w:jc w:val="both"/>
        <w:ind w:left="1020" w:hanging="503"/>
        <w:spacing w:after="0" w:line="251" w:lineRule="auto"/>
        <w:tabs>
          <w:tab w:leader="none" w:pos="102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loans in the recent quarter declined slightly from the first quarter of 2023, reflecting lower balances of residential real estate loans, partially offset by higher average consumer loans resulting from growth of recreational finance loan balances. In the first quarter of 2023, the Company returned to originating for sale the majority of its newly originated residential mortgage loans.</w:t>
      </w:r>
    </w:p>
    <w:p>
      <w:pPr>
        <w:spacing w:after="0" w:line="69" w:lineRule="exact"/>
        <w:rPr>
          <w:rFonts w:ascii="Times New Roman" w:cs="Times New Roman" w:eastAsia="Times New Roman" w:hAnsi="Times New Roman"/>
          <w:sz w:val="21"/>
          <w:szCs w:val="21"/>
          <w:color w:val="auto"/>
        </w:rPr>
      </w:pPr>
    </w:p>
    <w:p>
      <w:pPr>
        <w:ind w:left="1020" w:hanging="503"/>
        <w:spacing w:after="0" w:line="270" w:lineRule="auto"/>
        <w:tabs>
          <w:tab w:leader="none" w:pos="102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deposits in the recent quarter as compared with the first quarter of 2023 reflect a shift from noninterest-bearing accounts to interest-bearing products amidst an elevated interest rate environment.</w:t>
      </w:r>
    </w:p>
    <w:p>
      <w:pPr>
        <w:spacing w:after="0" w:line="159"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1"/>
          <w:szCs w:val="21"/>
          <w:b w:val="1"/>
          <w:bCs w:val="1"/>
          <w:i w:val="1"/>
          <w:iCs w:val="1"/>
          <w:color w:val="auto"/>
        </w:rPr>
        <w:t>Institutional Services &amp; Wealth Management</w:t>
      </w:r>
    </w:p>
    <w:p>
      <w:pPr>
        <w:spacing w:after="0" w:line="11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1"/>
          <w:szCs w:val="21"/>
          <w:color w:val="auto"/>
        </w:rPr>
        <w:t>The Institutional Services and Wealth Management segment provides a variety of trustee, agency, investment management and administrative services for corporations and institutions, investment bankers, corporate tax, finance and legal executives, and other institutional clients, as well as personal trust, planning, fiduciary, asset management, family office and other services designed to help high net worth individuals and families grow, preserve and transfer wealth. This segment also provides investment products, including mutual funds and annuities and other services to customers.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INSTITUTIONAL SERVICES &amp; WEALTH MANAGEMENT SEGMENT FINANCIAL SUMMARY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4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3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6 %</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(13 )</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3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(14 )</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(36 )</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3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4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26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tcBorders>
              <w:top w:val="single" w:sz="8" w:color="CFF0FC"/>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20" w:type="dxa"/>
            <w:vAlign w:val="bottom"/>
            <w:tcBorders>
              <w:top w:val="single" w:sz="8" w:color="CFF0FC"/>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22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tcBorders>
              <w:top w:val="single" w:sz="8" w:color="CFF0FC"/>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3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21 %</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Average Balance Sheet</w:t>
            </w:r>
          </w:p>
        </w:tc>
        <w:tc>
          <w:tcPr>
            <w:tcW w:w="3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and leases:</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3 %</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80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(4 )</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 real estate</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(8 )</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Residential real estate</w:t>
            </w:r>
          </w:p>
        </w:tc>
        <w:tc>
          <w:tcPr>
            <w:tcW w:w="3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1,838</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Consumer</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(44 )</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(90 )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loans and leases, net</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3,399</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3,421</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(22 )</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-1 %</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3,399</w:t>
            </w:r>
          </w:p>
        </w:tc>
        <w:tc>
          <w:tcPr>
            <w:tcW w:w="80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18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Deposits:</w:t>
            </w: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Noninterest-bearing</w:t>
            </w:r>
          </w:p>
        </w:tc>
        <w:tc>
          <w:tcPr>
            <w:tcW w:w="3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9,081</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8,477</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9,081</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10,363</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(1,282 )</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Interest-bearing</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6,759</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7,168</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(802 )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16,249</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15,236</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22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7 %</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16,249</w:t>
            </w:r>
          </w:p>
        </w:tc>
        <w:tc>
          <w:tcPr>
            <w:tcW w:w="80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18,333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(2,084 )</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-1687830</wp:posOffset>
            </wp:positionV>
            <wp:extent cx="76835"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-1687830</wp:posOffset>
            </wp:positionV>
            <wp:extent cx="76835"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-1687830</wp:posOffset>
            </wp:positionV>
            <wp:extent cx="68580"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-1687830</wp:posOffset>
            </wp:positionV>
            <wp:extent cx="68580"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-1687830</wp:posOffset>
            </wp:positionV>
            <wp:extent cx="68580"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-1687830</wp:posOffset>
            </wp:positionV>
            <wp:extent cx="68580"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-1687830</wp:posOffset>
            </wp:positionV>
            <wp:extent cx="6858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-1456690</wp:posOffset>
            </wp:positionV>
            <wp:extent cx="76835"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-1456690</wp:posOffset>
            </wp:positionV>
            <wp:extent cx="7683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-1456690</wp:posOffset>
            </wp:positionV>
            <wp:extent cx="68580"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-1456690</wp:posOffset>
            </wp:positionV>
            <wp:extent cx="68580"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-1456690</wp:posOffset>
            </wp:positionV>
            <wp:extent cx="68580"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-1456690</wp:posOffset>
            </wp:positionV>
            <wp:extent cx="6858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-1456690</wp:posOffset>
            </wp:positionV>
            <wp:extent cx="68580"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-504825</wp:posOffset>
            </wp:positionV>
            <wp:extent cx="76835"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-488315</wp:posOffset>
            </wp:positionV>
            <wp:extent cx="76835"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-504825</wp:posOffset>
            </wp:positionV>
            <wp:extent cx="76835"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-488315</wp:posOffset>
            </wp:positionV>
            <wp:extent cx="76835"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-504825</wp:posOffset>
            </wp:positionV>
            <wp:extent cx="68580"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-488315</wp:posOffset>
            </wp:positionV>
            <wp:extent cx="6858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-504825</wp:posOffset>
            </wp:positionV>
            <wp:extent cx="68580"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-488315</wp:posOffset>
            </wp:positionV>
            <wp:extent cx="6858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-504825</wp:posOffset>
            </wp:positionV>
            <wp:extent cx="68580"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-488315</wp:posOffset>
            </wp:positionV>
            <wp:extent cx="6858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-504825</wp:posOffset>
            </wp:positionV>
            <wp:extent cx="6858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-488315</wp:posOffset>
            </wp:positionV>
            <wp:extent cx="6858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-504825</wp:posOffset>
            </wp:positionV>
            <wp:extent cx="68580"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-488315</wp:posOffset>
            </wp:positionV>
            <wp:extent cx="6858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-24765</wp:posOffset>
            </wp:positionV>
            <wp:extent cx="76835"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-7620</wp:posOffset>
            </wp:positionV>
            <wp:extent cx="7683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-24765</wp:posOffset>
            </wp:positionV>
            <wp:extent cx="76835"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7683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wp:posOffset>
            </wp:positionV>
            <wp:extent cx="6858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6858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6858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-24765</wp:posOffset>
            </wp:positionV>
            <wp:extent cx="6858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-7620</wp:posOffset>
            </wp:positionV>
            <wp:extent cx="68580"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21"/>
          <w:szCs w:val="21"/>
          <w:color w:val="auto"/>
        </w:rPr>
        <w:t>The Institutional Services and Wealth Management segment’s net income increased $23 million to $128 million in the first quarter of 2024 from $105 million in the last quarter of 2023.</w:t>
      </w:r>
    </w:p>
    <w:p>
      <w:pPr>
        <w:spacing w:after="0" w:line="51" w:lineRule="exact"/>
        <w:rPr>
          <w:sz w:val="20"/>
          <w:szCs w:val="20"/>
          <w:color w:val="auto"/>
        </w:rPr>
      </w:pPr>
    </w:p>
    <w:p>
      <w:pPr>
        <w:ind w:left="1020" w:right="20" w:hanging="503"/>
        <w:spacing w:after="0" w:line="270" w:lineRule="auto"/>
        <w:tabs>
          <w:tab w:leader="none" w:pos="102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increased $10 million reflecting a widening of the net interest margin on deposits of 3 basis points and a $1.0 billion increase in average outstanding deposit balances.</w:t>
      </w:r>
    </w:p>
    <w:p>
      <w:pPr>
        <w:spacing w:after="0" w:line="50" w:lineRule="exact"/>
        <w:rPr>
          <w:rFonts w:ascii="Times New Roman" w:cs="Times New Roman" w:eastAsia="Times New Roman" w:hAnsi="Times New Roman"/>
          <w:sz w:val="21"/>
          <w:szCs w:val="21"/>
          <w:color w:val="auto"/>
        </w:rPr>
      </w:pPr>
    </w:p>
    <w:p>
      <w:pPr>
        <w:ind w:left="1020" w:hanging="503"/>
        <w:spacing w:after="0"/>
        <w:tabs>
          <w:tab w:leader="none" w:pos="102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increased $5 million reflecting higher brokerage fee and trust income.</w:t>
      </w:r>
    </w:p>
    <w:p>
      <w:pPr>
        <w:spacing w:after="0" w:line="109" w:lineRule="exact"/>
        <w:rPr>
          <w:rFonts w:ascii="Times New Roman" w:cs="Times New Roman" w:eastAsia="Times New Roman" w:hAnsi="Times New Roman"/>
          <w:sz w:val="21"/>
          <w:szCs w:val="21"/>
          <w:color w:val="auto"/>
        </w:rPr>
      </w:pPr>
    </w:p>
    <w:p>
      <w:pPr>
        <w:ind w:left="1020" w:right="40" w:hanging="503"/>
        <w:spacing w:after="0" w:line="270" w:lineRule="auto"/>
        <w:tabs>
          <w:tab w:leader="none" w:pos="102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expenses decreased $14 million reflecting a decline in personnel-related costs and professional and other services.</w:t>
      </w:r>
    </w:p>
    <w:p>
      <w:pPr>
        <w:spacing w:after="0" w:line="5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21"/>
          <w:szCs w:val="21"/>
          <w:color w:val="auto"/>
        </w:rPr>
        <w:t>Net income for the Institutional Services and Wealth Management segment increased $18 million in the recent quarter from $110 million in the year-earlier first quarter.</w:t>
      </w:r>
    </w:p>
    <w:p>
      <w:pPr>
        <w:spacing w:after="0" w:line="51" w:lineRule="exact"/>
        <w:rPr>
          <w:sz w:val="20"/>
          <w:szCs w:val="20"/>
          <w:color w:val="auto"/>
        </w:rPr>
      </w:pPr>
    </w:p>
    <w:p>
      <w:pPr>
        <w:ind w:left="1020" w:right="20" w:hanging="503"/>
        <w:spacing w:after="0" w:line="270" w:lineRule="auto"/>
        <w:tabs>
          <w:tab w:leader="none" w:pos="102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increased $16 million reflecting a widening of the net interest margin on deposits of 80 basis points, partially offset by a $2.1 billion decline in average outstanding deposit balances.</w:t>
      </w:r>
    </w:p>
    <w:p>
      <w:pPr>
        <w:spacing w:after="0" w:line="50" w:lineRule="exact"/>
        <w:rPr>
          <w:rFonts w:ascii="Times New Roman" w:cs="Times New Roman" w:eastAsia="Times New Roman" w:hAnsi="Times New Roman"/>
          <w:sz w:val="21"/>
          <w:szCs w:val="21"/>
          <w:color w:val="auto"/>
        </w:rPr>
      </w:pPr>
    </w:p>
    <w:p>
      <w:pPr>
        <w:jc w:val="both"/>
        <w:ind w:left="1020" w:right="20" w:hanging="503"/>
        <w:spacing w:after="0" w:line="251" w:lineRule="auto"/>
        <w:tabs>
          <w:tab w:leader="none" w:pos="102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decreased $29 million predominantly due to lower trust income of $34 million reflecting lower revenues associated with the CIT business of approximately $45 million following its sale in April 2023, partially offset by higher revenues from the segment’s global capital markets business. An increase in brokerage services income reflecting sales of annuity products partially offset the trust income decline.</w:t>
      </w:r>
    </w:p>
    <w:p>
      <w:pPr>
        <w:spacing w:after="0" w:line="69" w:lineRule="exact"/>
        <w:rPr>
          <w:rFonts w:ascii="Times New Roman" w:cs="Times New Roman" w:eastAsia="Times New Roman" w:hAnsi="Times New Roman"/>
          <w:sz w:val="21"/>
          <w:szCs w:val="21"/>
          <w:color w:val="auto"/>
        </w:rPr>
      </w:pPr>
    </w:p>
    <w:p>
      <w:pPr>
        <w:jc w:val="both"/>
        <w:ind w:left="1020" w:right="20" w:hanging="503"/>
        <w:spacing w:after="0" w:line="251" w:lineRule="auto"/>
        <w:tabs>
          <w:tab w:leader="none" w:pos="102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expenses decreased $36 million reflecting a $39 million decline in professional and other services due, in part, to lower sub-advisory fees as a result of the sale of the CIT business, partially offset by an increase in centrally-allocated costs associated with data processing, risk management and other support services provided to the Institutional Services and Wealth Management segment.</w:t>
      </w:r>
    </w:p>
    <w:p>
      <w:pPr>
        <w:spacing w:after="0" w:line="178"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88"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1"/>
          <w:szCs w:val="21"/>
          <w:b w:val="1"/>
          <w:bCs w:val="1"/>
          <w:i w:val="1"/>
          <w:iCs w:val="1"/>
          <w:color w:val="auto"/>
        </w:rPr>
        <w:t>All Other</w:t>
      </w:r>
    </w:p>
    <w:p>
      <w:pPr>
        <w:spacing w:after="0" w:line="11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1"/>
          <w:szCs w:val="21"/>
          <w:color w:val="auto"/>
        </w:rPr>
        <w:t>The “All Other” category reflects other activities of the Company that are not directly attributable to the reported segments. Reflected in this category are the difference between the provision for credit losses and the calculated provision allocated to the reportable segments; goodwill and core deposit and other intangible assets resulting from the acquisitions of financial institutions; merger-related gains and expenses related to acquisitions; the net impact of the Company’s internal funds transfer pricing methodology; eliminations of transactions between reportable segments; certain non-recurring transactions; and the residual effects of unallocated support systems and general and administrative expenses. The Company’s investment securities portfolio, brokered deposits and short-term and long-term borrowings are generally included in the “All Other” category. In its management of interest rate risk, the Company utilizes interest rate swap agreements to modify the repricing characteristics of certain portfolios of earning assets and interest-bearing liabilities. The results of such activities are captured in the "All Other" category.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OTHER CATEGORY FINANCIAL SUMMARY</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40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000" w:type="dxa"/>
            <w:vAlign w:val="bottom"/>
            <w:gridSpan w:val="2"/>
          </w:tcPr>
          <w:p>
            <w:pPr>
              <w:jc w:val="right"/>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interest income (expense)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(125 )</w:t>
            </w:r>
          </w:p>
        </w:tc>
        <w:tc>
          <w:tcPr>
            <w:tcW w:w="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(120 )</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(5 )</w:t>
            </w: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(65 )</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(60 )</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 (expense)</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(84 )</w:t>
            </w:r>
          </w:p>
        </w:tc>
        <w:tc>
          <w:tcPr>
            <w:tcW w:w="62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(98 )</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(84 )</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(30 )</w:t>
            </w:r>
          </w:p>
        </w:tc>
        <w:tc>
          <w:tcPr>
            <w:tcW w:w="2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(54 )</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(1 )</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(11 )</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(386 )</w:t>
            </w:r>
          </w:p>
        </w:tc>
        <w:tc>
          <w:tcPr>
            <w:tcW w:w="62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(412 )</w:t>
            </w: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(386 )</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(289 )</w:t>
            </w:r>
          </w:p>
        </w:tc>
        <w:tc>
          <w:tcPr>
            <w:tcW w:w="2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(97 )</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(142 )</w:t>
            </w:r>
          </w:p>
        </w:tc>
        <w:tc>
          <w:tcPr>
            <w:tcW w:w="6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(131 )</w:t>
            </w:r>
          </w:p>
        </w:tc>
        <w:tc>
          <w:tcPr>
            <w:tcW w:w="2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(11 )</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(142 )</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(96 )</w:t>
            </w:r>
          </w:p>
        </w:tc>
        <w:tc>
          <w:tcPr>
            <w:tcW w:w="2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(46 )</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(244 )</w:t>
            </w: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(281 )</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2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(244 )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(193 )</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-376555</wp:posOffset>
            </wp:positionV>
            <wp:extent cx="7683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-376555</wp:posOffset>
            </wp:positionV>
            <wp:extent cx="7683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-376555</wp:posOffset>
            </wp:positionV>
            <wp:extent cx="68580"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-376555</wp:posOffset>
            </wp:positionV>
            <wp:extent cx="6858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-376555</wp:posOffset>
            </wp:positionV>
            <wp:extent cx="68580"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-376555</wp:posOffset>
            </wp:positionV>
            <wp:extent cx="68580"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-376555</wp:posOffset>
            </wp:positionV>
            <wp:extent cx="68580"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-145415</wp:posOffset>
            </wp:positionV>
            <wp:extent cx="76835"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-145415</wp:posOffset>
            </wp:positionV>
            <wp:extent cx="76835"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-145415</wp:posOffset>
            </wp:positionV>
            <wp:extent cx="6858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-145415</wp:posOffset>
            </wp:positionV>
            <wp:extent cx="6858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-145415</wp:posOffset>
            </wp:positionV>
            <wp:extent cx="6858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-145415</wp:posOffset>
            </wp:positionV>
            <wp:extent cx="6858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-145415</wp:posOffset>
            </wp:positionV>
            <wp:extent cx="6858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“All Other” category recorded a net loss in the first quarter of 2024 of $244 million, compared with a net loss of $281 million in the fourth quarter of 2023.</w:t>
      </w:r>
    </w:p>
    <w:p>
      <w:pPr>
        <w:spacing w:after="0" w:line="51"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decreased $5 million.</w:t>
      </w:r>
    </w:p>
    <w:p>
      <w:pPr>
        <w:spacing w:after="0" w:line="109" w:lineRule="exact"/>
        <w:rPr>
          <w:rFonts w:ascii="Times New Roman" w:cs="Times New Roman" w:eastAsia="Times New Roman" w:hAnsi="Times New Roman"/>
          <w:sz w:val="21"/>
          <w:szCs w:val="21"/>
          <w:color w:val="auto"/>
        </w:rPr>
      </w:pPr>
    </w:p>
    <w:p>
      <w:pPr>
        <w:ind w:left="1020" w:right="20" w:hanging="503"/>
        <w:spacing w:after="0" w:line="270" w:lineRule="auto"/>
        <w:tabs>
          <w:tab w:leader="none" w:pos="102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increased $19 million primarily reflecting BLG distributions of $25 million, partially offset by a decline in tax-exempt income earned from bank owned life insurance revenue.</w:t>
      </w:r>
    </w:p>
    <w:p>
      <w:pPr>
        <w:spacing w:after="0" w:line="50" w:lineRule="exact"/>
        <w:rPr>
          <w:rFonts w:ascii="Times New Roman" w:cs="Times New Roman" w:eastAsia="Times New Roman" w:hAnsi="Times New Roman"/>
          <w:sz w:val="21"/>
          <w:szCs w:val="21"/>
          <w:color w:val="auto"/>
        </w:rPr>
      </w:pPr>
    </w:p>
    <w:p>
      <w:pPr>
        <w:jc w:val="both"/>
        <w:ind w:left="1020" w:right="20" w:hanging="503"/>
        <w:spacing w:after="0" w:line="245" w:lineRule="auto"/>
        <w:tabs>
          <w:tab w:leader="none" w:pos="102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decreased $11 million reflecting a decline in FDIC assessment expense of $169 million due to the $197 million special assessment expense recorded in the fourth quarter of 2023, partially offset by the incremental special assessment expense of $29 million recorded in the first quarter of 2024. The decrease was partially offset by a rise in personnel-related costs of $109 million reflecting merit increases and seasonally higher stock-based compensation and employee benefits expenses; an increase in other costs of operations of $27 million reflecting higher costs associated with the Company's supplemental executive retirement savings plan, losses on lease terminations related to certain vacated properties and incremental charitable contributions as compared with the fourth quarter of 2023; and increased outside data processing and software expense of $8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net loss recorded for the “All Other” category was $193 million in the first quarter 2023.</w:t>
      </w:r>
    </w:p>
    <w:p>
      <w:pPr>
        <w:spacing w:after="0" w:line="110" w:lineRule="exact"/>
        <w:rPr>
          <w:sz w:val="20"/>
          <w:szCs w:val="20"/>
          <w:color w:val="auto"/>
        </w:rPr>
      </w:pPr>
    </w:p>
    <w:p>
      <w:pPr>
        <w:jc w:val="both"/>
        <w:ind w:left="1020" w:right="20" w:hanging="503"/>
        <w:spacing w:after="0" w:line="251" w:lineRule="auto"/>
        <w:tabs>
          <w:tab w:leader="none" w:pos="102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interest income decreased $60 million reflecting higher net interest expense from interest rate swap agreements entered into for interest rate risk management purposes, as well as the unfavorable impact from the Company’s allocation methodologies for internal transfers related to funding charges and credits associated with earning assets and interest-bearing liabilities of the Company’s reportable segments.</w:t>
      </w:r>
    </w:p>
    <w:p>
      <w:pPr>
        <w:spacing w:after="0" w:line="69" w:lineRule="exact"/>
        <w:rPr>
          <w:rFonts w:ascii="Times New Roman" w:cs="Times New Roman" w:eastAsia="Times New Roman" w:hAnsi="Times New Roman"/>
          <w:sz w:val="21"/>
          <w:szCs w:val="21"/>
          <w:color w:val="auto"/>
        </w:rPr>
      </w:pPr>
    </w:p>
    <w:p>
      <w:pPr>
        <w:ind w:left="1020" w:hanging="503"/>
        <w:spacing w:after="0"/>
        <w:tabs>
          <w:tab w:leader="none" w:pos="102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income increased $6 million reflecting an increase in BLG distributions of $5 million.</w:t>
      </w:r>
    </w:p>
    <w:p>
      <w:pPr>
        <w:spacing w:after="0" w:line="109" w:lineRule="exact"/>
        <w:rPr>
          <w:rFonts w:ascii="Times New Roman" w:cs="Times New Roman" w:eastAsia="Times New Roman" w:hAnsi="Times New Roman"/>
          <w:sz w:val="21"/>
          <w:szCs w:val="21"/>
          <w:color w:val="auto"/>
        </w:rPr>
      </w:pPr>
    </w:p>
    <w:p>
      <w:pPr>
        <w:ind w:left="1020" w:right="20" w:hanging="503"/>
        <w:spacing w:after="0" w:line="270" w:lineRule="auto"/>
        <w:tabs>
          <w:tab w:leader="none" w:pos="102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$12 million increase in the provision for credit losses reflects the net impact of the allocation of provision to reportable segments.</w:t>
      </w:r>
    </w:p>
    <w:p>
      <w:pPr>
        <w:spacing w:after="0" w:line="50" w:lineRule="exact"/>
        <w:rPr>
          <w:rFonts w:ascii="Times New Roman" w:cs="Times New Roman" w:eastAsia="Times New Roman" w:hAnsi="Times New Roman"/>
          <w:sz w:val="21"/>
          <w:szCs w:val="21"/>
          <w:color w:val="auto"/>
        </w:rPr>
      </w:pPr>
    </w:p>
    <w:p>
      <w:pPr>
        <w:ind w:left="1020" w:right="20" w:hanging="503"/>
        <w:spacing w:after="0" w:line="270" w:lineRule="auto"/>
        <w:tabs>
          <w:tab w:leader="none" w:pos="102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Noninterest expense increased $31 million reflecting estimated incremental special FDIC assessment expense of $29 million recorded in the first quarter of 2024.</w:t>
      </w:r>
    </w:p>
    <w:p>
      <w:pPr>
        <w:spacing w:after="0" w:line="159"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88"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1"/>
          <w:szCs w:val="21"/>
          <w:b w:val="1"/>
          <w:bCs w:val="1"/>
          <w:color w:val="auto"/>
        </w:rPr>
        <w:t>Other Matters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On March 6, 2024, the SEC adopted a final rule to enhance and standardize climate-related disclosures by public companies. The final rule requires registrants, including the Company, to disclose their risk management processes for material climate-related risks, governance and oversight of material climate-risks and any risks that have materially impacted, or are reasonably likely to have a material impact on, its business strategy, results of operations or financial condition. Additionally, the final rule requires disclosure of material Scope 1 and Scope 2 greenhouse gas emissions, material climate targets and goals and certain disclosures related to severe weather events and other natural conditions. Such disclosures will be required in a registrant’s annual reporting under a phased-in approach beginning with annual reports for the year ending December 31, 2025 for calendar-year-end large accelerated filers, such as M&amp;T. On April 4, 2024, the SEC issued an order to stay the final rule pending the completion of judicial review by the United States Court of Appeals for the Eighth Circuit.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Recent Accounting Developments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A discussion of the Company's significant accounting policies and critical accounting estimates can be found in the 2023 Annual Report. A summary of recent accounting developments is included in note 1 of Notes to Financial Statements.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Management’s Discussion and Analysis of Financial Condition and Results of Operations and other sections of this quarterly report contain forward-looking statements within the meaning of the Private Securities Litigation Reform Act of 1995. Any statement that does not describe historical or current facts is a forward-looking statement, including statements based on current expectations, estimates and projections about the Company’s business, and management's beliefs and assumptions.</w:t>
      </w:r>
    </w:p>
    <w:p>
      <w:pPr>
        <w:spacing w:after="0" w:line="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Statements regarding the potential effects of events or factors specific to the Company and/or the financial industry as a whole, as well as national and global events generally, on the Company's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the Company's control.</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auto"/>
        </w:rPr>
        <w:t>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certain risks, uncertainties and assumptions which are difficult to predict and may cause actual outcomes to differ materially from what is expressed or forecasted.</w:t>
      </w:r>
    </w:p>
    <w:p>
      <w:pPr>
        <w:spacing w:after="0" w:line="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While there can be no assurance that any list of risks and uncertainties is complete, important factors that could cause actual outcomes and results to differ materially from those contemplated by forward-looking statements include the following, without limitation: economic conditions and growth rates, including inflation and market volatility; events and developments in the financial services industry, including industry conditions; changes in interest rates, spreads on earning assets and interest-bearing liabilities, and interest rate sensitivity; prepayment speeds, loan originations, loan concentrations by type and industry, credit losses and market values on loans, collateral securing loans, and other assets; sources of liquidity; levels of client deposits; ability to contain costs and expenses; changes in the Company's credit ratings; the impact of the People's United acquisition; domestic or international political developments and other geopolitical events, including international conflicts and hostilities; changes and trends in the securities markets; common shares outstanding, common stock price volatility; fair value of and number of stock-based compensation awards to be issued in future periods; the impact of changes in market values on trust-related revenues; federal, state or local legislation and/or regulations affecting the financial services industry, or M&amp;T and its subsidiaries individually or collectively, including tax policy; regulatory supervision and oversight, including monetary policy and capital requirements; governmental and public policy changes; political conditions, either nationally or in the states in which M&amp;T and its subsidiaries do business; the outcome of pending and future litigation and governmental proceedings, including tax-related examinations and other matters; changes in accounting policies or procedures as may be required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72" w:name="page73"/>
    <w:bookmarkEnd w:id="72"/>
    <w:p>
      <w:pPr>
        <w:jc w:val="both"/>
        <w:spacing w:after="0" w:line="260" w:lineRule="auto"/>
        <w:rPr>
          <w:sz w:val="20"/>
          <w:szCs w:val="20"/>
          <w:color w:val="auto"/>
        </w:rPr>
      </w:pPr>
      <w:r>
        <w:rPr>
          <w:rFonts w:ascii="Times New Roman" w:cs="Times New Roman" w:eastAsia="Times New Roman" w:hAnsi="Times New Roman"/>
          <w:sz w:val="20"/>
          <w:szCs w:val="20"/>
          <w:color w:val="auto"/>
        </w:rPr>
        <w:t>by the Financial Accounting Standards Board, regulatory agencies or legislation; increasing price, product and service competition by competitors, including new entrants; technological developments and changes; the ability to continue to introduce competitive new products and services on a timely, cost-effective basis; the mix of products and services; protection and validity of intellectual property rights; reliance on large customers; technological, implementation and cost/financial risks in large, multi-year contracts; continued availability of financing; financial resources in the amounts, at the times and on the terms required to support M&amp;T and its subsidiaries' future businesses; and material differences in the actual financial results of merger, acquisition, divestment and investment activities compared with M&amp;T's initial expectations, including the full realization of anticipated cost savings and revenue enhancements.</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These are representative of the factors that could affect the outcome of the forward-looking statements. In addition, as noted, such statements could be affected by general industry and market conditions and growth rates, general economic and political conditions, either nationally or in the states in which the Company does business, and other factors.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provides further detail regarding these risks and uncertainties in the 2023 Annual Report, including in the Risk Factors section of such report, as well as in other SEC filings. Forward-looking statements speak only as of the date they are made, and the Company assumes no duty and does not undertake to update forward-looking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QUARTERLY TRENDS</w:t>
            </w: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Table 1</w:t>
            </w:r>
          </w:p>
        </w:tc>
        <w:tc>
          <w:tcPr>
            <w:tcW w:w="0" w:type="dxa"/>
            <w:vAlign w:val="bottom"/>
          </w:tcPr>
          <w:p>
            <w:pPr>
              <w:spacing w:after="0"/>
              <w:rPr>
                <w:sz w:val="1"/>
                <w:szCs w:val="1"/>
                <w:color w:val="auto"/>
              </w:rPr>
            </w:pPr>
          </w:p>
        </w:tc>
      </w:tr>
      <w:tr>
        <w:trPr>
          <w:trHeight w:val="208"/>
        </w:trPr>
        <w:tc>
          <w:tcPr>
            <w:tcW w:w="5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2023 Quarters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shares in thousands)</w:t>
            </w:r>
          </w:p>
        </w:tc>
        <w:tc>
          <w:tcPr>
            <w:tcW w:w="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0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0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20" w:type="dxa"/>
            <w:vAlign w:val="bottom"/>
          </w:tcPr>
          <w:p>
            <w:pPr>
              <w:spacing w:after="0"/>
              <w:rPr>
                <w:sz w:val="14"/>
                <w:szCs w:val="14"/>
                <w:color w:val="auto"/>
              </w:rPr>
            </w:pPr>
          </w:p>
        </w:tc>
        <w:tc>
          <w:tcPr>
            <w:tcW w:w="780" w:type="dxa"/>
            <w:vAlign w:val="bottom"/>
          </w:tcPr>
          <w:p>
            <w:pPr>
              <w:jc w:val="right"/>
              <w:ind w:right="287"/>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and dividends</w:t>
            </w: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 (taxable-equivalent basis)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2,753</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provision for credit losses</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other expense</w:t>
            </w: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Applicable income taxes</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Taxable-equivalent adjustment</w:t>
            </w:r>
          </w:p>
        </w:tc>
        <w:tc>
          <w:tcPr>
            <w:tcW w:w="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2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22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income available to common shareholders-diluted</w:t>
            </w:r>
          </w:p>
        </w:tc>
        <w:tc>
          <w:tcPr>
            <w:tcW w:w="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505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457</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664</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841</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676</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 common share data:</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Basic earnings</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Diluted earnings</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dividends</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common shares outstanding:</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Basic</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166,460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165,985</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165,909</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165,842</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167,732</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167,084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166,731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166,570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166,320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168,410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ratios, annualized</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Average assets</w:t>
            </w:r>
          </w:p>
        </w:tc>
        <w:tc>
          <w:tcPr>
            <w:tcW w:w="80" w:type="dxa"/>
            <w:vAlign w:val="bottom"/>
            <w:shd w:val="clear" w:color="auto" w:fill="CFF0FC"/>
          </w:tcPr>
          <w:p>
            <w:pPr>
              <w:spacing w:after="0"/>
              <w:rPr>
                <w:sz w:val="15"/>
                <w:szCs w:val="15"/>
                <w:color w:val="auto"/>
              </w:rPr>
            </w:pPr>
          </w:p>
        </w:tc>
        <w:tc>
          <w:tcPr>
            <w:tcW w:w="12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1.01 %</w:t>
            </w:r>
          </w:p>
        </w:tc>
        <w:tc>
          <w:tcPr>
            <w:tcW w:w="1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.92 %</w:t>
            </w: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1.33 %</w:t>
            </w:r>
          </w:p>
        </w:tc>
        <w:tc>
          <w:tcPr>
            <w:tcW w:w="2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1.70 %</w:t>
            </w:r>
          </w:p>
        </w:tc>
        <w:tc>
          <w:tcPr>
            <w:tcW w:w="2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1.40 %</w:t>
            </w:r>
          </w:p>
        </w:tc>
        <w:tc>
          <w:tcPr>
            <w:tcW w:w="0" w:type="dxa"/>
            <w:vAlign w:val="bottom"/>
          </w:tcPr>
          <w:p>
            <w:pPr>
              <w:spacing w:after="0"/>
              <w:rPr>
                <w:sz w:val="1"/>
                <w:szCs w:val="1"/>
                <w:color w:val="auto"/>
              </w:rPr>
            </w:pPr>
          </w:p>
        </w:tc>
      </w:tr>
      <w:tr>
        <w:trPr>
          <w:trHeight w:val="176"/>
        </w:trPr>
        <w:tc>
          <w:tcPr>
            <w:tcW w:w="5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Average common shareholders’ equity</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50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interest margin on average earning</w:t>
            </w:r>
          </w:p>
        </w:tc>
        <w:tc>
          <w:tcPr>
            <w:tcW w:w="8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assets (taxable-equivalent basis)</w:t>
            </w:r>
          </w:p>
        </w:tc>
        <w:tc>
          <w:tcPr>
            <w:tcW w:w="8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Nonaccrual loans to total loans and</w:t>
            </w:r>
          </w:p>
        </w:tc>
        <w:tc>
          <w:tcPr>
            <w:tcW w:w="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leases, net of unearned discount</w:t>
            </w: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operating (tangible) results (a)</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24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2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2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Diluted net operating income per common share</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Annualized return on:</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Average tangible assets</w:t>
            </w:r>
          </w:p>
        </w:tc>
        <w:tc>
          <w:tcPr>
            <w:tcW w:w="80" w:type="dxa"/>
            <w:vAlign w:val="bottom"/>
            <w:shd w:val="clear" w:color="auto" w:fill="CFF0FC"/>
          </w:tcPr>
          <w:p>
            <w:pPr>
              <w:spacing w:after="0"/>
              <w:rPr>
                <w:sz w:val="15"/>
                <w:szCs w:val="15"/>
                <w:color w:val="auto"/>
              </w:rPr>
            </w:pPr>
          </w:p>
        </w:tc>
        <w:tc>
          <w:tcPr>
            <w:tcW w:w="12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1.08 %</w:t>
            </w:r>
          </w:p>
        </w:tc>
        <w:tc>
          <w:tcPr>
            <w:tcW w:w="1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.98 %</w:t>
            </w: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1.41 %</w:t>
            </w:r>
          </w:p>
        </w:tc>
        <w:tc>
          <w:tcPr>
            <w:tcW w:w="2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1.80 %</w:t>
            </w:r>
          </w:p>
        </w:tc>
        <w:tc>
          <w:tcPr>
            <w:tcW w:w="2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1.49 %</w:t>
            </w:r>
          </w:p>
        </w:tc>
        <w:tc>
          <w:tcPr>
            <w:tcW w:w="0" w:type="dxa"/>
            <w:vAlign w:val="bottom"/>
          </w:tcPr>
          <w:p>
            <w:pPr>
              <w:spacing w:after="0"/>
              <w:rPr>
                <w:sz w:val="1"/>
                <w:szCs w:val="1"/>
                <w:color w:val="auto"/>
              </w:rPr>
            </w:pPr>
          </w:p>
        </w:tc>
      </w:tr>
      <w:tr>
        <w:trPr>
          <w:trHeight w:val="175"/>
        </w:trPr>
        <w:tc>
          <w:tcPr>
            <w:tcW w:w="5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Average tangible common shareholders’ equity</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Efficiency ratio (b)</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balances:</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(c)</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211,478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208,752</w:t>
            </w:r>
          </w:p>
        </w:tc>
        <w:tc>
          <w:tcPr>
            <w:tcW w:w="24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205,791</w:t>
            </w:r>
          </w:p>
        </w:tc>
        <w:tc>
          <w:tcPr>
            <w:tcW w:w="2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204,376</w:t>
            </w:r>
          </w:p>
        </w:tc>
        <w:tc>
          <w:tcPr>
            <w:tcW w:w="2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202,599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tangible assets (c)</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202,906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200,172</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197,199</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195,764</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193,957</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Earning assets</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193,135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190,536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187,403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185,936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184,069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Investment securities</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28,587</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27,490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27,993</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28,623</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27,622</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Loans and leases, net of unearned discount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133,796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132,770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132,617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133,545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132,012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Deposits</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164,065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164,713</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162,688</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159,399</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161,537</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Borrowings</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Common shareholders’ equity (c)</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25,008</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24,489</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24,009</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23,674</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23,366</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Tangible common shareholders’ equity (c)</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14,724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At end of quarter:</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(c)</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215,137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208,264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209,124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207,672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202,956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tangible assets (c)</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206,574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199,689</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200,538</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199,074</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194,321</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Earning assets</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189,140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189,942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188,504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183,853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Investment securities</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28,496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26,897</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27,336</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27,916</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28,443</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Loans and leases, net of unearned discount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134,973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134,068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132,355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133,344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132,938</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Deposits</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167,196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163,274</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164,128</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162,058</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159,075</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Borrowings</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14,458</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Common shareholders’ equity (c)</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25,158</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24,946</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24,186</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23,790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23,366</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Tangible common shareholders’ equity (c)</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Equity per common share</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150.90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150.15</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145.72</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143.41</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140.88</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Tangible equity per common share</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93.99</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-5245100</wp:posOffset>
            </wp:positionV>
            <wp:extent cx="77470"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-5245100</wp:posOffset>
            </wp:positionV>
            <wp:extent cx="77470"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-5245100</wp:posOffset>
            </wp:positionV>
            <wp:extent cx="68580"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-5245100</wp:posOffset>
            </wp:positionV>
            <wp:extent cx="68580"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-5245100</wp:posOffset>
            </wp:positionV>
            <wp:extent cx="68580"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1903095"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60" w:lineRule="exact"/>
        <w:rPr>
          <w:sz w:val="20"/>
          <w:szCs w:val="20"/>
          <w:color w:val="auto"/>
        </w:rPr>
      </w:pPr>
    </w:p>
    <w:p>
      <w:pPr>
        <w:ind w:left="520" w:hanging="512"/>
        <w:spacing w:after="0" w:line="251" w:lineRule="auto"/>
        <w:tabs>
          <w:tab w:leader="none" w:pos="520" w:val="left"/>
        </w:tabs>
        <w:numPr>
          <w:ilvl w:val="0"/>
          <w:numId w:val="4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520" w:hanging="512"/>
        <w:spacing w:after="0"/>
        <w:tabs>
          <w:tab w:leader="none" w:pos="520" w:val="left"/>
        </w:tabs>
        <w:numPr>
          <w:ilvl w:val="0"/>
          <w:numId w:val="4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Excludes impact of merger-related expenses and net securities transactions.</w:t>
      </w:r>
    </w:p>
    <w:p>
      <w:pPr>
        <w:ind w:left="520" w:hanging="512"/>
        <w:spacing w:after="0" w:line="255" w:lineRule="auto"/>
        <w:tabs>
          <w:tab w:leader="none" w:pos="520" w:val="left"/>
        </w:tabs>
        <w:numPr>
          <w:ilvl w:val="0"/>
          <w:numId w:val="4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391" w:lineRule="exact"/>
        <w:rPr>
          <w:rFonts w:ascii="Times New Roman" w:cs="Times New Roman" w:eastAsia="Times New Roman" w:hAnsi="Times New Roman"/>
          <w:sz w:val="13"/>
          <w:szCs w:val="13"/>
          <w:i w:val="1"/>
          <w:iCs w:val="1"/>
          <w:color w:val="auto"/>
        </w:rPr>
      </w:pPr>
    </w:p>
    <w:p>
      <w:pPr>
        <w:ind w:left="5540" w:hanging="111"/>
        <w:spacing w:after="0"/>
        <w:tabs>
          <w:tab w:leader="none" w:pos="5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3"/>
          </w:tcPr>
          <w:p>
            <w:pPr>
              <w:ind w:left="380"/>
              <w:spacing w:after="0"/>
              <w:rPr>
                <w:sz w:val="20"/>
                <w:szCs w:val="20"/>
                <w:color w:val="auto"/>
              </w:rPr>
            </w:pPr>
            <w:r>
              <w:rPr>
                <w:rFonts w:ascii="Times New Roman" w:cs="Times New Roman" w:eastAsia="Times New Roman" w:hAnsi="Times New Roman"/>
                <w:sz w:val="20"/>
                <w:szCs w:val="20"/>
                <w:color w:val="auto"/>
                <w:w w:val="95"/>
              </w:rPr>
              <w:t>Table 2</w:t>
            </w:r>
          </w:p>
        </w:tc>
        <w:tc>
          <w:tcPr>
            <w:tcW w:w="0" w:type="dxa"/>
            <w:vAlign w:val="bottom"/>
          </w:tcPr>
          <w:p>
            <w:pPr>
              <w:spacing w:after="0"/>
              <w:rPr>
                <w:sz w:val="1"/>
                <w:szCs w:val="1"/>
                <w:color w:val="auto"/>
              </w:rPr>
            </w:pPr>
          </w:p>
        </w:tc>
      </w:tr>
      <w:tr>
        <w:trPr>
          <w:trHeight w:val="303"/>
        </w:trPr>
        <w:tc>
          <w:tcPr>
            <w:tcW w:w="70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RECONCILIATION OF QUARTERLY GAAP TO NON-GAAP MEASURES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2023 Quarters</w:t>
            </w:r>
          </w:p>
        </w:tc>
        <w:tc>
          <w:tcPr>
            <w:tcW w:w="8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 except per share)</w:t>
            </w:r>
          </w:p>
        </w:tc>
        <w:tc>
          <w:tcPr>
            <w:tcW w:w="140" w:type="dxa"/>
            <w:vAlign w:val="bottom"/>
          </w:tcPr>
          <w:p>
            <w:pPr>
              <w:spacing w:after="0"/>
              <w:rPr>
                <w:sz w:val="13"/>
                <w:szCs w:val="13"/>
                <w:color w:val="auto"/>
              </w:rPr>
            </w:pPr>
          </w:p>
        </w:tc>
        <w:tc>
          <w:tcPr>
            <w:tcW w:w="9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First Quarter</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Fourth</w:t>
            </w:r>
          </w:p>
        </w:tc>
        <w:tc>
          <w:tcPr>
            <w:tcW w:w="240" w:type="dxa"/>
            <w:vAlign w:val="bottom"/>
          </w:tcPr>
          <w:p>
            <w:pPr>
              <w:spacing w:after="0"/>
              <w:rPr>
                <w:sz w:val="13"/>
                <w:szCs w:val="13"/>
                <w:color w:val="auto"/>
              </w:rPr>
            </w:pPr>
          </w:p>
        </w:tc>
        <w:tc>
          <w:tcPr>
            <w:tcW w:w="1240" w:type="dxa"/>
            <w:vAlign w:val="bottom"/>
            <w:gridSpan w:val="3"/>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Third</w:t>
            </w:r>
          </w:p>
        </w:tc>
        <w:tc>
          <w:tcPr>
            <w:tcW w:w="280" w:type="dxa"/>
            <w:vAlign w:val="bottom"/>
          </w:tcPr>
          <w:p>
            <w:pPr>
              <w:spacing w:after="0"/>
              <w:rPr>
                <w:sz w:val="13"/>
                <w:szCs w:val="13"/>
                <w:color w:val="auto"/>
              </w:rPr>
            </w:pPr>
          </w:p>
        </w:tc>
        <w:tc>
          <w:tcPr>
            <w:tcW w:w="118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Second</w:t>
            </w:r>
          </w:p>
        </w:tc>
        <w:tc>
          <w:tcPr>
            <w:tcW w:w="260" w:type="dxa"/>
            <w:vAlign w:val="bottom"/>
          </w:tcPr>
          <w:p>
            <w:pPr>
              <w:spacing w:after="0"/>
              <w:rPr>
                <w:sz w:val="13"/>
                <w:szCs w:val="13"/>
                <w:color w:val="auto"/>
              </w:rPr>
            </w:pPr>
          </w:p>
        </w:tc>
        <w:tc>
          <w:tcPr>
            <w:tcW w:w="86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First</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Income statement data</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867</w:t>
            </w:r>
          </w:p>
        </w:tc>
        <w:tc>
          <w:tcPr>
            <w:tcW w:w="36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Amortization of core deposit and other</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12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3"/>
                <w:szCs w:val="13"/>
                <w:color w:val="auto"/>
              </w:rPr>
              <w:t>intangible assets (a)</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4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3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3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120" w:type="dxa"/>
            <w:vAlign w:val="bottom"/>
            <w:tcBorders>
              <w:bottom w:val="single" w:sz="8" w:color="CFF0FC"/>
            </w:tcBorders>
            <w:gridSpan w:val="2"/>
            <w:shd w:val="clear" w:color="auto" w:fill="CFF0FC"/>
          </w:tcPr>
          <w:p>
            <w:pPr>
              <w:ind w:left="160"/>
              <w:spacing w:after="0" w:line="146" w:lineRule="exact"/>
              <w:rPr>
                <w:sz w:val="20"/>
                <w:szCs w:val="20"/>
                <w:color w:val="auto"/>
              </w:rPr>
            </w:pPr>
            <w:r>
              <w:rPr>
                <w:rFonts w:ascii="Times New Roman" w:cs="Times New Roman" w:eastAsia="Times New Roman" w:hAnsi="Times New Roman"/>
                <w:sz w:val="13"/>
                <w:szCs w:val="13"/>
                <w:color w:val="auto"/>
              </w:rPr>
              <w:t>Net operating income</w:t>
            </w: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4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879</w:t>
            </w:r>
          </w:p>
        </w:tc>
        <w:tc>
          <w:tcPr>
            <w:tcW w:w="3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12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Earnings per common share</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Diluted earnings per common share</w:t>
            </w: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36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Amortization of core deposit and other</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12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3"/>
                <w:szCs w:val="13"/>
                <w:color w:val="auto"/>
              </w:rPr>
              <w:t>intangible assets (a)</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4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3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3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120" w:type="dxa"/>
            <w:vAlign w:val="bottom"/>
            <w:gridSpan w:val="2"/>
            <w:shd w:val="clear" w:color="auto" w:fill="CFF0FC"/>
          </w:tcPr>
          <w:p>
            <w:pPr>
              <w:ind w:left="160"/>
              <w:spacing w:after="0" w:line="111" w:lineRule="exact"/>
              <w:rPr>
                <w:sz w:val="20"/>
                <w:szCs w:val="20"/>
                <w:color w:val="auto"/>
              </w:rPr>
            </w:pPr>
            <w:r>
              <w:rPr>
                <w:rFonts w:ascii="Times New Roman" w:cs="Times New Roman" w:eastAsia="Times New Roman" w:hAnsi="Times New Roman"/>
                <w:sz w:val="12"/>
                <w:szCs w:val="12"/>
                <w:color w:val="auto"/>
              </w:rPr>
              <w:t>Diluted net operating earnings per</w:t>
            </w:r>
          </w:p>
        </w:tc>
        <w:tc>
          <w:tcPr>
            <w:tcW w:w="1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400" w:type="dxa"/>
            <w:vAlign w:val="bottom"/>
            <w:shd w:val="clear" w:color="auto" w:fill="CFF0FC"/>
          </w:tcPr>
          <w:p>
            <w:pPr>
              <w:spacing w:after="0"/>
              <w:rPr>
                <w:sz w:val="9"/>
                <w:szCs w:val="9"/>
                <w:color w:val="auto"/>
              </w:rPr>
            </w:pPr>
          </w:p>
        </w:tc>
        <w:tc>
          <w:tcPr>
            <w:tcW w:w="220" w:type="dxa"/>
            <w:vAlign w:val="bottom"/>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360" w:type="dxa"/>
            <w:vAlign w:val="bottom"/>
            <w:shd w:val="clear" w:color="auto" w:fill="CFF0FC"/>
          </w:tcPr>
          <w:p>
            <w:pPr>
              <w:spacing w:after="0"/>
              <w:rPr>
                <w:sz w:val="9"/>
                <w:szCs w:val="9"/>
                <w:color w:val="auto"/>
              </w:rPr>
            </w:pPr>
          </w:p>
        </w:tc>
        <w:tc>
          <w:tcPr>
            <w:tcW w:w="240" w:type="dxa"/>
            <w:vAlign w:val="bottom"/>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360" w:type="dxa"/>
            <w:vAlign w:val="bottom"/>
            <w:shd w:val="clear" w:color="auto" w:fill="CFF0FC"/>
          </w:tcPr>
          <w:p>
            <w:pPr>
              <w:spacing w:after="0"/>
              <w:rPr>
                <w:sz w:val="9"/>
                <w:szCs w:val="9"/>
                <w:color w:val="auto"/>
              </w:rPr>
            </w:pPr>
          </w:p>
        </w:tc>
        <w:tc>
          <w:tcPr>
            <w:tcW w:w="260" w:type="dxa"/>
            <w:vAlign w:val="bottom"/>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0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4120" w:type="dxa"/>
            <w:vAlign w:val="bottom"/>
            <w:tcBorders>
              <w:bottom w:val="single" w:sz="8" w:color="CFF0FC"/>
            </w:tcBorders>
            <w:gridSpan w:val="2"/>
            <w:shd w:val="clear" w:color="auto" w:fill="CFF0FC"/>
          </w:tcPr>
          <w:p>
            <w:pPr>
              <w:ind w:left="220"/>
              <w:spacing w:after="0" w:line="106" w:lineRule="exact"/>
              <w:rPr>
                <w:sz w:val="20"/>
                <w:szCs w:val="20"/>
                <w:color w:val="auto"/>
              </w:rPr>
            </w:pPr>
            <w:r>
              <w:rPr>
                <w:rFonts w:ascii="Times New Roman" w:cs="Times New Roman" w:eastAsia="Times New Roman" w:hAnsi="Times New Roman"/>
                <w:sz w:val="12"/>
                <w:szCs w:val="12"/>
                <w:color w:val="auto"/>
              </w:rPr>
              <w:t>common share</w:t>
            </w: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vMerge w:val="continue"/>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vMerge w:val="continue"/>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12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Other expense</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expense</w:t>
            </w: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1,396</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1,450</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1,278</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1,293</w:t>
            </w:r>
          </w:p>
        </w:tc>
        <w:tc>
          <w:tcPr>
            <w:tcW w:w="36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Amortization of core deposit and other</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intangible assets</w:t>
            </w:r>
          </w:p>
        </w:tc>
        <w:tc>
          <w:tcPr>
            <w:tcW w:w="14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(15 )</w:t>
            </w:r>
          </w:p>
        </w:tc>
        <w:tc>
          <w:tcPr>
            <w:tcW w:w="22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(15 )</w:t>
            </w: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(15 )</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(15 )</w:t>
            </w:r>
          </w:p>
        </w:tc>
        <w:tc>
          <w:tcPr>
            <w:tcW w:w="26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120" w:type="dxa"/>
            <w:vAlign w:val="bottom"/>
            <w:tcBorders>
              <w:top w:val="single" w:sz="8" w:color="CFF0FC"/>
              <w:bottom w:val="single" w:sz="8" w:color="CFF0FC"/>
            </w:tcBorders>
            <w:gridSpan w:val="2"/>
            <w:shd w:val="clear" w:color="auto" w:fill="CFF0FC"/>
          </w:tcPr>
          <w:p>
            <w:pPr>
              <w:ind w:left="160"/>
              <w:spacing w:after="0" w:line="146" w:lineRule="exact"/>
              <w:rPr>
                <w:sz w:val="20"/>
                <w:szCs w:val="20"/>
                <w:color w:val="auto"/>
              </w:rPr>
            </w:pPr>
            <w:r>
              <w:rPr>
                <w:rFonts w:ascii="Times New Roman" w:cs="Times New Roman" w:eastAsia="Times New Roman" w:hAnsi="Times New Roman"/>
                <w:sz w:val="13"/>
                <w:szCs w:val="13"/>
                <w:color w:val="auto"/>
              </w:rPr>
              <w:t>Noninterest operating expense</w:t>
            </w: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1,381</w:t>
            </w:r>
          </w:p>
        </w:tc>
        <w:tc>
          <w:tcPr>
            <w:tcW w:w="40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1,435</w:t>
            </w:r>
          </w:p>
        </w:tc>
        <w:tc>
          <w:tcPr>
            <w:tcW w:w="36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1,263</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1,278</w:t>
            </w:r>
          </w:p>
        </w:tc>
        <w:tc>
          <w:tcPr>
            <w:tcW w:w="36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1,342</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12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Efficiency ratio</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1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Noninterest operating expense (numerator)</w:t>
            </w: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1,381</w:t>
            </w:r>
          </w:p>
        </w:tc>
        <w:tc>
          <w:tcPr>
            <w:tcW w:w="4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1,435</w:t>
            </w: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1,263</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1,278</w:t>
            </w:r>
          </w:p>
        </w:tc>
        <w:tc>
          <w:tcPr>
            <w:tcW w:w="3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1,342</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12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auto"/>
              </w:rPr>
              <w:t>Taxable-equivalent net interest income</w:t>
            </w: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1,692</w:t>
            </w:r>
          </w:p>
        </w:tc>
        <w:tc>
          <w:tcPr>
            <w:tcW w:w="400" w:type="dxa"/>
            <w:vAlign w:val="bottom"/>
          </w:tcPr>
          <w:p>
            <w:pPr>
              <w:spacing w:after="0"/>
              <w:rPr>
                <w:sz w:val="12"/>
                <w:szCs w:val="12"/>
                <w:color w:val="auto"/>
              </w:rPr>
            </w:pPr>
          </w:p>
        </w:tc>
        <w:tc>
          <w:tcPr>
            <w:tcW w:w="220" w:type="dxa"/>
            <w:vAlign w:val="bottom"/>
          </w:tcPr>
          <w:p>
            <w:pPr>
              <w:jc w:val="right"/>
              <w:ind w:right="7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1,735</w:t>
            </w:r>
          </w:p>
        </w:tc>
        <w:tc>
          <w:tcPr>
            <w:tcW w:w="360" w:type="dxa"/>
            <w:vAlign w:val="bottom"/>
          </w:tcPr>
          <w:p>
            <w:pPr>
              <w:spacing w:after="0"/>
              <w:rPr>
                <w:sz w:val="12"/>
                <w:szCs w:val="12"/>
                <w:color w:val="auto"/>
              </w:rPr>
            </w:pPr>
          </w:p>
        </w:tc>
        <w:tc>
          <w:tcPr>
            <w:tcW w:w="240" w:type="dxa"/>
            <w:vAlign w:val="bottom"/>
          </w:tcPr>
          <w:p>
            <w:pPr>
              <w:jc w:val="right"/>
              <w:ind w:right="9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1,790</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jc w:val="right"/>
              <w:ind w:right="1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1,813</w:t>
            </w:r>
          </w:p>
        </w:tc>
        <w:tc>
          <w:tcPr>
            <w:tcW w:w="360" w:type="dxa"/>
            <w:vAlign w:val="bottom"/>
          </w:tcPr>
          <w:p>
            <w:pPr>
              <w:spacing w:after="0"/>
              <w:rPr>
                <w:sz w:val="12"/>
                <w:szCs w:val="12"/>
                <w:color w:val="auto"/>
              </w:rPr>
            </w:pPr>
          </w:p>
        </w:tc>
        <w:tc>
          <w:tcPr>
            <w:tcW w:w="260" w:type="dxa"/>
            <w:vAlign w:val="bottom"/>
          </w:tcPr>
          <w:p>
            <w:pPr>
              <w:jc w:val="right"/>
              <w:ind w:right="1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1,832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income</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Less: Gain (loss) on bank investment securities</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Denominator</w:t>
            </w: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2,270</w:t>
            </w:r>
          </w:p>
        </w:tc>
        <w:tc>
          <w:tcPr>
            <w:tcW w:w="4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2,309</w:t>
            </w: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2,350</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2,615</w:t>
            </w:r>
          </w:p>
        </w:tc>
        <w:tc>
          <w:tcPr>
            <w:tcW w:w="3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2,419</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12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auto"/>
              </w:rPr>
              <w:t>Efficiency ratio</w:t>
            </w:r>
          </w:p>
        </w:tc>
        <w:tc>
          <w:tcPr>
            <w:tcW w:w="140" w:type="dxa"/>
            <w:vAlign w:val="bottom"/>
          </w:tcPr>
          <w:p>
            <w:pPr>
              <w:spacing w:after="0"/>
              <w:rPr>
                <w:sz w:val="12"/>
                <w:szCs w:val="12"/>
                <w:color w:val="auto"/>
              </w:rPr>
            </w:pPr>
          </w:p>
        </w:tc>
        <w:tc>
          <w:tcPr>
            <w:tcW w:w="1380" w:type="dxa"/>
            <w:vAlign w:val="bottom"/>
            <w:gridSpan w:val="2"/>
          </w:tcPr>
          <w:p>
            <w:pPr>
              <w:jc w:val="right"/>
              <w:ind w:right="280"/>
              <w:spacing w:after="0" w:line="143" w:lineRule="exact"/>
              <w:rPr>
                <w:sz w:val="20"/>
                <w:szCs w:val="20"/>
                <w:color w:val="auto"/>
              </w:rPr>
            </w:pPr>
            <w:r>
              <w:rPr>
                <w:rFonts w:ascii="Times New Roman" w:cs="Times New Roman" w:eastAsia="Times New Roman" w:hAnsi="Times New Roman"/>
                <w:sz w:val="13"/>
                <w:szCs w:val="13"/>
                <w:color w:val="auto"/>
              </w:rPr>
              <w:t>60.8 %</w:t>
            </w:r>
          </w:p>
        </w:tc>
        <w:tc>
          <w:tcPr>
            <w:tcW w:w="220" w:type="dxa"/>
            <w:vAlign w:val="bottom"/>
          </w:tcPr>
          <w:p>
            <w:pPr>
              <w:spacing w:after="0"/>
              <w:rPr>
                <w:sz w:val="12"/>
                <w:szCs w:val="12"/>
                <w:color w:val="auto"/>
              </w:rPr>
            </w:pPr>
          </w:p>
        </w:tc>
        <w:tc>
          <w:tcPr>
            <w:tcW w:w="1220" w:type="dxa"/>
            <w:vAlign w:val="bottom"/>
            <w:gridSpan w:val="2"/>
          </w:tcPr>
          <w:p>
            <w:pPr>
              <w:jc w:val="right"/>
              <w:ind w:right="240"/>
              <w:spacing w:after="0" w:line="143" w:lineRule="exact"/>
              <w:rPr>
                <w:sz w:val="20"/>
                <w:szCs w:val="20"/>
                <w:color w:val="auto"/>
              </w:rPr>
            </w:pPr>
            <w:r>
              <w:rPr>
                <w:rFonts w:ascii="Times New Roman" w:cs="Times New Roman" w:eastAsia="Times New Roman" w:hAnsi="Times New Roman"/>
                <w:sz w:val="13"/>
                <w:szCs w:val="13"/>
                <w:color w:val="auto"/>
              </w:rPr>
              <w:t>62.1 %</w:t>
            </w:r>
          </w:p>
        </w:tc>
        <w:tc>
          <w:tcPr>
            <w:tcW w:w="240" w:type="dxa"/>
            <w:vAlign w:val="bottom"/>
          </w:tcPr>
          <w:p>
            <w:pPr>
              <w:spacing w:after="0"/>
              <w:rPr>
                <w:sz w:val="12"/>
                <w:szCs w:val="12"/>
                <w:color w:val="auto"/>
              </w:rPr>
            </w:pPr>
          </w:p>
        </w:tc>
        <w:tc>
          <w:tcPr>
            <w:tcW w:w="1240" w:type="dxa"/>
            <w:vAlign w:val="bottom"/>
            <w:gridSpan w:val="3"/>
          </w:tcPr>
          <w:p>
            <w:pPr>
              <w:jc w:val="right"/>
              <w:ind w:right="260"/>
              <w:spacing w:after="0" w:line="143" w:lineRule="exact"/>
              <w:rPr>
                <w:sz w:val="20"/>
                <w:szCs w:val="20"/>
                <w:color w:val="auto"/>
              </w:rPr>
            </w:pPr>
            <w:r>
              <w:rPr>
                <w:rFonts w:ascii="Times New Roman" w:cs="Times New Roman" w:eastAsia="Times New Roman" w:hAnsi="Times New Roman"/>
                <w:sz w:val="13"/>
                <w:szCs w:val="13"/>
                <w:color w:val="auto"/>
              </w:rPr>
              <w:t>53.7 %</w:t>
            </w:r>
          </w:p>
        </w:tc>
        <w:tc>
          <w:tcPr>
            <w:tcW w:w="280" w:type="dxa"/>
            <w:vAlign w:val="bottom"/>
          </w:tcPr>
          <w:p>
            <w:pPr>
              <w:spacing w:after="0"/>
              <w:rPr>
                <w:sz w:val="12"/>
                <w:szCs w:val="12"/>
                <w:color w:val="auto"/>
              </w:rPr>
            </w:pPr>
          </w:p>
        </w:tc>
        <w:tc>
          <w:tcPr>
            <w:tcW w:w="1180" w:type="dxa"/>
            <w:vAlign w:val="bottom"/>
            <w:gridSpan w:val="2"/>
          </w:tcPr>
          <w:p>
            <w:pPr>
              <w:jc w:val="right"/>
              <w:ind w:right="240"/>
              <w:spacing w:after="0" w:line="143" w:lineRule="exact"/>
              <w:rPr>
                <w:sz w:val="20"/>
                <w:szCs w:val="20"/>
                <w:color w:val="auto"/>
              </w:rPr>
            </w:pPr>
            <w:r>
              <w:rPr>
                <w:rFonts w:ascii="Times New Roman" w:cs="Times New Roman" w:eastAsia="Times New Roman" w:hAnsi="Times New Roman"/>
                <w:sz w:val="13"/>
                <w:szCs w:val="13"/>
                <w:color w:val="auto"/>
              </w:rPr>
              <w:t>48.9 %</w:t>
            </w:r>
          </w:p>
        </w:tc>
        <w:tc>
          <w:tcPr>
            <w:tcW w:w="260" w:type="dxa"/>
            <w:vAlign w:val="bottom"/>
          </w:tcPr>
          <w:p>
            <w:pPr>
              <w:spacing w:after="0"/>
              <w:rPr>
                <w:sz w:val="12"/>
                <w:szCs w:val="12"/>
                <w:color w:val="auto"/>
              </w:rPr>
            </w:pPr>
          </w:p>
        </w:tc>
        <w:tc>
          <w:tcPr>
            <w:tcW w:w="96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3"/>
                <w:szCs w:val="13"/>
                <w:color w:val="auto"/>
              </w:rPr>
              <w:t>55.5 %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20" w:type="dxa"/>
            <w:vAlign w:val="bottom"/>
            <w:gridSpan w:val="2"/>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Balance sheet data</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Average assets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Average assets</w:t>
            </w: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211,478</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208,752</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205,791</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204,376</w:t>
            </w:r>
          </w:p>
        </w:tc>
        <w:tc>
          <w:tcPr>
            <w:tcW w:w="36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202,599</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4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(8,465 )</w:t>
            </w:r>
          </w:p>
        </w:tc>
        <w:tc>
          <w:tcPr>
            <w:tcW w:w="22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(8,465 )</w:t>
            </w: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(8,465 )</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(8,473 )</w:t>
            </w:r>
          </w:p>
        </w:tc>
        <w:tc>
          <w:tcPr>
            <w:tcW w:w="26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(8,490 )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(140 )</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(154 )</w:t>
            </w: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(170 )</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(185 )</w:t>
            </w:r>
          </w:p>
        </w:tc>
        <w:tc>
          <w:tcPr>
            <w:tcW w:w="2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(201 )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12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Average tangible assets</w:t>
            </w: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202,906</w:t>
            </w:r>
          </w:p>
        </w:tc>
        <w:tc>
          <w:tcPr>
            <w:tcW w:w="4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200,172</w:t>
            </w: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197,199</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195,764</w:t>
            </w:r>
          </w:p>
        </w:tc>
        <w:tc>
          <w:tcPr>
            <w:tcW w:w="3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193,957</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12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Average common equity</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Average total equity</w:t>
            </w: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27,019</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26,500</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26,020</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25,685</w:t>
            </w:r>
          </w:p>
        </w:tc>
        <w:tc>
          <w:tcPr>
            <w:tcW w:w="36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25,377</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14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(2,011 )</w:t>
            </w:r>
          </w:p>
        </w:tc>
        <w:tc>
          <w:tcPr>
            <w:tcW w:w="22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(2,011 )</w:t>
            </w: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(2,011 )</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(2,011 )</w:t>
            </w:r>
          </w:p>
        </w:tc>
        <w:tc>
          <w:tcPr>
            <w:tcW w:w="26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(2,011 )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Average common equity</w:t>
            </w:r>
          </w:p>
        </w:tc>
        <w:tc>
          <w:tcPr>
            <w:tcW w:w="14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25,008</w:t>
            </w:r>
          </w:p>
        </w:tc>
        <w:tc>
          <w:tcPr>
            <w:tcW w:w="40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24,489</w:t>
            </w:r>
          </w:p>
        </w:tc>
        <w:tc>
          <w:tcPr>
            <w:tcW w:w="36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24,009</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23,674</w:t>
            </w:r>
          </w:p>
        </w:tc>
        <w:tc>
          <w:tcPr>
            <w:tcW w:w="36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23,366</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4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(8,465 )</w:t>
            </w:r>
          </w:p>
        </w:tc>
        <w:tc>
          <w:tcPr>
            <w:tcW w:w="22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(8,465 )</w:t>
            </w: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(8,465 )</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(8,473 )</w:t>
            </w:r>
          </w:p>
        </w:tc>
        <w:tc>
          <w:tcPr>
            <w:tcW w:w="26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(8,490 )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(140 )</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(154 )</w:t>
            </w: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(170 )</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(185 )</w:t>
            </w:r>
          </w:p>
        </w:tc>
        <w:tc>
          <w:tcPr>
            <w:tcW w:w="2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(201 )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12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Average tangible common equity</w:t>
            </w: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16,436</w:t>
            </w:r>
          </w:p>
        </w:tc>
        <w:tc>
          <w:tcPr>
            <w:tcW w:w="4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15,909</w:t>
            </w: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15,417</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15,062</w:t>
            </w:r>
          </w:p>
        </w:tc>
        <w:tc>
          <w:tcPr>
            <w:tcW w:w="3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14,724</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12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At end of quarter</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215,137</w:t>
            </w:r>
          </w:p>
        </w:tc>
        <w:tc>
          <w:tcPr>
            <w:tcW w:w="4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208,264</w:t>
            </w:r>
          </w:p>
        </w:tc>
        <w:tc>
          <w:tcPr>
            <w:tcW w:w="36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209,124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207,672</w:t>
            </w:r>
          </w:p>
        </w:tc>
        <w:tc>
          <w:tcPr>
            <w:tcW w:w="36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202,956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(8,465 )</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(8,465 )</w:t>
            </w: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(8,465 )</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(8,465 )</w:t>
            </w:r>
          </w:p>
        </w:tc>
        <w:tc>
          <w:tcPr>
            <w:tcW w:w="2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(8,490 )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4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(132 )</w:t>
            </w:r>
          </w:p>
        </w:tc>
        <w:tc>
          <w:tcPr>
            <w:tcW w:w="22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(147 )</w:t>
            </w: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(162 )</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(177 )</w:t>
            </w:r>
          </w:p>
        </w:tc>
        <w:tc>
          <w:tcPr>
            <w:tcW w:w="26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14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4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3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3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Total tangible assets</w:t>
            </w: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206,574</w:t>
            </w:r>
          </w:p>
        </w:tc>
        <w:tc>
          <w:tcPr>
            <w:tcW w:w="400" w:type="dxa"/>
            <w:vAlign w:val="bottom"/>
          </w:tcPr>
          <w:p>
            <w:pPr>
              <w:spacing w:after="0"/>
              <w:rPr>
                <w:sz w:val="13"/>
                <w:szCs w:val="13"/>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199,689</w:t>
            </w:r>
          </w:p>
        </w:tc>
        <w:tc>
          <w:tcPr>
            <w:tcW w:w="360" w:type="dxa"/>
            <w:vAlign w:val="bottom"/>
          </w:tcPr>
          <w:p>
            <w:pPr>
              <w:spacing w:after="0"/>
              <w:rPr>
                <w:sz w:val="13"/>
                <w:szCs w:val="13"/>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200,538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199,074</w:t>
            </w:r>
          </w:p>
        </w:tc>
        <w:tc>
          <w:tcPr>
            <w:tcW w:w="360" w:type="dxa"/>
            <w:vAlign w:val="bottom"/>
          </w:tcPr>
          <w:p>
            <w:pPr>
              <w:spacing w:after="0"/>
              <w:rPr>
                <w:sz w:val="13"/>
                <w:szCs w:val="13"/>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194,321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20" w:type="dxa"/>
            <w:vAlign w:val="bottom"/>
            <w:gridSpan w:val="2"/>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Total common equity</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equity</w:t>
            </w: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27,169</w:t>
            </w:r>
          </w:p>
        </w:tc>
        <w:tc>
          <w:tcPr>
            <w:tcW w:w="4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26,957</w:t>
            </w:r>
          </w:p>
        </w:tc>
        <w:tc>
          <w:tcPr>
            <w:tcW w:w="36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26,197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25,801</w:t>
            </w:r>
          </w:p>
        </w:tc>
        <w:tc>
          <w:tcPr>
            <w:tcW w:w="36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25,377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(2,011 )</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(2,011 )</w:t>
            </w: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(2,011 )</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(2,011 )</w:t>
            </w:r>
          </w:p>
        </w:tc>
        <w:tc>
          <w:tcPr>
            <w:tcW w:w="2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(2,011 )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tcBorders>
              <w:top w:val="single" w:sz="8" w:color="CFF0FC"/>
            </w:tcBorders>
            <w:gridSpan w:val="2"/>
          </w:tcPr>
          <w:p>
            <w:pPr>
              <w:ind w:left="160"/>
              <w:spacing w:after="0"/>
              <w:rPr>
                <w:sz w:val="20"/>
                <w:szCs w:val="20"/>
                <w:color w:val="auto"/>
              </w:rPr>
            </w:pPr>
            <w:r>
              <w:rPr>
                <w:rFonts w:ascii="Times New Roman" w:cs="Times New Roman" w:eastAsia="Times New Roman" w:hAnsi="Times New Roman"/>
                <w:sz w:val="13"/>
                <w:szCs w:val="13"/>
                <w:color w:val="auto"/>
              </w:rPr>
              <w:t>Common equity</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25,158</w:t>
            </w:r>
          </w:p>
        </w:tc>
        <w:tc>
          <w:tcPr>
            <w:tcW w:w="4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24,946</w:t>
            </w:r>
          </w:p>
        </w:tc>
        <w:tc>
          <w:tcPr>
            <w:tcW w:w="36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24,186</w:t>
            </w:r>
          </w:p>
        </w:tc>
        <w:tc>
          <w:tcPr>
            <w:tcW w:w="120" w:type="dxa"/>
            <w:vAlign w:val="bottom"/>
            <w:tcBorders>
              <w:top w:val="single" w:sz="8" w:color="CFF0FC"/>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23,790</w:t>
            </w:r>
          </w:p>
        </w:tc>
        <w:tc>
          <w:tcPr>
            <w:tcW w:w="36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23,366</w:t>
            </w:r>
          </w:p>
        </w:tc>
        <w:tc>
          <w:tcPr>
            <w:tcW w:w="10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(8,465 )</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(8,465 )</w:t>
            </w: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(8,465 )</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(8,465 )</w:t>
            </w:r>
          </w:p>
        </w:tc>
        <w:tc>
          <w:tcPr>
            <w:tcW w:w="2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(8,490 )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4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(132 )</w:t>
            </w:r>
          </w:p>
        </w:tc>
        <w:tc>
          <w:tcPr>
            <w:tcW w:w="22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(147 )</w:t>
            </w: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(162 )</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(177 )</w:t>
            </w:r>
          </w:p>
        </w:tc>
        <w:tc>
          <w:tcPr>
            <w:tcW w:w="26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14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4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3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3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Total tangible common equity</w:t>
            </w: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16,595</w:t>
            </w:r>
          </w:p>
        </w:tc>
        <w:tc>
          <w:tcPr>
            <w:tcW w:w="400" w:type="dxa"/>
            <w:vAlign w:val="bottom"/>
          </w:tcPr>
          <w:p>
            <w:pPr>
              <w:spacing w:after="0"/>
              <w:rPr>
                <w:sz w:val="13"/>
                <w:szCs w:val="13"/>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16,371</w:t>
            </w:r>
          </w:p>
        </w:tc>
        <w:tc>
          <w:tcPr>
            <w:tcW w:w="360" w:type="dxa"/>
            <w:vAlign w:val="bottom"/>
          </w:tcPr>
          <w:p>
            <w:pPr>
              <w:spacing w:after="0"/>
              <w:rPr>
                <w:sz w:val="13"/>
                <w:szCs w:val="13"/>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15,600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15,192</w:t>
            </w:r>
          </w:p>
        </w:tc>
        <w:tc>
          <w:tcPr>
            <w:tcW w:w="360" w:type="dxa"/>
            <w:vAlign w:val="bottom"/>
          </w:tcPr>
          <w:p>
            <w:pPr>
              <w:spacing w:after="0"/>
              <w:rPr>
                <w:sz w:val="13"/>
                <w:szCs w:val="13"/>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3000" w:type="dxa"/>
            <w:vAlign w:val="bottom"/>
            <w:tcBorders>
              <w:bottom w:val="single" w:sz="8" w:color="auto"/>
            </w:tcBorders>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-5228590</wp:posOffset>
            </wp:positionV>
            <wp:extent cx="77470"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-5211445</wp:posOffset>
            </wp:positionV>
            <wp:extent cx="7747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-5339715</wp:posOffset>
            </wp:positionV>
            <wp:extent cx="7747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-5228590</wp:posOffset>
            </wp:positionV>
            <wp:extent cx="68580"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-5211445</wp:posOffset>
            </wp:positionV>
            <wp:extent cx="6858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-5339715</wp:posOffset>
            </wp:positionV>
            <wp:extent cx="6858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-5228590</wp:posOffset>
            </wp:positionV>
            <wp:extent cx="6858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-5211445</wp:posOffset>
            </wp:positionV>
            <wp:extent cx="6858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-5339715</wp:posOffset>
            </wp:positionV>
            <wp:extent cx="6858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-5228590</wp:posOffset>
            </wp:positionV>
            <wp:extent cx="68580"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-5211445</wp:posOffset>
            </wp:positionV>
            <wp:extent cx="6858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-5339715</wp:posOffset>
            </wp:positionV>
            <wp:extent cx="6858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-5228590</wp:posOffset>
            </wp:positionV>
            <wp:extent cx="68580"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-5211445</wp:posOffset>
            </wp:positionV>
            <wp:extent cx="6858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-5339715</wp:posOffset>
            </wp:positionV>
            <wp:extent cx="6858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-4645660</wp:posOffset>
            </wp:positionV>
            <wp:extent cx="77470"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-4628515</wp:posOffset>
            </wp:positionV>
            <wp:extent cx="77470"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-4808220</wp:posOffset>
            </wp:positionV>
            <wp:extent cx="77470"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-4645660</wp:posOffset>
            </wp:positionV>
            <wp:extent cx="68580"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-4628515</wp:posOffset>
            </wp:positionV>
            <wp:extent cx="68580"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-4808220</wp:posOffset>
            </wp:positionV>
            <wp:extent cx="68580"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-4645660</wp:posOffset>
            </wp:positionV>
            <wp:extent cx="6858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-4628515</wp:posOffset>
            </wp:positionV>
            <wp:extent cx="68580"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-4808220</wp:posOffset>
            </wp:positionV>
            <wp:extent cx="68580"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-4645660</wp:posOffset>
            </wp:positionV>
            <wp:extent cx="68580"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-4628515</wp:posOffset>
            </wp:positionV>
            <wp:extent cx="68580"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-4808220</wp:posOffset>
            </wp:positionV>
            <wp:extent cx="68580"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-4645660</wp:posOffset>
            </wp:positionV>
            <wp:extent cx="6858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-4628515</wp:posOffset>
            </wp:positionV>
            <wp:extent cx="68580"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-4808220</wp:posOffset>
            </wp:positionV>
            <wp:extent cx="68580"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-4114165</wp:posOffset>
            </wp:positionV>
            <wp:extent cx="77470"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-4097020</wp:posOffset>
            </wp:positionV>
            <wp:extent cx="77470"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-4225290</wp:posOffset>
            </wp:positionV>
            <wp:extent cx="7747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-4114165</wp:posOffset>
            </wp:positionV>
            <wp:extent cx="68580"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-4097020</wp:posOffset>
            </wp:positionV>
            <wp:extent cx="68580"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-4225290</wp:posOffset>
            </wp:positionV>
            <wp:extent cx="6858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-4114165</wp:posOffset>
            </wp:positionV>
            <wp:extent cx="68580"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-4097020</wp:posOffset>
            </wp:positionV>
            <wp:extent cx="68580"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-4225290</wp:posOffset>
            </wp:positionV>
            <wp:extent cx="6858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-4114165</wp:posOffset>
            </wp:positionV>
            <wp:extent cx="68580"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-4097020</wp:posOffset>
            </wp:positionV>
            <wp:extent cx="68580"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-4225290</wp:posOffset>
            </wp:positionV>
            <wp:extent cx="6858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-4225290</wp:posOffset>
            </wp:positionV>
            <wp:extent cx="6858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-3882390</wp:posOffset>
            </wp:positionV>
            <wp:extent cx="77470"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-3865245</wp:posOffset>
            </wp:positionV>
            <wp:extent cx="77470"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-3882390</wp:posOffset>
            </wp:positionV>
            <wp:extent cx="68580"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-3865245</wp:posOffset>
            </wp:positionV>
            <wp:extent cx="68580"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-3882390</wp:posOffset>
            </wp:positionV>
            <wp:extent cx="68580"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-3865245</wp:posOffset>
            </wp:positionV>
            <wp:extent cx="68580"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-3882390</wp:posOffset>
            </wp:positionV>
            <wp:extent cx="68580"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-3865245</wp:posOffset>
            </wp:positionV>
            <wp:extent cx="68580"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-3882390</wp:posOffset>
            </wp:positionV>
            <wp:extent cx="68580"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-3865245</wp:posOffset>
            </wp:positionV>
            <wp:extent cx="68580"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-3436620</wp:posOffset>
            </wp:positionV>
            <wp:extent cx="77470"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-3419475</wp:posOffset>
            </wp:positionV>
            <wp:extent cx="77470"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-3436620</wp:posOffset>
            </wp:positionV>
            <wp:extent cx="68580"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-3419475</wp:posOffset>
            </wp:positionV>
            <wp:extent cx="68580"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-3436620</wp:posOffset>
            </wp:positionV>
            <wp:extent cx="68580"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-3419475</wp:posOffset>
            </wp:positionV>
            <wp:extent cx="68580"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-3436620</wp:posOffset>
            </wp:positionV>
            <wp:extent cx="68580"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-3419475</wp:posOffset>
            </wp:positionV>
            <wp:extent cx="6858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-2553970</wp:posOffset>
            </wp:positionV>
            <wp:extent cx="7747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-2536825</wp:posOffset>
            </wp:positionV>
            <wp:extent cx="77470"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-2553970</wp:posOffset>
            </wp:positionV>
            <wp:extent cx="6858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-2536825</wp:posOffset>
            </wp:positionV>
            <wp:extent cx="6858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-2553970</wp:posOffset>
            </wp:positionV>
            <wp:extent cx="6858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-2536825</wp:posOffset>
            </wp:positionV>
            <wp:extent cx="68580"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-2553970</wp:posOffset>
            </wp:positionV>
            <wp:extent cx="6858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-2536825</wp:posOffset>
            </wp:positionV>
            <wp:extent cx="68580"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-1688465</wp:posOffset>
            </wp:positionV>
            <wp:extent cx="7747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-1671320</wp:posOffset>
            </wp:positionV>
            <wp:extent cx="77470"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-1688465</wp:posOffset>
            </wp:positionV>
            <wp:extent cx="6858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-1671320</wp:posOffset>
            </wp:positionV>
            <wp:extent cx="68580"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-1688465</wp:posOffset>
            </wp:positionV>
            <wp:extent cx="6858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-1671320</wp:posOffset>
            </wp:positionV>
            <wp:extent cx="68580"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-1688465</wp:posOffset>
            </wp:positionV>
            <wp:extent cx="6858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-1671320</wp:posOffset>
            </wp:positionV>
            <wp:extent cx="68580"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-1688465</wp:posOffset>
            </wp:positionV>
            <wp:extent cx="6858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-1045210</wp:posOffset>
            </wp:positionV>
            <wp:extent cx="77470"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-1045210</wp:posOffset>
            </wp:positionV>
            <wp:extent cx="68580"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-1045210</wp:posOffset>
            </wp:positionV>
            <wp:extent cx="68580"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-1045210</wp:posOffset>
            </wp:positionV>
            <wp:extent cx="68580"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-599440</wp:posOffset>
            </wp:positionV>
            <wp:extent cx="77470"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-599440</wp:posOffset>
            </wp:positionV>
            <wp:extent cx="68580"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-599440</wp:posOffset>
            </wp:positionV>
            <wp:extent cx="68580"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-599440</wp:posOffset>
            </wp:positionV>
            <wp:extent cx="68580"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-179705</wp:posOffset>
            </wp:positionV>
            <wp:extent cx="7747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-179705</wp:posOffset>
            </wp:positionV>
            <wp:extent cx="6858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-179705</wp:posOffset>
            </wp:positionV>
            <wp:extent cx="6858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-179705</wp:posOffset>
            </wp:positionV>
            <wp:extent cx="6858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20" w:hanging="512"/>
        <w:spacing w:after="0"/>
        <w:tabs>
          <w:tab w:leader="none" w:pos="520" w:val="left"/>
        </w:tabs>
        <w:numPr>
          <w:ilvl w:val="0"/>
          <w:numId w:val="4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After any related tax effect.</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1" w:right="319" w:bottom="1440" w:gutter="0" w:footer="0" w:header="0"/>
        </w:sectPr>
      </w:pPr>
    </w:p>
    <w:bookmarkStart w:id="75" w:name="page76"/>
    <w:bookmarkEnd w:id="75"/>
    <w:p>
      <w:pPr>
        <w:spacing w:after="0"/>
        <w:tabs>
          <w:tab w:leader="none" w:pos="820" w:val="left"/>
        </w:tabs>
        <w:rPr>
          <w:sz w:val="20"/>
          <w:szCs w:val="20"/>
          <w:color w:val="auto"/>
        </w:rPr>
      </w:pPr>
      <w:r>
        <w:rPr>
          <w:rFonts w:ascii="Times New Roman" w:cs="Times New Roman" w:eastAsia="Times New Roman" w:hAnsi="Times New Roman"/>
          <w:sz w:val="21"/>
          <w:szCs w:val="21"/>
          <w:color w:val="auto"/>
        </w:rPr>
        <w:t>Item 3.</w:t>
      </w:r>
      <w:r>
        <w:rPr>
          <w:sz w:val="20"/>
          <w:szCs w:val="20"/>
          <w:color w:val="auto"/>
        </w:rPr>
        <w:tab/>
      </w:r>
      <w:r>
        <w:rPr>
          <w:rFonts w:ascii="Times New Roman" w:cs="Times New Roman" w:eastAsia="Times New Roman" w:hAnsi="Times New Roman"/>
          <w:sz w:val="20"/>
          <w:szCs w:val="20"/>
          <w:color w:val="auto"/>
        </w:rPr>
        <w:t>Quantitative and Qualitative Disclosures About Market Risk.</w:t>
      </w:r>
    </w:p>
    <w:p>
      <w:pPr>
        <w:spacing w:after="0" w:line="110"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20"/>
          <w:szCs w:val="20"/>
          <w:color w:val="auto"/>
        </w:rPr>
        <w:t>Incorporated by reference to the discussion contained in Part I, Item 2, "Management's Discussion and Analysis of Financial Condition and Results of Operations," under the captions "Liquidity Risk," "Market Risk and Interest Rate Sensitivity" and "Capital."</w:t>
      </w:r>
    </w:p>
    <w:p>
      <w:pPr>
        <w:spacing w:after="0" w:line="13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1"/>
          <w:szCs w:val="21"/>
          <w:color w:val="auto"/>
        </w:rPr>
        <w:t>Item 4.</w:t>
      </w:r>
      <w:r>
        <w:rPr>
          <w:sz w:val="20"/>
          <w:szCs w:val="20"/>
          <w:color w:val="auto"/>
        </w:rPr>
        <w:tab/>
      </w:r>
      <w:r>
        <w:rPr>
          <w:rFonts w:ascii="Times New Roman" w:cs="Times New Roman" w:eastAsia="Times New Roman" w:hAnsi="Times New Roman"/>
          <w:sz w:val="20"/>
          <w:szCs w:val="20"/>
          <w:color w:val="auto"/>
        </w:rPr>
        <w:t>Controls and Procedures.</w:t>
      </w:r>
    </w:p>
    <w:p>
      <w:pPr>
        <w:spacing w:after="0" w:line="110" w:lineRule="exact"/>
        <w:rPr>
          <w:sz w:val="20"/>
          <w:szCs w:val="20"/>
          <w:color w:val="auto"/>
        </w:rPr>
      </w:pPr>
    </w:p>
    <w:p>
      <w:pPr>
        <w:jc w:val="both"/>
        <w:ind w:firstLine="8"/>
        <w:spacing w:after="0" w:line="251" w:lineRule="auto"/>
        <w:tabs>
          <w:tab w:leader="none" w:pos="30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Daryl N. Bible, Senior Executive Vice President and Chief Financial Officer, concluded that M&amp;T’s disclosure controls and procedures were effective as of March 31, 2024.</w:t>
      </w:r>
    </w:p>
    <w:p>
      <w:pPr>
        <w:spacing w:after="0" w:line="69" w:lineRule="exact"/>
        <w:rPr>
          <w:rFonts w:ascii="Times New Roman" w:cs="Times New Roman" w:eastAsia="Times New Roman" w:hAnsi="Times New Roman"/>
          <w:sz w:val="21"/>
          <w:szCs w:val="21"/>
          <w:color w:val="auto"/>
        </w:rPr>
      </w:pPr>
    </w:p>
    <w:p>
      <w:pPr>
        <w:jc w:val="both"/>
        <w:ind w:firstLine="8"/>
        <w:spacing w:after="0" w:line="248" w:lineRule="auto"/>
        <w:tabs>
          <w:tab w:leader="none" w:pos="31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March 31, 2024 that have materially affected, or are reasonably likely to materially affect, M&amp;T’s internal control over financial reporting.</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1"/>
          <w:szCs w:val="21"/>
          <w:color w:val="auto"/>
        </w:rPr>
        <w:t>PART II. OTHER INFORMATION</w:t>
      </w:r>
    </w:p>
    <w:p>
      <w:pPr>
        <w:spacing w:after="0" w:line="1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1"/>
          <w:szCs w:val="21"/>
          <w:color w:val="auto"/>
        </w:rPr>
        <w:t>Item 1.</w:t>
      </w:r>
      <w:r>
        <w:rPr>
          <w:sz w:val="20"/>
          <w:szCs w:val="20"/>
          <w:color w:val="auto"/>
        </w:rPr>
        <w:tab/>
      </w:r>
      <w:r>
        <w:rPr>
          <w:rFonts w:ascii="Times New Roman" w:cs="Times New Roman" w:eastAsia="Times New Roman" w:hAnsi="Times New Roman"/>
          <w:sz w:val="20"/>
          <w:szCs w:val="20"/>
          <w:color w:val="auto"/>
        </w:rPr>
        <w:t>Legal Proceedings.</w:t>
      </w:r>
    </w:p>
    <w:p>
      <w:pPr>
        <w:spacing w:after="0" w:line="1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$25 million as of March 31, 2024.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1A. Risk Factors.</w:t>
      </w:r>
    </w:p>
    <w:p>
      <w:pPr>
        <w:spacing w:after="0" w:line="11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There have been no material changes in risk factors relating to M&amp;T to those disclosed in response to Part I, Item 1A of the 2023 Annual Report.</w:t>
      </w:r>
    </w:p>
    <w:p>
      <w:pPr>
        <w:spacing w:after="0" w:line="5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1"/>
          <w:szCs w:val="21"/>
          <w:color w:val="auto"/>
        </w:rPr>
        <w:t>Item 2.</w:t>
      </w:r>
      <w:r>
        <w:rPr>
          <w:sz w:val="20"/>
          <w:szCs w:val="20"/>
          <w:color w:val="auto"/>
        </w:rPr>
        <w:tab/>
      </w:r>
      <w:r>
        <w:rPr>
          <w:rFonts w:ascii="Times New Roman" w:cs="Times New Roman" w:eastAsia="Times New Roman" w:hAnsi="Times New Roman"/>
          <w:sz w:val="20"/>
          <w:szCs w:val="20"/>
          <w:color w:val="auto"/>
        </w:rPr>
        <w:t>Unregistered Sales of Equity Securities and Use of Proceeds.</w:t>
      </w:r>
    </w:p>
    <w:p>
      <w:pPr>
        <w:sectPr>
          <w:pgSz w:w="11900" w:h="16838" w:orient="portrait"/>
          <w:cols w:equalWidth="0" w:num="1">
            <w:col w:w="11240"/>
          </w:cols>
          <w:pgMar w:left="320" w:top="1308" w:right="339" w:bottom="1440" w:gutter="0" w:footer="0" w:header="0"/>
        </w:sectPr>
      </w:pPr>
    </w:p>
    <w:p>
      <w:pPr>
        <w:spacing w:after="0" w:line="110" w:lineRule="exact"/>
        <w:rPr>
          <w:sz w:val="20"/>
          <w:szCs w:val="20"/>
          <w:color w:val="auto"/>
        </w:rPr>
      </w:pPr>
    </w:p>
    <w:p>
      <w:pPr>
        <w:ind w:left="800" w:hanging="283"/>
        <w:spacing w:after="0"/>
        <w:tabs>
          <w:tab w:leader="none" w:pos="8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(b) Not applicable.</w:t>
      </w:r>
    </w:p>
    <w:p>
      <w:pPr>
        <w:spacing w:after="0" w:line="121" w:lineRule="exact"/>
        <w:rPr>
          <w:rFonts w:ascii="Times New Roman" w:cs="Times New Roman" w:eastAsia="Times New Roman" w:hAnsi="Times New Roman"/>
          <w:sz w:val="20"/>
          <w:szCs w:val="20"/>
          <w:color w:val="auto"/>
        </w:rPr>
      </w:pPr>
    </w:p>
    <w:p>
      <w:pPr>
        <w:spacing w:after="0"/>
        <w:tabs>
          <w:tab w:leader="none" w:pos="0" w:val="left"/>
        </w:tabs>
        <w:numPr>
          <w:ilvl w:val="0"/>
          <w:numId w:val="52"/>
        </w:numPr>
        <w:rPr>
          <w:rFonts w:ascii="Times New Roman" w:cs="Times New Roman" w:eastAsia="Times New Roman" w:hAnsi="Times New Roman"/>
          <w:sz w:val="21"/>
          <w:szCs w:val="21"/>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Period</w:t>
      </w:r>
    </w:p>
    <w:p>
      <w:pPr>
        <w:spacing w:after="0" w:line="29" w:lineRule="exact"/>
        <w:rPr>
          <w:sz w:val="20"/>
          <w:szCs w:val="20"/>
          <w:color w:val="auto"/>
        </w:rPr>
      </w:pPr>
    </w:p>
    <w:p>
      <w:pPr>
        <w:ind w:left="20" w:right="1340"/>
        <w:spacing w:after="0" w:line="300" w:lineRule="auto"/>
        <w:rPr>
          <w:sz w:val="20"/>
          <w:szCs w:val="20"/>
          <w:color w:val="auto"/>
        </w:rPr>
      </w:pPr>
      <w:r>
        <w:rPr>
          <w:rFonts w:ascii="Times New Roman" w:cs="Times New Roman" w:eastAsia="Times New Roman" w:hAnsi="Times New Roman"/>
          <w:sz w:val="17"/>
          <w:szCs w:val="17"/>
          <w:color w:val="auto"/>
        </w:rPr>
        <w:t>January 1 - January 31, 2024 February 1 - February 29,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4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5"/>
              <w:spacing w:after="0" w:line="131"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45"/>
              <w:spacing w:after="0" w:line="149" w:lineRule="exact"/>
              <w:rPr>
                <w:sz w:val="20"/>
                <w:szCs w:val="20"/>
                <w:color w:val="auto"/>
              </w:rPr>
            </w:pPr>
            <w:r>
              <w:rPr>
                <w:rFonts w:ascii="Times New Roman" w:cs="Times New Roman" w:eastAsia="Times New Roman" w:hAnsi="Times New Roman"/>
                <w:sz w:val="14"/>
                <w:szCs w:val="14"/>
                <w:b w:val="1"/>
                <w:bCs w:val="1"/>
                <w:color w:val="auto"/>
              </w:rPr>
              <w:t>Number (or</w:t>
            </w: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65"/>
              <w:spacing w:after="0" w:line="14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65"/>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45"/>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45"/>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0" w:type="dxa"/>
            <w:vAlign w:val="bottom"/>
          </w:tcPr>
          <w:p>
            <w:pPr>
              <w:spacing w:after="0"/>
              <w:rPr>
                <w:sz w:val="1"/>
                <w:szCs w:val="1"/>
                <w:color w:val="auto"/>
              </w:rPr>
            </w:pPr>
          </w:p>
        </w:tc>
      </w:tr>
      <w:tr>
        <w:trPr>
          <w:trHeight w:val="146"/>
        </w:trPr>
        <w:tc>
          <w:tcPr>
            <w:tcW w:w="2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960" w:type="dxa"/>
            <w:vAlign w:val="bottom"/>
          </w:tcPr>
          <w:p>
            <w:pPr>
              <w:jc w:val="center"/>
              <w:ind w:left="168"/>
              <w:spacing w:after="0" w:line="146"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45"/>
              <w:spacing w:after="0" w:line="146" w:lineRule="exact"/>
              <w:rPr>
                <w:sz w:val="20"/>
                <w:szCs w:val="20"/>
                <w:color w:val="auto"/>
              </w:rPr>
            </w:pPr>
            <w:r>
              <w:rPr>
                <w:rFonts w:ascii="Times New Roman" w:cs="Times New Roman" w:eastAsia="Times New Roman" w:hAnsi="Times New Roman"/>
                <w:sz w:val="14"/>
                <w:szCs w:val="14"/>
                <w:b w:val="1"/>
                <w:bCs w:val="1"/>
                <w:color w:val="auto"/>
              </w:rPr>
              <w:t>that may yet</w:t>
            </w: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65"/>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320" w:type="dxa"/>
            <w:vAlign w:val="bottom"/>
          </w:tcPr>
          <w:p>
            <w:pPr>
              <w:spacing w:after="0"/>
              <w:rPr>
                <w:sz w:val="12"/>
                <w:szCs w:val="12"/>
                <w:color w:val="auto"/>
              </w:rPr>
            </w:pPr>
          </w:p>
        </w:tc>
        <w:tc>
          <w:tcPr>
            <w:tcW w:w="96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65"/>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320" w:type="dxa"/>
            <w:vAlign w:val="bottom"/>
          </w:tcPr>
          <w:p>
            <w:pPr>
              <w:spacing w:after="0"/>
              <w:rPr>
                <w:sz w:val="12"/>
                <w:szCs w:val="12"/>
                <w:color w:val="auto"/>
              </w:rPr>
            </w:pPr>
          </w:p>
        </w:tc>
        <w:tc>
          <w:tcPr>
            <w:tcW w:w="96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65"/>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(or Unit)</w:t>
            </w:r>
          </w:p>
        </w:tc>
        <w:tc>
          <w:tcPr>
            <w:tcW w:w="320" w:type="dxa"/>
            <w:vAlign w:val="bottom"/>
          </w:tcPr>
          <w:p>
            <w:pPr>
              <w:spacing w:after="0"/>
              <w:rPr>
                <w:sz w:val="16"/>
                <w:szCs w:val="16"/>
                <w:color w:val="auto"/>
              </w:rPr>
            </w:pPr>
          </w:p>
        </w:tc>
        <w:tc>
          <w:tcPr>
            <w:tcW w:w="96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Programs (2)</w:t>
            </w: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1,200,060,000</w:t>
            </w:r>
          </w:p>
        </w:tc>
        <w:tc>
          <w:tcPr>
            <w:tcW w:w="0" w:type="dxa"/>
            <w:vAlign w:val="bottom"/>
          </w:tcPr>
          <w:p>
            <w:pPr>
              <w:spacing w:after="0"/>
              <w:rPr>
                <w:sz w:val="1"/>
                <w:szCs w:val="1"/>
                <w:color w:val="auto"/>
              </w:rPr>
            </w:pPr>
          </w:p>
        </w:tc>
      </w:tr>
      <w:tr>
        <w:trPr>
          <w:trHeight w:val="238"/>
        </w:trPr>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1,200,060,000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-299720</wp:posOffset>
            </wp:positionV>
            <wp:extent cx="7132320" cy="15430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620" w:space="720"/>
            <w:col w:w="6900"/>
          </w:cols>
          <w:pgMar w:left="320" w:top="1308"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1 - March 31, 2024</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18,205</w:t>
            </w:r>
          </w:p>
        </w:tc>
        <w:tc>
          <w:tcPr>
            <w:tcW w:w="4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140.05</w:t>
            </w:r>
          </w:p>
        </w:tc>
        <w:tc>
          <w:tcPr>
            <w:tcW w:w="3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1,200,060,000</w:t>
            </w:r>
          </w:p>
        </w:tc>
      </w:tr>
      <w:tr>
        <w:trPr>
          <w:trHeight w:val="232"/>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18,415</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140.01</w:t>
            </w:r>
          </w:p>
        </w:tc>
        <w:tc>
          <w:tcPr>
            <w:tcW w:w="320" w:type="dxa"/>
            <w:vAlign w:val="bottom"/>
          </w:tcPr>
          <w:p>
            <w:pPr>
              <w:spacing w:after="0"/>
              <w:rPr>
                <w:sz w:val="20"/>
                <w:szCs w:val="20"/>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Pr>
          <w:p>
            <w:pPr>
              <w:spacing w:after="0"/>
              <w:rPr>
                <w:sz w:val="20"/>
                <w:szCs w:val="20"/>
                <w:color w:val="auto"/>
              </w:rPr>
            </w:pPr>
          </w:p>
        </w:tc>
      </w:tr>
      <w:tr>
        <w:trPr>
          <w:trHeight w:val="20"/>
        </w:trPr>
        <w:tc>
          <w:tcPr>
            <w:tcW w:w="45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-187960</wp:posOffset>
            </wp:positionV>
            <wp:extent cx="76835"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-187960</wp:posOffset>
            </wp:positionV>
            <wp:extent cx="6858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-187960</wp:posOffset>
            </wp:positionV>
            <wp:extent cx="6858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0"/>
          <w:szCs w:val="20"/>
          <w:color w:val="auto"/>
        </w:rPr>
      </w:pPr>
    </w:p>
    <w:p>
      <w:pPr>
        <w:jc w:val="both"/>
        <w:ind w:left="520" w:hanging="512"/>
        <w:spacing w:after="0" w:line="230" w:lineRule="auto"/>
        <w:tabs>
          <w:tab w:leader="none" w:pos="520" w:val="left"/>
        </w:tabs>
        <w:numPr>
          <w:ilvl w:val="0"/>
          <w:numId w:val="5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total number of shares purchased during the periods indicated includes shares purchased as part of publicly announced programs and/or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ind w:left="520" w:hanging="512"/>
        <w:spacing w:after="0" w:line="239" w:lineRule="auto"/>
        <w:tabs>
          <w:tab w:leader="none" w:pos="520" w:val="left"/>
        </w:tabs>
        <w:numPr>
          <w:ilvl w:val="0"/>
          <w:numId w:val="5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July 2022, M&amp;T's Board of Directors authorized a program under which $3.0 billion of common shares may be repurchased with the exact number, timing, price and terms of such repurchases to be determined at the discretion of management and subject to all regulatory limitations.</w:t>
      </w:r>
    </w:p>
    <w:p>
      <w:pPr>
        <w:spacing w:after="0" w:line="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1"/>
          <w:szCs w:val="21"/>
          <w:color w:val="auto"/>
        </w:rPr>
        <w:t>Item 3.</w:t>
      </w:r>
      <w:r>
        <w:rPr>
          <w:sz w:val="20"/>
          <w:szCs w:val="20"/>
          <w:color w:val="auto"/>
        </w:rPr>
        <w:tab/>
      </w:r>
      <w:r>
        <w:rPr>
          <w:rFonts w:ascii="Times New Roman" w:cs="Times New Roman" w:eastAsia="Times New Roman" w:hAnsi="Times New Roman"/>
          <w:sz w:val="20"/>
          <w:szCs w:val="20"/>
          <w:color w:val="auto"/>
        </w:rPr>
        <w:t>Defaults Upon Senior Securities.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(None.)</w:t>
      </w:r>
    </w:p>
    <w:p>
      <w:pPr>
        <w:spacing w:after="0" w:line="1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1"/>
          <w:szCs w:val="21"/>
          <w:color w:val="auto"/>
        </w:rPr>
        <w:t>Item 4.</w:t>
      </w:r>
      <w:r>
        <w:rPr>
          <w:sz w:val="20"/>
          <w:szCs w:val="20"/>
          <w:color w:val="auto"/>
        </w:rPr>
        <w:tab/>
      </w:r>
      <w:r>
        <w:rPr>
          <w:rFonts w:ascii="Times New Roman" w:cs="Times New Roman" w:eastAsia="Times New Roman" w:hAnsi="Times New Roman"/>
          <w:sz w:val="20"/>
          <w:szCs w:val="20"/>
          <w:color w:val="auto"/>
        </w:rPr>
        <w:t>Mine Safety Disclosures.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(Not applicable.)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type w:val="continuous"/>
        </w:sectPr>
      </w:pPr>
    </w:p>
    <w:bookmarkStart w:id="77" w:name="page78"/>
    <w:bookmarkEnd w:id="77"/>
    <w:p>
      <w:pPr>
        <w:spacing w:after="0"/>
        <w:tabs>
          <w:tab w:leader="none" w:pos="820" w:val="left"/>
        </w:tabs>
        <w:rPr>
          <w:sz w:val="20"/>
          <w:szCs w:val="20"/>
          <w:color w:val="auto"/>
        </w:rPr>
      </w:pPr>
      <w:r>
        <w:rPr>
          <w:rFonts w:ascii="Times New Roman" w:cs="Times New Roman" w:eastAsia="Times New Roman" w:hAnsi="Times New Roman"/>
          <w:sz w:val="21"/>
          <w:szCs w:val="21"/>
          <w:color w:val="auto"/>
        </w:rPr>
        <w:t>Item 5.</w:t>
      </w:r>
      <w:r>
        <w:rPr>
          <w:sz w:val="20"/>
          <w:szCs w:val="20"/>
          <w:color w:val="auto"/>
        </w:rPr>
        <w:tab/>
      </w:r>
      <w:r>
        <w:rPr>
          <w:rFonts w:ascii="Times New Roman" w:cs="Times New Roman" w:eastAsia="Times New Roman" w:hAnsi="Times New Roman"/>
          <w:sz w:val="20"/>
          <w:szCs w:val="20"/>
          <w:color w:val="auto"/>
        </w:rPr>
        <w:t>Other Information.</w:t>
      </w:r>
    </w:p>
    <w:p>
      <w:pPr>
        <w:spacing w:after="0" w:line="110" w:lineRule="exact"/>
        <w:rPr>
          <w:sz w:val="20"/>
          <w:szCs w:val="20"/>
          <w:color w:val="auto"/>
        </w:rPr>
      </w:pPr>
    </w:p>
    <w:p>
      <w:pPr>
        <w:ind w:left="800" w:hanging="283"/>
        <w:spacing w:after="0"/>
        <w:tabs>
          <w:tab w:leader="none" w:pos="80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(b) Not applicable.</w:t>
      </w:r>
    </w:p>
    <w:p>
      <w:pPr>
        <w:spacing w:after="0" w:line="109" w:lineRule="exact"/>
        <w:rPr>
          <w:rFonts w:ascii="Times New Roman" w:cs="Times New Roman" w:eastAsia="Times New Roman" w:hAnsi="Times New Roman"/>
          <w:sz w:val="21"/>
          <w:szCs w:val="21"/>
          <w:color w:val="auto"/>
        </w:rPr>
      </w:pPr>
    </w:p>
    <w:p>
      <w:pPr>
        <w:jc w:val="both"/>
        <w:ind w:firstLine="517"/>
        <w:spacing w:after="0" w:line="248" w:lineRule="auto"/>
        <w:tabs>
          <w:tab w:leader="none" w:pos="79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Certain of our officers or directors have made elections to participate in, and are participating in, our tax-qualified 401(k) plan and nonqualified deferred compensation plans, or have made, and may from time to time make, elections to reinvest dividends in M&amp;T Bank Corporation common stock, or have shares withheld to cover withholding taxes upon the vesting of equity awards or to pay the exercise price of options, each of which may be designed to satisfy the affirmative defense conditions of Rule 10b5-1 under the Exchange Act or may constitute non-Rule 10b5-1 trading arrangements (as defined in Item 408(c) of Regulation S-K).</w:t>
      </w:r>
    </w:p>
    <w:p>
      <w:pPr>
        <w:spacing w:after="0" w:line="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1"/>
          <w:szCs w:val="21"/>
          <w:color w:val="auto"/>
        </w:rPr>
        <w:t>Item 6.</w:t>
      </w:r>
      <w:r>
        <w:rPr>
          <w:sz w:val="20"/>
          <w:szCs w:val="20"/>
          <w:color w:val="auto"/>
        </w:rPr>
        <w:tab/>
      </w:r>
      <w:r>
        <w:rPr>
          <w:rFonts w:ascii="Times New Roman" w:cs="Times New Roman" w:eastAsia="Times New Roman" w:hAnsi="Times New Roman"/>
          <w:sz w:val="20"/>
          <w:szCs w:val="20"/>
          <w:color w:val="auto"/>
        </w:rPr>
        <w:t>Exhibits.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following exhibits are filed as a part of this report.</w:t>
      </w:r>
    </w:p>
    <w:p>
      <w:pPr>
        <w:spacing w:after="0" w:line="1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Exhibit</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00075"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160" w:type="dxa"/>
            <w:vAlign w:val="bottom"/>
          </w:tcPr>
          <w:p>
            <w:pPr>
              <w:jc w:val="right"/>
              <w:ind w:right="597"/>
              <w:spacing w:after="0"/>
              <w:rPr>
                <w:sz w:val="20"/>
                <w:szCs w:val="20"/>
                <w:color w:val="auto"/>
              </w:rPr>
            </w:pPr>
            <w:r>
              <w:rPr>
                <w:rFonts w:ascii="Times New Roman" w:cs="Times New Roman" w:eastAsia="Times New Roman" w:hAnsi="Times New Roman"/>
                <w:sz w:val="21"/>
                <w:szCs w:val="21"/>
                <w:color w:val="auto"/>
              </w:rPr>
              <w:t>10.1</w:t>
            </w:r>
          </w:p>
        </w:tc>
        <w:tc>
          <w:tcPr>
            <w:tcW w:w="10040" w:type="dxa"/>
            <w:vAlign w:val="bottom"/>
            <w:gridSpan w:val="5"/>
          </w:tcPr>
          <w:p>
            <w:pPr>
              <w:spacing w:after="0"/>
              <w:rPr>
                <w:sz w:val="20"/>
                <w:szCs w:val="20"/>
                <w:color w:val="auto"/>
              </w:rPr>
            </w:pPr>
            <w:r>
              <w:rPr>
                <w:rFonts w:ascii="Times New Roman" w:cs="Times New Roman" w:eastAsia="Times New Roman" w:hAnsi="Times New Roman"/>
                <w:sz w:val="21"/>
                <w:szCs w:val="21"/>
                <w:color w:val="0000FF"/>
              </w:rPr>
              <w:t>Retirement and Consulting Agreement, dated as of February 8, 2024, by and between Doris Meister and M&amp;T Bank.</w:t>
            </w:r>
          </w:p>
        </w:tc>
      </w:tr>
      <w:tr>
        <w:trPr>
          <w:trHeight w:val="20"/>
        </w:trPr>
        <w:tc>
          <w:tcPr>
            <w:tcW w:w="1160" w:type="dxa"/>
            <w:vAlign w:val="bottom"/>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3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10040" w:type="dxa"/>
            <w:vAlign w:val="bottom"/>
            <w:gridSpan w:val="5"/>
          </w:tcPr>
          <w:p>
            <w:pPr>
              <w:spacing w:after="0" w:line="223" w:lineRule="exact"/>
              <w:rPr>
                <w:sz w:val="20"/>
                <w:szCs w:val="20"/>
                <w:color w:val="auto"/>
              </w:rPr>
            </w:pPr>
            <w:r>
              <w:rPr>
                <w:rFonts w:ascii="Times New Roman" w:cs="Times New Roman" w:eastAsia="Times New Roman" w:hAnsi="Times New Roman"/>
                <w:sz w:val="21"/>
                <w:szCs w:val="21"/>
                <w:color w:val="0000FF"/>
              </w:rPr>
              <w:t>Filed herewith.*</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520"/>
        </w:trPr>
        <w:tc>
          <w:tcPr>
            <w:tcW w:w="1160" w:type="dxa"/>
            <w:vAlign w:val="bottom"/>
          </w:tcPr>
          <w:p>
            <w:pPr>
              <w:jc w:val="right"/>
              <w:ind w:right="597"/>
              <w:spacing w:after="0"/>
              <w:rPr>
                <w:sz w:val="20"/>
                <w:szCs w:val="20"/>
                <w:color w:val="auto"/>
              </w:rPr>
            </w:pPr>
            <w:r>
              <w:rPr>
                <w:rFonts w:ascii="Times New Roman" w:cs="Times New Roman" w:eastAsia="Times New Roman" w:hAnsi="Times New Roman"/>
                <w:sz w:val="21"/>
                <w:szCs w:val="21"/>
                <w:color w:val="auto"/>
              </w:rPr>
              <w:t>31.1</w:t>
            </w:r>
          </w:p>
        </w:tc>
        <w:tc>
          <w:tcPr>
            <w:tcW w:w="10040" w:type="dxa"/>
            <w:vAlign w:val="bottom"/>
            <w:gridSpan w:val="5"/>
          </w:tcPr>
          <w:p>
            <w:pPr>
              <w:spacing w:after="0"/>
              <w:rPr>
                <w:sz w:val="20"/>
                <w:szCs w:val="20"/>
                <w:color w:val="auto"/>
              </w:rPr>
            </w:pPr>
            <w:r>
              <w:rPr>
                <w:rFonts w:ascii="Times New Roman" w:cs="Times New Roman" w:eastAsia="Times New Roman" w:hAnsi="Times New Roman"/>
                <w:sz w:val="21"/>
                <w:szCs w:val="21"/>
                <w:color w:val="0000FF"/>
              </w:rPr>
              <w:t>Certification of Chief Executive Officer under Section 302 of the Sarbanes-Oxley Act of 2002. Filed herewith.</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73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gridSpan w:val="2"/>
          </w:tcPr>
          <w:p>
            <w:pPr>
              <w:spacing w:after="0" w:line="20" w:lineRule="exact"/>
              <w:rPr>
                <w:sz w:val="1"/>
                <w:szCs w:val="1"/>
                <w:color w:val="auto"/>
              </w:rPr>
            </w:pPr>
          </w:p>
        </w:tc>
      </w:tr>
      <w:tr>
        <w:trPr>
          <w:trHeight w:val="520"/>
        </w:trPr>
        <w:tc>
          <w:tcPr>
            <w:tcW w:w="1160" w:type="dxa"/>
            <w:vAlign w:val="bottom"/>
          </w:tcPr>
          <w:p>
            <w:pPr>
              <w:jc w:val="right"/>
              <w:ind w:right="597"/>
              <w:spacing w:after="0"/>
              <w:rPr>
                <w:sz w:val="20"/>
                <w:szCs w:val="20"/>
                <w:color w:val="auto"/>
              </w:rPr>
            </w:pPr>
            <w:r>
              <w:rPr>
                <w:rFonts w:ascii="Times New Roman" w:cs="Times New Roman" w:eastAsia="Times New Roman" w:hAnsi="Times New Roman"/>
                <w:sz w:val="21"/>
                <w:szCs w:val="21"/>
                <w:color w:val="auto"/>
              </w:rPr>
              <w:t>31.2</w:t>
            </w:r>
          </w:p>
        </w:tc>
        <w:tc>
          <w:tcPr>
            <w:tcW w:w="10040" w:type="dxa"/>
            <w:vAlign w:val="bottom"/>
            <w:gridSpan w:val="5"/>
          </w:tcPr>
          <w:p>
            <w:pPr>
              <w:spacing w:after="0"/>
              <w:rPr>
                <w:sz w:val="20"/>
                <w:szCs w:val="20"/>
                <w:color w:val="auto"/>
              </w:rPr>
            </w:pPr>
            <w:r>
              <w:rPr>
                <w:rFonts w:ascii="Times New Roman" w:cs="Times New Roman" w:eastAsia="Times New Roman" w:hAnsi="Times New Roman"/>
                <w:sz w:val="21"/>
                <w:szCs w:val="21"/>
                <w:color w:val="0000FF"/>
              </w:rPr>
              <w:t>Certification of Chief Financial Officer under Section 302 of the Sarbanes-Oxley Act of 2002. Filed herewith.</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734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520"/>
        </w:trPr>
        <w:tc>
          <w:tcPr>
            <w:tcW w:w="1160" w:type="dxa"/>
            <w:vAlign w:val="bottom"/>
          </w:tcPr>
          <w:p>
            <w:pPr>
              <w:jc w:val="right"/>
              <w:ind w:right="597"/>
              <w:spacing w:after="0"/>
              <w:rPr>
                <w:sz w:val="20"/>
                <w:szCs w:val="20"/>
                <w:color w:val="auto"/>
              </w:rPr>
            </w:pPr>
            <w:r>
              <w:rPr>
                <w:rFonts w:ascii="Times New Roman" w:cs="Times New Roman" w:eastAsia="Times New Roman" w:hAnsi="Times New Roman"/>
                <w:sz w:val="21"/>
                <w:szCs w:val="21"/>
                <w:color w:val="auto"/>
              </w:rPr>
              <w:t>32.1</w:t>
            </w:r>
          </w:p>
        </w:tc>
        <w:tc>
          <w:tcPr>
            <w:tcW w:w="10040" w:type="dxa"/>
            <w:vAlign w:val="bottom"/>
            <w:gridSpan w:val="5"/>
          </w:tcPr>
          <w:p>
            <w:pPr>
              <w:spacing w:after="0"/>
              <w:rPr>
                <w:sz w:val="20"/>
                <w:szCs w:val="20"/>
                <w:color w:val="auto"/>
              </w:rPr>
            </w:pPr>
            <w:r>
              <w:rPr>
                <w:rFonts w:ascii="Times New Roman" w:cs="Times New Roman" w:eastAsia="Times New Roman" w:hAnsi="Times New Roman"/>
                <w:sz w:val="21"/>
                <w:szCs w:val="21"/>
                <w:color w:val="0000FF"/>
              </w:rPr>
              <w:t>Certification of Chief Executive Officer under 18 U.S.C. §1350 pursuant to Section 906 of the Sarbanes-Oxley Act of</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8280" w:type="dxa"/>
            <w:vAlign w:val="bottom"/>
            <w:gridSpan w:val="3"/>
            <w:shd w:val="clear" w:color="auto" w:fill="0000FF"/>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10040" w:type="dxa"/>
            <w:vAlign w:val="bottom"/>
            <w:gridSpan w:val="5"/>
          </w:tcPr>
          <w:p>
            <w:pPr>
              <w:spacing w:after="0" w:line="223" w:lineRule="exact"/>
              <w:rPr>
                <w:sz w:val="20"/>
                <w:szCs w:val="20"/>
                <w:color w:val="auto"/>
              </w:rPr>
            </w:pPr>
            <w:r>
              <w:rPr>
                <w:rFonts w:ascii="Times New Roman" w:cs="Times New Roman" w:eastAsia="Times New Roman" w:hAnsi="Times New Roman"/>
                <w:sz w:val="21"/>
                <w:szCs w:val="21"/>
                <w:color w:val="0000FF"/>
              </w:rPr>
              <w:t>2002. Filed herewith.</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EE"/>
            </w:tcBorders>
            <w:gridSpan w:val="2"/>
            <w:shd w:val="clear" w:color="auto" w:fill="0000FF"/>
          </w:tcPr>
          <w:p>
            <w:pPr>
              <w:spacing w:after="0" w:line="20" w:lineRule="exact"/>
              <w:rPr>
                <w:sz w:val="1"/>
                <w:szCs w:val="1"/>
                <w:color w:val="auto"/>
              </w:rPr>
            </w:pPr>
          </w:p>
        </w:tc>
        <w:tc>
          <w:tcPr>
            <w:tcW w:w="8280" w:type="dxa"/>
            <w:vAlign w:val="bottom"/>
            <w:gridSpan w:val="3"/>
          </w:tcPr>
          <w:p>
            <w:pPr>
              <w:spacing w:after="0" w:line="20" w:lineRule="exact"/>
              <w:rPr>
                <w:sz w:val="1"/>
                <w:szCs w:val="1"/>
                <w:color w:val="auto"/>
              </w:rPr>
            </w:pPr>
          </w:p>
        </w:tc>
      </w:tr>
      <w:tr>
        <w:trPr>
          <w:trHeight w:val="520"/>
        </w:trPr>
        <w:tc>
          <w:tcPr>
            <w:tcW w:w="1160" w:type="dxa"/>
            <w:vAlign w:val="bottom"/>
          </w:tcPr>
          <w:p>
            <w:pPr>
              <w:jc w:val="right"/>
              <w:ind w:right="597"/>
              <w:spacing w:after="0"/>
              <w:rPr>
                <w:sz w:val="20"/>
                <w:szCs w:val="20"/>
                <w:color w:val="auto"/>
              </w:rPr>
            </w:pPr>
            <w:r>
              <w:rPr>
                <w:rFonts w:ascii="Times New Roman" w:cs="Times New Roman" w:eastAsia="Times New Roman" w:hAnsi="Times New Roman"/>
                <w:sz w:val="21"/>
                <w:szCs w:val="21"/>
                <w:color w:val="auto"/>
              </w:rPr>
              <w:t>32.2</w:t>
            </w:r>
          </w:p>
        </w:tc>
        <w:tc>
          <w:tcPr>
            <w:tcW w:w="10040" w:type="dxa"/>
            <w:vAlign w:val="bottom"/>
            <w:gridSpan w:val="5"/>
          </w:tcPr>
          <w:p>
            <w:pPr>
              <w:spacing w:after="0"/>
              <w:rPr>
                <w:sz w:val="20"/>
                <w:szCs w:val="20"/>
                <w:color w:val="auto"/>
              </w:rPr>
            </w:pPr>
            <w:r>
              <w:rPr>
                <w:rFonts w:ascii="Times New Roman" w:cs="Times New Roman" w:eastAsia="Times New Roman" w:hAnsi="Times New Roman"/>
                <w:sz w:val="21"/>
                <w:szCs w:val="21"/>
                <w:color w:val="0000FF"/>
              </w:rPr>
              <w:t>Certification of Chief Financial Officer under 18 U.S.C. §1350 pursuant to Section 906 of the Sarbanes-Oxley Act of</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0040" w:type="dxa"/>
            <w:vAlign w:val="bottom"/>
            <w:gridSpan w:val="5"/>
            <w:shd w:val="clear" w:color="auto" w:fill="0000FF"/>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10040" w:type="dxa"/>
            <w:vAlign w:val="bottom"/>
            <w:gridSpan w:val="5"/>
          </w:tcPr>
          <w:p>
            <w:pPr>
              <w:spacing w:after="0" w:line="223" w:lineRule="exact"/>
              <w:rPr>
                <w:sz w:val="20"/>
                <w:szCs w:val="20"/>
                <w:color w:val="auto"/>
              </w:rPr>
            </w:pPr>
            <w:r>
              <w:rPr>
                <w:rFonts w:ascii="Times New Roman" w:cs="Times New Roman" w:eastAsia="Times New Roman" w:hAnsi="Times New Roman"/>
                <w:sz w:val="21"/>
                <w:szCs w:val="21"/>
                <w:color w:val="0000FF"/>
              </w:rPr>
              <w:t>2002. Filed herewith.</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EE"/>
            </w:tcBorders>
            <w:gridSpan w:val="2"/>
            <w:shd w:val="clear" w:color="auto" w:fill="0000FF"/>
          </w:tcPr>
          <w:p>
            <w:pPr>
              <w:spacing w:after="0" w:line="20" w:lineRule="exact"/>
              <w:rPr>
                <w:sz w:val="1"/>
                <w:szCs w:val="1"/>
                <w:color w:val="auto"/>
              </w:rPr>
            </w:pPr>
          </w:p>
        </w:tc>
        <w:tc>
          <w:tcPr>
            <w:tcW w:w="8280" w:type="dxa"/>
            <w:vAlign w:val="bottom"/>
            <w:gridSpan w:val="3"/>
          </w:tcPr>
          <w:p>
            <w:pPr>
              <w:spacing w:after="0" w:line="20" w:lineRule="exact"/>
              <w:rPr>
                <w:sz w:val="1"/>
                <w:szCs w:val="1"/>
                <w:color w:val="auto"/>
              </w:rPr>
            </w:pPr>
          </w:p>
        </w:tc>
      </w:tr>
      <w:tr>
        <w:trPr>
          <w:trHeight w:val="568"/>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101.INS</w:t>
            </w:r>
          </w:p>
        </w:tc>
        <w:tc>
          <w:tcPr>
            <w:tcW w:w="1004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Inline XBRL Instance Document. Filed herewith.</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101.SCH</w:t>
            </w:r>
          </w:p>
        </w:tc>
        <w:tc>
          <w:tcPr>
            <w:tcW w:w="1004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Inline XBRL Taxonomy Extension Schema With Embedded Linkbase Documents. Filed herewith.</w:t>
            </w:r>
          </w:p>
        </w:tc>
      </w:tr>
    </w:tbl>
    <w:p>
      <w:pPr>
        <w:spacing w:after="0" w:line="270" w:lineRule="exact"/>
        <w:rPr>
          <w:sz w:val="20"/>
          <w:szCs w:val="20"/>
          <w:color w:val="auto"/>
        </w:rPr>
      </w:pPr>
    </w:p>
    <w:p>
      <w:pPr>
        <w:ind w:left="1160" w:right="1680" w:hanging="1139"/>
        <w:spacing w:after="0" w:line="270" w:lineRule="auto"/>
        <w:tabs>
          <w:tab w:leader="none" w:pos="116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cover page from M&amp;T Bank Corporation’s Quarterly Report on Form 10-Q for the quarter ended March 31, 2024 has been formatted in Inline XBRL.</w:t>
      </w:r>
    </w:p>
    <w:p>
      <w:pPr>
        <w:spacing w:after="0" w:line="2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Management contract or compensatory plan or arrangement.</w:t>
      </w:r>
    </w:p>
    <w:p>
      <w:pPr>
        <w:spacing w:after="0" w:line="220"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1903095"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21"/>
          <w:szCs w:val="21"/>
          <w:color w:val="auto"/>
        </w:rPr>
        <w:t>SIGNATURES</w:t>
      </w:r>
    </w:p>
    <w:p>
      <w:pPr>
        <w:spacing w:after="0" w:line="218"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1"/>
          <w:szCs w:val="21"/>
          <w:color w:val="auto"/>
        </w:rPr>
        <w:t>M&amp;T BANK CORPORATION</w:t>
      </w:r>
    </w:p>
    <w:p>
      <w:pPr>
        <w:spacing w:after="0" w:line="295" w:lineRule="exact"/>
        <w:rPr>
          <w:sz w:val="20"/>
          <w:szCs w:val="20"/>
          <w:color w:val="auto"/>
        </w:rPr>
      </w:pPr>
    </w:p>
    <w:p>
      <w:pPr>
        <w:ind w:left="20"/>
        <w:spacing w:after="0"/>
        <w:tabs>
          <w:tab w:leader="none" w:pos="6600" w:val="left"/>
          <w:tab w:leader="none" w:pos="7160" w:val="left"/>
        </w:tabs>
        <w:rPr>
          <w:sz w:val="20"/>
          <w:szCs w:val="20"/>
          <w:color w:val="auto"/>
        </w:rPr>
      </w:pPr>
      <w:r>
        <w:rPr>
          <w:rFonts w:ascii="Times New Roman" w:cs="Times New Roman" w:eastAsia="Times New Roman" w:hAnsi="Times New Roman"/>
          <w:sz w:val="20"/>
          <w:szCs w:val="20"/>
          <w:color w:val="auto"/>
        </w:rPr>
        <w:t>Date: May 3,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Daryl N. Bible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22860</wp:posOffset>
            </wp:positionV>
            <wp:extent cx="2588895"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20"/>
          <w:szCs w:val="20"/>
          <w:color w:val="auto"/>
        </w:rPr>
        <w:t>Daryl N. Bible</w:t>
      </w:r>
    </w:p>
    <w:p>
      <w:pPr>
        <w:spacing w:after="0" w:line="2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20"/>
          <w:szCs w:val="20"/>
          <w:color w:val="auto"/>
        </w:rPr>
        <w:t>Senior Executive Vice President</w:t>
      </w:r>
    </w:p>
    <w:p>
      <w:pPr>
        <w:spacing w:after="0" w:line="20"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20"/>
          <w:szCs w:val="20"/>
          <w:color w:val="auto"/>
        </w:rPr>
        <w:t>and Chief Financial Officer</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M&amp;T Bank</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One M&amp;T Plaza,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Human Resources, 7th Floor,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Buffalo, NY 14203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716-842-5094 </w:t>
      </w:r>
      <w:r>
        <w:rPr>
          <w:rFonts w:ascii="Arial" w:cs="Arial" w:eastAsia="Arial" w:hAnsi="Arial"/>
          <w:sz w:val="8"/>
          <w:szCs w:val="8"/>
          <w:color w:val="auto"/>
        </w:rPr>
        <w:t>FAX</w:t>
      </w:r>
      <w:r>
        <w:rPr>
          <w:rFonts w:ascii="Arial" w:cs="Arial" w:eastAsia="Arial" w:hAnsi="Arial"/>
          <w:sz w:val="14"/>
          <w:szCs w:val="14"/>
          <w:color w:val="auto"/>
        </w:rPr>
        <w:t xml:space="preserve"> 716-842-4374</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8,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Doris Meister</w:t>
      </w:r>
    </w:p>
    <w:p>
      <w:pPr>
        <w:spacing w:after="0" w:line="2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i w:val="1"/>
          <w:iCs w:val="1"/>
          <w:u w:val="single" w:color="auto"/>
          <w:color w:val="auto"/>
        </w:rPr>
        <w:t>Retirement &amp; Consulting Agreement</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Dear Doris,</w:t>
      </w:r>
    </w:p>
    <w:p>
      <w:pPr>
        <w:spacing w:after="0" w:line="229" w:lineRule="exact"/>
        <w:rPr>
          <w:sz w:val="20"/>
          <w:szCs w:val="20"/>
          <w:color w:val="auto"/>
        </w:rPr>
      </w:pPr>
    </w:p>
    <w:p>
      <w:pPr>
        <w:jc w:val="both"/>
        <w:ind w:left="120" w:right="120" w:firstLine="1497"/>
        <w:spacing w:after="0" w:line="249" w:lineRule="auto"/>
        <w:rPr>
          <w:sz w:val="20"/>
          <w:szCs w:val="20"/>
          <w:color w:val="auto"/>
        </w:rPr>
      </w:pPr>
      <w:r>
        <w:rPr>
          <w:rFonts w:ascii="Times New Roman" w:cs="Times New Roman" w:eastAsia="Times New Roman" w:hAnsi="Times New Roman"/>
          <w:sz w:val="20"/>
          <w:szCs w:val="20"/>
          <w:color w:val="auto"/>
        </w:rPr>
        <w:t>This Retirement &amp; Consulting Agreement (“Agreement”) sets forth the terms of the Agreement between Doris Meister (“You” or “Consultant”) and Manufacturers and Traders Trust Company (“M&amp;T Bank”) with respect to your retirement and separation from employment and transition into a two-year consulting role. You and M&amp;T Bank will hereinafter collectively be referred to as the “Parties.”</w:t>
      </w:r>
    </w:p>
    <w:p>
      <w:pPr>
        <w:spacing w:after="0" w:line="216" w:lineRule="exact"/>
        <w:rPr>
          <w:sz w:val="20"/>
          <w:szCs w:val="20"/>
          <w:color w:val="auto"/>
        </w:rPr>
      </w:pPr>
    </w:p>
    <w:p>
      <w:pPr>
        <w:ind w:left="2380" w:hanging="755"/>
        <w:spacing w:after="0"/>
        <w:tabs>
          <w:tab w:leader="none" w:pos="2380" w:val="left"/>
        </w:tabs>
        <w:numPr>
          <w:ilvl w:val="0"/>
          <w:numId w:val="5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Retirement Date &amp; Consulting Period</w:t>
      </w:r>
    </w:p>
    <w:p>
      <w:pPr>
        <w:spacing w:after="0" w:line="210" w:lineRule="exact"/>
        <w:rPr>
          <w:sz w:val="20"/>
          <w:szCs w:val="20"/>
          <w:color w:val="auto"/>
        </w:rPr>
      </w:pPr>
    </w:p>
    <w:p>
      <w:pPr>
        <w:jc w:val="both"/>
        <w:ind w:left="120" w:right="120" w:firstLine="1497"/>
        <w:spacing w:after="0" w:line="263" w:lineRule="auto"/>
        <w:rPr>
          <w:sz w:val="20"/>
          <w:szCs w:val="20"/>
          <w:color w:val="auto"/>
        </w:rPr>
      </w:pPr>
      <w:r>
        <w:rPr>
          <w:rFonts w:ascii="Times New Roman" w:cs="Times New Roman" w:eastAsia="Times New Roman" w:hAnsi="Times New Roman"/>
          <w:sz w:val="19"/>
          <w:szCs w:val="19"/>
          <w:color w:val="auto"/>
        </w:rPr>
        <w:t>Your final date of employment with M&amp;T Bank will be Friday, May 31, 2024 (“Retirement Date”). As of that date, except as specifically provided in this Agreement, all compensation, participation in the 401(k) plan, long term disability, and participation in the Employee Stock Purchase Plan will cease. Provided you comply with the other terms of this Agreement, including your execution and non-revocation of this Agreement and the attached General Release and Waiver, beginning June 1, 2024, and through June 1, 2026 (the “Consulting Period”), you will serve as a Consultant for M&amp;T Bank consistent with the duties described in Paragraph 4.</w:t>
      </w:r>
    </w:p>
    <w:p>
      <w:pPr>
        <w:spacing w:after="0" w:line="189" w:lineRule="exact"/>
        <w:rPr>
          <w:sz w:val="20"/>
          <w:szCs w:val="20"/>
          <w:color w:val="auto"/>
        </w:rPr>
      </w:pPr>
    </w:p>
    <w:p>
      <w:pPr>
        <w:ind w:left="2380" w:hanging="755"/>
        <w:spacing w:after="0"/>
        <w:tabs>
          <w:tab w:leader="none" w:pos="2380" w:val="left"/>
        </w:tabs>
        <w:numPr>
          <w:ilvl w:val="0"/>
          <w:numId w:val="5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Payment of Wages and Other Sums Due</w:t>
      </w:r>
    </w:p>
    <w:p>
      <w:pPr>
        <w:spacing w:after="0" w:line="224" w:lineRule="exact"/>
        <w:rPr>
          <w:sz w:val="20"/>
          <w:szCs w:val="20"/>
          <w:color w:val="auto"/>
        </w:rPr>
      </w:pPr>
    </w:p>
    <w:p>
      <w:pPr>
        <w:jc w:val="both"/>
        <w:ind w:left="120" w:right="120" w:firstLine="1497"/>
        <w:spacing w:after="0" w:line="254" w:lineRule="auto"/>
        <w:rPr>
          <w:sz w:val="20"/>
          <w:szCs w:val="20"/>
          <w:color w:val="auto"/>
        </w:rPr>
      </w:pPr>
      <w:r>
        <w:rPr>
          <w:rFonts w:ascii="Times New Roman" w:cs="Times New Roman" w:eastAsia="Times New Roman" w:hAnsi="Times New Roman"/>
          <w:sz w:val="20"/>
          <w:szCs w:val="20"/>
          <w:color w:val="auto"/>
        </w:rPr>
        <w:t>M&amp;T Bank agrees that you will be paid for all wages due for services rendered to M&amp;T Bank through the Retirement Date and will be paid for any accrued Paid Time Off and/or floating holidays, if applicable, or other leave which is, under M&amp;T Bank’s policies, compensable at the time of retirement, at your current rate of pay.</w:t>
      </w:r>
    </w:p>
    <w:p>
      <w:pPr>
        <w:spacing w:after="0" w:line="170" w:lineRule="exact"/>
        <w:rPr>
          <w:sz w:val="20"/>
          <w:szCs w:val="20"/>
          <w:color w:val="auto"/>
        </w:rPr>
      </w:pPr>
    </w:p>
    <w:p>
      <w:pPr>
        <w:ind w:left="2380" w:hanging="755"/>
        <w:spacing w:after="0"/>
        <w:tabs>
          <w:tab w:leader="none" w:pos="2380" w:val="left"/>
        </w:tabs>
        <w:numPr>
          <w:ilvl w:val="0"/>
          <w:numId w:val="5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Health Coverage Continuation</w:t>
      </w:r>
    </w:p>
    <w:p>
      <w:pPr>
        <w:spacing w:after="0" w:line="197" w:lineRule="exact"/>
        <w:rPr>
          <w:sz w:val="20"/>
          <w:szCs w:val="20"/>
          <w:color w:val="auto"/>
        </w:rPr>
      </w:pPr>
    </w:p>
    <w:p>
      <w:pPr>
        <w:jc w:val="both"/>
        <w:ind w:right="120" w:firstLine="749"/>
        <w:spacing w:after="0" w:line="245" w:lineRule="auto"/>
        <w:rPr>
          <w:sz w:val="20"/>
          <w:szCs w:val="20"/>
          <w:color w:val="auto"/>
        </w:rPr>
      </w:pPr>
      <w:r>
        <w:rPr>
          <w:rFonts w:ascii="Times New Roman" w:cs="Times New Roman" w:eastAsia="Times New Roman" w:hAnsi="Times New Roman"/>
          <w:sz w:val="20"/>
          <w:szCs w:val="20"/>
          <w:color w:val="auto"/>
        </w:rPr>
        <w:t>Following the Retirement Date, you and your covered family members may each elect to continue health coverage as provided by the Consolidated Omnibus Budget Reconciliation Act of 1986, as amended (“COBRA”). Additional information concerning your COBRA rights will be mailed to you under separate cover. In addition, you and your covered spouse are eligible to obtain retiree health coverage under the M&amp;T Bank Corporation Retiree Welfare Benefits Plan provided you enroll in such retiree health coverage within 30 days of your Retirement Date or if applicable, within 30 days after your COBRA health continuation coverage ends. You will receive additional information regarding retiree health coverage prior to your Retirement Date.</w:t>
      </w:r>
    </w:p>
    <w:p>
      <w:pPr>
        <w:spacing w:after="0" w:line="200" w:lineRule="exact"/>
        <w:rPr>
          <w:sz w:val="20"/>
          <w:szCs w:val="20"/>
          <w:color w:val="auto"/>
        </w:rPr>
      </w:pPr>
    </w:p>
    <w:p>
      <w:pPr>
        <w:spacing w:after="0" w:line="318" w:lineRule="exact"/>
        <w:rPr>
          <w:sz w:val="20"/>
          <w:szCs w:val="20"/>
          <w:color w:val="auto"/>
        </w:rPr>
      </w:pPr>
    </w:p>
    <w:p>
      <w:pPr>
        <w:ind w:left="2380" w:hanging="755"/>
        <w:spacing w:after="0"/>
        <w:tabs>
          <w:tab w:leader="none" w:pos="2380" w:val="left"/>
        </w:tabs>
        <w:numPr>
          <w:ilvl w:val="1"/>
          <w:numId w:val="6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Consulting Services</w:t>
      </w:r>
    </w:p>
    <w:p>
      <w:pPr>
        <w:spacing w:after="0" w:line="196" w:lineRule="exact"/>
        <w:rPr>
          <w:rFonts w:ascii="Times New Roman" w:cs="Times New Roman" w:eastAsia="Times New Roman" w:hAnsi="Times New Roman"/>
          <w:sz w:val="22"/>
          <w:szCs w:val="22"/>
          <w:b w:val="1"/>
          <w:bCs w:val="1"/>
          <w:i w:val="1"/>
          <w:iCs w:val="1"/>
          <w:color w:val="auto"/>
        </w:rPr>
      </w:pPr>
    </w:p>
    <w:p>
      <w:pPr>
        <w:ind w:right="20" w:firstLine="1600"/>
        <w:spacing w:after="0" w:line="269" w:lineRule="auto"/>
        <w:tabs>
          <w:tab w:leader="none" w:pos="198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Consulting Period, you agree to perform such reasonable consulting, management, and advisory services for M&amp;T Bank with respect to the business and affairs of M&amp;T Bank as M&amp;T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Bank may reasonably request from time to time, which services may include transition of your successor, strategic planning services, and meeting with M&amp;T Bank’s officers, managers, and other personnel regarding operations. The services, in your discretion, shall be rendered in person or by telephone or other communication. Except as otherwise expressly agreed to, you shall have no obligation to M&amp;T Bank as to the manner and time of rendering the services hereunder and shall have no obligation to devote a minimum number of hours on a weekly, monthly, annual, or other basis.</w:t>
      </w:r>
    </w:p>
    <w:p>
      <w:pPr>
        <w:spacing w:after="0" w:line="279" w:lineRule="exact"/>
        <w:rPr>
          <w:sz w:val="20"/>
          <w:szCs w:val="20"/>
          <w:color w:val="auto"/>
        </w:rPr>
      </w:pPr>
    </w:p>
    <w:p>
      <w:pPr>
        <w:jc w:val="both"/>
        <w:ind w:firstLine="1600"/>
        <w:spacing w:after="0" w:line="249" w:lineRule="auto"/>
        <w:tabs>
          <w:tab w:leader="none" w:pos="204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M&amp;T Bank shall furnish to you such information as it reasonably believes appropriate to permit you to provide the services contemplated by Section 3(a) hereof to M&amp;T Bank; provided, however, that M&amp;T Bank hereby acknowledges and agrees that (i) you will use and rely on such information in providing such services and (ii) you do not assume responsibility for the accuracy or completeness of such information.</w:t>
      </w:r>
    </w:p>
    <w:p>
      <w:pPr>
        <w:spacing w:after="0" w:line="274" w:lineRule="exact"/>
        <w:rPr>
          <w:rFonts w:ascii="Times New Roman" w:cs="Times New Roman" w:eastAsia="Times New Roman" w:hAnsi="Times New Roman"/>
          <w:sz w:val="20"/>
          <w:szCs w:val="20"/>
          <w:color w:val="auto"/>
        </w:rPr>
      </w:pPr>
    </w:p>
    <w:p>
      <w:pPr>
        <w:jc w:val="both"/>
        <w:ind w:firstLine="1600"/>
        <w:spacing w:after="0" w:line="244" w:lineRule="auto"/>
        <w:tabs>
          <w:tab w:leader="none" w:pos="198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shall perform all services to be provided to M&amp;T Bank hereunder as an independent contractor to M&amp;T Bank and not as an employee, agent, or representative of M&amp;T Bank. You shall have no authority to act for or bind M&amp;T Bank or any of its subsidiaries while acting in its capacity as an advisor to M&amp;T Bank under this Agreement without M&amp;T Bank’s prior written consent. Any advice or opinions provided by you or its affiliates to M&amp;T Bank and/or any subsidiary of M&amp;T Bank may not be disclosed or referred to publicly or to any third party (other than to M&amp;T Bank’s affiliates and M&amp;T Bank’s legal, tax, financial, or other advisors), except in accordance with your prior written consent or if required by law; provided, however, that for the purpose of this sentence, you and M&amp;T Bank shall not be treated as affiliates of one another.</w:t>
      </w:r>
    </w:p>
    <w:p>
      <w:pPr>
        <w:spacing w:after="0" w:line="280" w:lineRule="exact"/>
        <w:rPr>
          <w:rFonts w:ascii="Times New Roman" w:cs="Times New Roman" w:eastAsia="Times New Roman" w:hAnsi="Times New Roman"/>
          <w:sz w:val="20"/>
          <w:szCs w:val="20"/>
          <w:color w:val="auto"/>
        </w:rPr>
      </w:pPr>
    </w:p>
    <w:p>
      <w:pPr>
        <w:ind w:right="20" w:firstLine="1600"/>
        <w:spacing w:after="0" w:line="269" w:lineRule="auto"/>
        <w:tabs>
          <w:tab w:leader="none" w:pos="198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Consistent with the definition of Confidential Information and terms described in Paragraph 13, you agree that you will maintain the confidentiality of any Confidential Information of M&amp;T Bank that you may learn of through the Consulting Period.</w:t>
      </w:r>
    </w:p>
    <w:p>
      <w:pPr>
        <w:spacing w:after="0" w:line="168" w:lineRule="exact"/>
        <w:rPr>
          <w:rFonts w:ascii="Times New Roman" w:cs="Times New Roman" w:eastAsia="Times New Roman" w:hAnsi="Times New Roman"/>
          <w:sz w:val="20"/>
          <w:szCs w:val="20"/>
          <w:color w:val="auto"/>
        </w:rPr>
      </w:pPr>
    </w:p>
    <w:p>
      <w:pPr>
        <w:ind w:left="2380" w:hanging="755"/>
        <w:spacing w:after="0"/>
        <w:tabs>
          <w:tab w:leader="none" w:pos="2380" w:val="left"/>
        </w:tabs>
        <w:numPr>
          <w:ilvl w:val="1"/>
          <w:numId w:val="6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Consulting Payments</w:t>
      </w:r>
    </w:p>
    <w:p>
      <w:pPr>
        <w:spacing w:after="0" w:line="210" w:lineRule="exact"/>
        <w:rPr>
          <w:sz w:val="20"/>
          <w:szCs w:val="20"/>
          <w:color w:val="auto"/>
        </w:rPr>
      </w:pPr>
    </w:p>
    <w:p>
      <w:pPr>
        <w:jc w:val="both"/>
        <w:ind w:left="120" w:right="140" w:firstLine="1498"/>
        <w:spacing w:after="0" w:line="249" w:lineRule="auto"/>
        <w:rPr>
          <w:sz w:val="20"/>
          <w:szCs w:val="20"/>
          <w:color w:val="auto"/>
        </w:rPr>
      </w:pPr>
      <w:r>
        <w:rPr>
          <w:rFonts w:ascii="Times New Roman" w:cs="Times New Roman" w:eastAsia="Times New Roman" w:hAnsi="Times New Roman"/>
          <w:sz w:val="19"/>
          <w:szCs w:val="19"/>
          <w:color w:val="auto"/>
        </w:rPr>
        <w:t>If the terms of this Agreement are accepted by you, and you return a fully executed original of this Agreement to Corporate Employee Relations – M&amp;T at One M&amp;T Plaza, 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Floor, Buffalo, New York 14203 on or before February 29, 2024, you do not thereafter revoke this Agreement, which you may do within seven (7) calendar days from the date that you sign it, you execute, as described in Paragraph 11, the attached General Release and Waiver, you do not revoke that General Release and Waiver, and you comply with the terms of both Agreements, you will be entitled to transition into a consulting role as described in Paragraph 4, for which you will receive a monthly consulting fee of $101,666.66 for the Consulting Period (from June 1, 2024 through May 31, 2026) (the “Consulting Payments”). These Consulting Payments will commence within 21 days of the commencement of the Consulting Period, provided you have signed both this Agreement and the attached General Release and Waiver, as described in and consistent with Paragraph 11, and the revocation periods for both the Agreement and the General Release and Waiver have expired without revocation. You will not be eligible for any other compensation, benefits, or equity in connection with your provision of the services you provide as a Consultant.</w:t>
      </w:r>
    </w:p>
    <w:p>
      <w:pPr>
        <w:spacing w:after="0" w:line="200" w:lineRule="exact"/>
        <w:rPr>
          <w:sz w:val="20"/>
          <w:szCs w:val="20"/>
          <w:color w:val="auto"/>
        </w:rPr>
      </w:pPr>
    </w:p>
    <w:p>
      <w:pPr>
        <w:jc w:val="both"/>
        <w:ind w:left="120" w:right="120" w:firstLine="1497"/>
        <w:spacing w:after="0" w:line="246" w:lineRule="auto"/>
        <w:rPr>
          <w:sz w:val="20"/>
          <w:szCs w:val="20"/>
          <w:color w:val="auto"/>
        </w:rPr>
      </w:pPr>
      <w:r>
        <w:rPr>
          <w:rFonts w:ascii="Times New Roman" w:cs="Times New Roman" w:eastAsia="Times New Roman" w:hAnsi="Times New Roman"/>
          <w:sz w:val="20"/>
          <w:szCs w:val="20"/>
          <w:color w:val="auto"/>
        </w:rPr>
        <w:t>You also understand and agree that you will forfeit and not be entitled to receive the Consulting Payments described above if: (i) you breach any written agreement between you and M&amp;T Bank, including this Agreement; (ii) you act or fail to act in a manner that results in or is intended to result in detrimental consequences to M&amp;T Bank after notification of retirement; (iii) you improperly disclose proprietary or confidential information or trade secrets of M&amp;T Bank; or (iv) you commit misconduct or other terminable offense.</w:t>
      </w:r>
    </w:p>
    <w:p>
      <w:pPr>
        <w:spacing w:after="0" w:line="212" w:lineRule="exact"/>
        <w:rPr>
          <w:sz w:val="20"/>
          <w:szCs w:val="20"/>
          <w:color w:val="auto"/>
        </w:rPr>
      </w:pPr>
    </w:p>
    <w:p>
      <w:pPr>
        <w:jc w:val="both"/>
        <w:ind w:left="120" w:right="120" w:firstLine="1611"/>
        <w:spacing w:after="0" w:line="231" w:lineRule="auto"/>
        <w:rPr>
          <w:sz w:val="20"/>
          <w:szCs w:val="20"/>
          <w:color w:val="auto"/>
        </w:rPr>
      </w:pPr>
      <w:r>
        <w:rPr>
          <w:rFonts w:ascii="Times New Roman" w:cs="Times New Roman" w:eastAsia="Times New Roman" w:hAnsi="Times New Roman"/>
          <w:sz w:val="20"/>
          <w:szCs w:val="20"/>
          <w:color w:val="auto"/>
        </w:rPr>
        <w:t>Any revocation of this Agreement must be in writing and must be delivered to Corporate Employee Relations - MRT at One M&amp;T Plaza,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 Buffalo, New York 14203 by 5 p.m., within seven (7) calendar days from the date you have executed this Agreement. This Agreement will not become effective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after your 7-day revocation period has expired.</w:t>
      </w:r>
    </w:p>
    <w:p>
      <w:pPr>
        <w:spacing w:after="0" w:line="239" w:lineRule="exact"/>
        <w:rPr>
          <w:sz w:val="20"/>
          <w:szCs w:val="20"/>
          <w:color w:val="auto"/>
        </w:rPr>
      </w:pPr>
    </w:p>
    <w:p>
      <w:pPr>
        <w:ind w:left="2260" w:hanging="755"/>
        <w:spacing w:after="0"/>
        <w:tabs>
          <w:tab w:leader="none" w:pos="2260" w:val="left"/>
        </w:tabs>
        <w:numPr>
          <w:ilvl w:val="0"/>
          <w:numId w:val="6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Non-Competition, Non-Solicitation of Customers and Employees</w:t>
      </w:r>
    </w:p>
    <w:p>
      <w:pPr>
        <w:spacing w:after="0" w:line="210" w:lineRule="exact"/>
        <w:rPr>
          <w:sz w:val="20"/>
          <w:szCs w:val="20"/>
          <w:color w:val="auto"/>
        </w:rPr>
      </w:pPr>
    </w:p>
    <w:p>
      <w:pPr>
        <w:jc w:val="both"/>
        <w:ind w:right="120" w:firstLine="1498"/>
        <w:spacing w:after="0" w:line="243" w:lineRule="auto"/>
        <w:rPr>
          <w:sz w:val="20"/>
          <w:szCs w:val="20"/>
          <w:color w:val="auto"/>
        </w:rPr>
      </w:pPr>
      <w:r>
        <w:rPr>
          <w:rFonts w:ascii="Times New Roman" w:cs="Times New Roman" w:eastAsia="Times New Roman" w:hAnsi="Times New Roman"/>
          <w:sz w:val="20"/>
          <w:szCs w:val="20"/>
          <w:color w:val="auto"/>
        </w:rPr>
        <w:t>You, for and in consideration of the promises set forth in this Agreement, hereby agree that through the Consulting Period, you shall not hold any position, in any capacity, directly with any company or entity listed on the attached Peer Firms list. In the event that you hold a position with or perform any services for a consulting firm during the Consulting Period that may also be consulting for any company or entity on the attached Peer Firms list, you agree that you will not work, directly or indirectly, on any project or assignment providing services to the entity that is listed on the attached Peer Firms list until after December 1, 2024. This Agreement does not restrict your ability to serve as a Board Member and/or Director of a Board for any entity as of December 1, 2024. Until December 1, 2024, however, you agree that you will not serve as a Board Member and/or Director of a Board for any company or entity listed on the Peer Firms list.</w:t>
      </w:r>
    </w:p>
    <w:p>
      <w:pPr>
        <w:spacing w:after="0" w:line="203" w:lineRule="exact"/>
        <w:rPr>
          <w:sz w:val="20"/>
          <w:szCs w:val="20"/>
          <w:color w:val="auto"/>
        </w:rPr>
      </w:pPr>
    </w:p>
    <w:p>
      <w:pPr>
        <w:jc w:val="both"/>
        <w:ind w:right="120" w:firstLine="1498"/>
        <w:spacing w:after="0" w:line="244" w:lineRule="auto"/>
        <w:rPr>
          <w:sz w:val="20"/>
          <w:szCs w:val="20"/>
          <w:color w:val="auto"/>
        </w:rPr>
      </w:pPr>
      <w:r>
        <w:rPr>
          <w:rFonts w:ascii="Times New Roman" w:cs="Times New Roman" w:eastAsia="Times New Roman" w:hAnsi="Times New Roman"/>
          <w:sz w:val="20"/>
          <w:szCs w:val="20"/>
          <w:color w:val="auto"/>
        </w:rPr>
        <w:t>You also agree that through the end of the Consulting Period following the execution of this Agreement you shall not, directly or indirectly, hire, solicit or encourage any employee, consultant or contractor of M&amp;T Bank to leave M&amp;T Bank’s employment, or hire any such employee, consultant or contractor who has left M&amp;T Bank’s employment or contractual engagement. In addition, through the end of the Consulting Period, you shall not, directly or indirectly, (i) solicit or attempt to solicit any customer of M&amp;T Bank, customer leads or customer referrals who were served by or whose names became known to you while providing services to M&amp;T Bank;</w:t>
      </w:r>
    </w:p>
    <w:p>
      <w:pPr>
        <w:ind w:right="120" w:firstLine="5"/>
        <w:spacing w:after="0" w:line="246" w:lineRule="auto"/>
        <w:tabs>
          <w:tab w:leader="none" w:pos="29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induce or attempt to induce any customer of M&amp;T Bank to refuse to deal with or discontinue dealing with M&amp;T Bank; or (iii) induce any customer of M&amp;T Bank to terminate any existing contract for services with the Bank.</w:t>
      </w:r>
    </w:p>
    <w:p>
      <w:pPr>
        <w:spacing w:after="0" w:line="209" w:lineRule="exact"/>
        <w:rPr>
          <w:sz w:val="20"/>
          <w:szCs w:val="20"/>
          <w:color w:val="auto"/>
        </w:rPr>
      </w:pPr>
    </w:p>
    <w:p>
      <w:pPr>
        <w:jc w:val="both"/>
        <w:ind w:right="120" w:firstLine="1497"/>
        <w:spacing w:after="0" w:line="246" w:lineRule="auto"/>
        <w:rPr>
          <w:sz w:val="20"/>
          <w:szCs w:val="20"/>
          <w:color w:val="auto"/>
        </w:rPr>
      </w:pPr>
      <w:r>
        <w:rPr>
          <w:rFonts w:ascii="Times New Roman" w:cs="Times New Roman" w:eastAsia="Times New Roman" w:hAnsi="Times New Roman"/>
          <w:sz w:val="20"/>
          <w:szCs w:val="20"/>
          <w:color w:val="auto"/>
        </w:rPr>
        <w:t>The Consulting Period limitation is not intended to limit M&amp;T Bank’s right to prevent misappropriation of its confidential information beyond the duration of the Consulting Period. In addition, if you are subject to a non-solicitation restriction under any incentive plan, commission plan or other arrangement or contract with M&amp;T Bank, nothing in this section shall be read to alter or limit such restriction(s). To the extent the duration of the non-solicitation in this section differs with any other such restrictions, the longer time period shall control.</w:t>
      </w:r>
    </w:p>
    <w:p>
      <w:pPr>
        <w:spacing w:after="0" w:line="59" w:lineRule="exact"/>
        <w:rPr>
          <w:sz w:val="20"/>
          <w:szCs w:val="20"/>
          <w:color w:val="auto"/>
        </w:rPr>
      </w:pPr>
    </w:p>
    <w:p>
      <w:pPr>
        <w:ind w:left="2260" w:hanging="755"/>
        <w:spacing w:after="0"/>
        <w:tabs>
          <w:tab w:leader="none" w:pos="2260" w:val="left"/>
        </w:tabs>
        <w:numPr>
          <w:ilvl w:val="0"/>
          <w:numId w:val="6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Employment Verification</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M&amp;T Bank’s policy currently provides that requests for employment verification be referred to HRDirect at 1-877-473-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4732.</w:t>
      </w:r>
    </w:p>
    <w:p>
      <w:pPr>
        <w:spacing w:after="0" w:line="217" w:lineRule="exact"/>
        <w:rPr>
          <w:sz w:val="20"/>
          <w:szCs w:val="20"/>
          <w:color w:val="auto"/>
        </w:rPr>
      </w:pPr>
    </w:p>
    <w:p>
      <w:pPr>
        <w:ind w:left="2260" w:hanging="755"/>
        <w:spacing w:after="0"/>
        <w:tabs>
          <w:tab w:leader="none" w:pos="2260" w:val="left"/>
        </w:tabs>
        <w:numPr>
          <w:ilvl w:val="0"/>
          <w:numId w:val="6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Equity Awards</w:t>
      </w:r>
    </w:p>
    <w:p>
      <w:pPr>
        <w:spacing w:after="0" w:line="210" w:lineRule="exact"/>
        <w:rPr>
          <w:sz w:val="20"/>
          <w:szCs w:val="20"/>
          <w:color w:val="auto"/>
        </w:rPr>
      </w:pPr>
    </w:p>
    <w:p>
      <w:pPr>
        <w:jc w:val="both"/>
        <w:ind w:right="120" w:firstLine="1498"/>
        <w:spacing w:after="0" w:line="249" w:lineRule="auto"/>
        <w:rPr>
          <w:sz w:val="20"/>
          <w:szCs w:val="20"/>
          <w:color w:val="auto"/>
        </w:rPr>
      </w:pPr>
      <w:r>
        <w:rPr>
          <w:rFonts w:ascii="Times New Roman" w:cs="Times New Roman" w:eastAsia="Times New Roman" w:hAnsi="Times New Roman"/>
          <w:sz w:val="20"/>
          <w:szCs w:val="20"/>
          <w:color w:val="auto"/>
        </w:rPr>
        <w:t>Your equity awards are governed by the terms and conditions of the applicable award agreement(s) and equity plan(s) maintained by M&amp;T Bank Corporation. You should refer to the applicable equity award agreement(s) and equity plan(s) for further information about the status and treatment of equity awards upon separation from employment. You will not receive any future equity awards.</w:t>
      </w:r>
    </w:p>
    <w:p>
      <w:pPr>
        <w:spacing w:after="0" w:line="216" w:lineRule="exact"/>
        <w:rPr>
          <w:sz w:val="20"/>
          <w:szCs w:val="20"/>
          <w:color w:val="auto"/>
        </w:rPr>
      </w:pPr>
    </w:p>
    <w:p>
      <w:pPr>
        <w:ind w:left="2260" w:hanging="755"/>
        <w:spacing w:after="0"/>
        <w:tabs>
          <w:tab w:leader="none" w:pos="2260" w:val="left"/>
        </w:tabs>
        <w:numPr>
          <w:ilvl w:val="0"/>
          <w:numId w:val="6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Release and Waiver</w:t>
      </w:r>
    </w:p>
    <w:p>
      <w:pPr>
        <w:spacing w:after="0" w:line="210" w:lineRule="exact"/>
        <w:rPr>
          <w:sz w:val="20"/>
          <w:szCs w:val="20"/>
          <w:color w:val="auto"/>
        </w:rPr>
      </w:pPr>
    </w:p>
    <w:p>
      <w:pPr>
        <w:jc w:val="both"/>
        <w:ind w:right="120" w:firstLine="1592"/>
        <w:spacing w:after="0" w:line="246" w:lineRule="auto"/>
        <w:rPr>
          <w:sz w:val="20"/>
          <w:szCs w:val="20"/>
          <w:color w:val="auto"/>
        </w:rPr>
      </w:pPr>
      <w:r>
        <w:rPr>
          <w:rFonts w:ascii="Times New Roman" w:cs="Times New Roman" w:eastAsia="Times New Roman" w:hAnsi="Times New Roman"/>
          <w:sz w:val="20"/>
          <w:szCs w:val="20"/>
          <w:color w:val="auto"/>
        </w:rPr>
        <w:t>You, for and in consideration of the promises set forth in this Agreement, hereby agree to release and discharge, and not to institute any suit or action, at law or in equity, against M&amp;T Bank, as defined above, on your behalf and on behalf of any person or entity claiming by or through you, from any and all claims of any kind, known and unknown, which you may now have or have ever had against M&amp;T Bank, including claims for compensation, accrued time off work, stock options, bonuses, separation pay and all other claims arising from your employment with M&amp;T Bank or the separation of your employment with M&amp;T Bank, whether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873760</wp:posOffset>
            </wp:positionV>
            <wp:extent cx="7157720" cy="4254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65"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18" w:lineRule="exact"/>
        <w:rPr>
          <w:sz w:val="20"/>
          <w:szCs w:val="20"/>
          <w:color w:val="auto"/>
        </w:rPr>
      </w:pPr>
    </w:p>
    <w:p>
      <w:pPr>
        <w:jc w:val="both"/>
        <w:ind w:right="120"/>
        <w:spacing w:after="0" w:line="242" w:lineRule="auto"/>
        <w:rPr>
          <w:sz w:val="20"/>
          <w:szCs w:val="20"/>
          <w:color w:val="auto"/>
        </w:rPr>
      </w:pPr>
      <w:r>
        <w:rPr>
          <w:rFonts w:ascii="Times New Roman" w:cs="Times New Roman" w:eastAsia="Times New Roman" w:hAnsi="Times New Roman"/>
          <w:sz w:val="20"/>
          <w:szCs w:val="20"/>
          <w:color w:val="auto"/>
        </w:rPr>
        <w:t>contract, tort, statute, local ordinance, regulation, common law, or any comparable law in any jurisdiction (“Released Claims”). By way of example and not in limitation, the Released Claims include (all as amended) the Age Discrimination in Employment Act of 1967, the Older Workers Benefit Protection Act, Title VII of the Civil Rights Act of 1964, the Americans with Disabilities Act of 1990, the Equal Pay Act of 1963, the Family and Medical Leave Act of 1993, the federal Worker Adjustment and Retraining Notification Act of 1988, the Employee Retirement Income Security Act of 1974, the Fair Credit Reporting Act of 1970, the Civil Rights Act of 1866 (42 U.S.C. §§ 1981–1988), the New York Human Rights Law, as well as any claims asserting wrongful termination, breach of contract, breach of the covenant of good faith and fair dealing, negligent or intentional infliction of emotional distress, negligent or intentional misrepresentation, negligent or intentional interference with contract or prospective economic advantage, and defamation and any other federal, state or local law, rule, regulation, executive order or guidelines relating to discrimination, excluding any potential rights or remedies pertaining to retirement benefits or the enforcement of this Agreement, from the beginning of the world through the date of this Agreement, and the continuing effects thereof.</w:t>
      </w:r>
    </w:p>
    <w:p>
      <w:pPr>
        <w:spacing w:after="0" w:line="82" w:lineRule="exact"/>
        <w:rPr>
          <w:sz w:val="20"/>
          <w:szCs w:val="20"/>
          <w:color w:val="auto"/>
        </w:rPr>
      </w:pPr>
    </w:p>
    <w:p>
      <w:pPr>
        <w:jc w:val="both"/>
        <w:ind w:right="120" w:firstLine="1497"/>
        <w:spacing w:after="0" w:line="246" w:lineRule="auto"/>
        <w:rPr>
          <w:sz w:val="20"/>
          <w:szCs w:val="20"/>
          <w:color w:val="auto"/>
        </w:rPr>
      </w:pPr>
      <w:r>
        <w:rPr>
          <w:rFonts w:ascii="Times New Roman" w:cs="Times New Roman" w:eastAsia="Times New Roman" w:hAnsi="Times New Roman"/>
          <w:sz w:val="20"/>
          <w:szCs w:val="20"/>
          <w:color w:val="auto"/>
        </w:rPr>
        <w:t>This Agreement covers both claims that you know about and those that you may not know about at this time. The Released Claims do not include any claim: (1) to enforce the Agreement; (2) that arises exclusively after the date you execute the Agreement; (3) to undisputed vested benefits under an employee benefit plan governed by ERISA; (4) that you may have for COBRA benefits; and (5) that cannot be released as a matter of law, such as claims for statutory unemployment or statutory workers’ compensation benefits.</w:t>
      </w:r>
    </w:p>
    <w:p>
      <w:pPr>
        <w:spacing w:after="0" w:line="212" w:lineRule="exact"/>
        <w:rPr>
          <w:sz w:val="20"/>
          <w:szCs w:val="20"/>
          <w:color w:val="auto"/>
        </w:rPr>
      </w:pPr>
    </w:p>
    <w:p>
      <w:pPr>
        <w:jc w:val="both"/>
        <w:ind w:right="120" w:firstLine="1497"/>
        <w:spacing w:after="0" w:line="245" w:lineRule="auto"/>
        <w:rPr>
          <w:sz w:val="20"/>
          <w:szCs w:val="20"/>
          <w:color w:val="auto"/>
        </w:rPr>
      </w:pPr>
      <w:r>
        <w:rPr>
          <w:rFonts w:ascii="Times New Roman" w:cs="Times New Roman" w:eastAsia="Times New Roman" w:hAnsi="Times New Roman"/>
          <w:sz w:val="20"/>
          <w:szCs w:val="20"/>
          <w:color w:val="auto"/>
        </w:rPr>
        <w:t>Nothing in this Agreement limits your rights, protected under law, to file a charge or communicate with or otherwise participate in any investigation or proceeding conducted by the Securities and Exchange Commission, the Financial Industry Regulatory Authority, the U.S Department of Justice, the Occupational Safety and Health Administration, the Equal Employment Opportunity Commission, the National Labor Relations Board, or any other government agency charged with enforcement of any law; however, in view of the Consulting Payments provided to you, to the maximum extent permitted by law, you waive and release any and all rights you have to recover any damages or individual monetary relief as a result of such charge, communication, or participation.</w:t>
      </w:r>
    </w:p>
    <w:p>
      <w:pPr>
        <w:spacing w:after="0" w:line="288" w:lineRule="exact"/>
        <w:rPr>
          <w:sz w:val="20"/>
          <w:szCs w:val="20"/>
          <w:color w:val="auto"/>
        </w:rPr>
      </w:pPr>
    </w:p>
    <w:p>
      <w:pPr>
        <w:ind w:left="2260" w:hanging="755"/>
        <w:spacing w:after="0"/>
        <w:tabs>
          <w:tab w:leader="none" w:pos="2260" w:val="left"/>
        </w:tabs>
        <w:numPr>
          <w:ilvl w:val="0"/>
          <w:numId w:val="6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Acknowledgement of Understanding and Review of Release and Waiver</w:t>
      </w:r>
    </w:p>
    <w:p>
      <w:pPr>
        <w:spacing w:after="0" w:line="210" w:lineRule="exact"/>
        <w:rPr>
          <w:sz w:val="20"/>
          <w:szCs w:val="20"/>
          <w:color w:val="auto"/>
        </w:rPr>
      </w:pPr>
    </w:p>
    <w:p>
      <w:pPr>
        <w:jc w:val="both"/>
        <w:ind w:right="120" w:firstLine="1497"/>
        <w:spacing w:after="0" w:line="243" w:lineRule="auto"/>
        <w:rPr>
          <w:sz w:val="20"/>
          <w:szCs w:val="20"/>
          <w:color w:val="auto"/>
        </w:rPr>
      </w:pPr>
      <w:r>
        <w:rPr>
          <w:rFonts w:ascii="Times New Roman" w:cs="Times New Roman" w:eastAsia="Times New Roman" w:hAnsi="Times New Roman"/>
          <w:sz w:val="20"/>
          <w:szCs w:val="20"/>
          <w:color w:val="auto"/>
        </w:rPr>
        <w:t>You acknowledge and agree that, prior to executing this Agreement, you have been advised of your right to discuss it with your private attorney and that to the extent you desired, you have availed yourself of this right. You further acknowledge and agree that you have been provided with a reasonable period of time, not fewer than 21 calendar days from your receipt of this Agreement, to consider the terms of this Agreement and to the extent you have executed this Agreement within a shorter period of time, you have elected to do so knowingly and voluntarily and not on the basis of any M&amp;T Bank fraud, misrepresentation, or threat to withdraw or alter this offer. You further acknowledge that you have carefully read and fully understand all of the provisions of this Agreement and that you are VOLUNTARILY entering into this Agreement. You further acknowledge that any modifications, material or not material to this Agreement, do not restart the consideration time period.</w:t>
      </w:r>
    </w:p>
    <w:p>
      <w:pPr>
        <w:spacing w:after="0" w:line="199" w:lineRule="exact"/>
        <w:rPr>
          <w:sz w:val="20"/>
          <w:szCs w:val="20"/>
          <w:color w:val="auto"/>
        </w:rPr>
      </w:pPr>
    </w:p>
    <w:p>
      <w:pPr>
        <w:ind w:left="2260" w:hanging="755"/>
        <w:spacing w:after="0"/>
        <w:tabs>
          <w:tab w:leader="none" w:pos="2260" w:val="left"/>
        </w:tabs>
        <w:numPr>
          <w:ilvl w:val="0"/>
          <w:numId w:val="6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Agreement to Sign Attached General Release and Waiver</w:t>
      </w:r>
    </w:p>
    <w:p>
      <w:pPr>
        <w:spacing w:after="0" w:line="210" w:lineRule="exact"/>
        <w:rPr>
          <w:sz w:val="20"/>
          <w:szCs w:val="20"/>
          <w:color w:val="auto"/>
        </w:rPr>
      </w:pPr>
    </w:p>
    <w:p>
      <w:pPr>
        <w:jc w:val="both"/>
        <w:ind w:right="120" w:firstLine="1497"/>
        <w:spacing w:after="0" w:line="249" w:lineRule="auto"/>
        <w:rPr>
          <w:sz w:val="20"/>
          <w:szCs w:val="20"/>
          <w:color w:val="auto"/>
        </w:rPr>
      </w:pPr>
      <w:r>
        <w:rPr>
          <w:rFonts w:ascii="Times New Roman" w:cs="Times New Roman" w:eastAsia="Times New Roman" w:hAnsi="Times New Roman"/>
          <w:sz w:val="20"/>
          <w:szCs w:val="20"/>
          <w:color w:val="auto"/>
        </w:rPr>
        <w:t>You agree that as a condition of receiving the Consulting Payments described in Paragraph 5, you will sign the attached General Release and Waiver on your Retirement Date of May 31, 2024. You understand and acknowledge that if you do not sign the General Release and Waiver, or that if you subsequently revoke it as described therein, you will not be entitled to the Consulting Payments described in Paragraph 5 other than a payment of $500.</w:t>
      </w:r>
    </w:p>
    <w:p>
      <w:pPr>
        <w:spacing w:after="0" w:line="216" w:lineRule="exact"/>
        <w:rPr>
          <w:sz w:val="20"/>
          <w:szCs w:val="20"/>
          <w:color w:val="auto"/>
        </w:rPr>
      </w:pPr>
    </w:p>
    <w:p>
      <w:pPr>
        <w:ind w:left="2260" w:hanging="755"/>
        <w:spacing w:after="0"/>
        <w:tabs>
          <w:tab w:leader="none" w:pos="2260" w:val="left"/>
        </w:tabs>
        <w:numPr>
          <w:ilvl w:val="0"/>
          <w:numId w:val="7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Return of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1017905</wp:posOffset>
            </wp:positionV>
            <wp:extent cx="7157720" cy="4254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65"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18" w:lineRule="exact"/>
        <w:rPr>
          <w:sz w:val="20"/>
          <w:szCs w:val="20"/>
          <w:color w:val="auto"/>
        </w:rPr>
      </w:pPr>
    </w:p>
    <w:p>
      <w:pPr>
        <w:jc w:val="both"/>
        <w:ind w:left="120" w:right="120" w:firstLine="1497"/>
        <w:spacing w:after="0" w:line="246" w:lineRule="auto"/>
        <w:rPr>
          <w:sz w:val="20"/>
          <w:szCs w:val="20"/>
          <w:color w:val="auto"/>
        </w:rPr>
      </w:pPr>
      <w:r>
        <w:rPr>
          <w:rFonts w:ascii="Times New Roman" w:cs="Times New Roman" w:eastAsia="Times New Roman" w:hAnsi="Times New Roman"/>
          <w:sz w:val="20"/>
          <w:szCs w:val="20"/>
          <w:color w:val="auto"/>
        </w:rPr>
        <w:t>You agree to return on or before the Retirement Date all M&amp;T Bank property in your custody or possession, whether created by yourself or others, including but not limited to any laptop computers, handheld computers, cell phones, swipe cards and the originals and copies of all documents, employee and customer records, files, reports, letters, memoranda, records, data, flowcharts, promotional materials, agreements, customer lists, market studies and other tangible material containing confidential or proprietary information concerning M&amp;T Bank, as defined above.</w:t>
      </w:r>
    </w:p>
    <w:p>
      <w:pPr>
        <w:spacing w:after="0" w:line="221" w:lineRule="exact"/>
        <w:rPr>
          <w:sz w:val="20"/>
          <w:szCs w:val="20"/>
          <w:color w:val="auto"/>
        </w:rPr>
      </w:pPr>
    </w:p>
    <w:p>
      <w:pPr>
        <w:ind w:left="2380" w:hanging="755"/>
        <w:spacing w:after="0"/>
        <w:tabs>
          <w:tab w:leader="none" w:pos="2380" w:val="left"/>
        </w:tabs>
        <w:numPr>
          <w:ilvl w:val="0"/>
          <w:numId w:val="7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Confidential Information</w:t>
      </w:r>
    </w:p>
    <w:p>
      <w:pPr>
        <w:spacing w:after="0" w:line="210" w:lineRule="exact"/>
        <w:rPr>
          <w:sz w:val="20"/>
          <w:szCs w:val="20"/>
          <w:color w:val="auto"/>
        </w:rPr>
      </w:pPr>
    </w:p>
    <w:p>
      <w:pPr>
        <w:jc w:val="both"/>
        <w:ind w:left="120" w:right="120" w:firstLine="1497"/>
        <w:spacing w:after="0" w:line="242" w:lineRule="auto"/>
        <w:rPr>
          <w:sz w:val="20"/>
          <w:szCs w:val="20"/>
          <w:color w:val="auto"/>
        </w:rPr>
      </w:pPr>
      <w:r>
        <w:rPr>
          <w:rFonts w:ascii="Times New Roman" w:cs="Times New Roman" w:eastAsia="Times New Roman" w:hAnsi="Times New Roman"/>
          <w:sz w:val="20"/>
          <w:szCs w:val="20"/>
          <w:color w:val="auto"/>
        </w:rPr>
        <w:t>Except as required by law, through the end of the Consulting Period and thereafter, you will not disclose to any person or persons any Confidential Information relating to M&amp;T Bank, as defined above. “Confidential Information” includes, but is not limited to, any and all records, files, reports, letters, memoranda, records, data, flowcharts, promotional materials, agreements, customer and employee related information, market studies and other secret, confidential or proprietary information of any nature relating to M&amp;T Bank, as defined above, which is not generally available to the public. In order to enforce compliance with this covenant, you acknowledge that the failure to comply with the provisions of this Agreement will cause M&amp;T Bank irreparable harm and that a remedy at law for such failure would be an inadequate remedy for M&amp;T Bank. Therefore, you consent that M&amp;T Bank may obtain an order of specific performance, an injunction, a restraining order, or other equitable relief from a court or arbitrator having jurisdiction. The availability of equitable relief shall not preclude M&amp;T Bank from recovering any monetary damages to which it is entitled under applicable law. Nothing in this Agreement precludes you from sharing the terms of this Agreement and the facts underlying your separation from M&amp;T Bank with your life partner, immediate family, attorneys, tax professionals, financial advisors, and healthcare professionals provided you inform each of their duty to keep such information confidential.</w:t>
      </w:r>
    </w:p>
    <w:p>
      <w:pPr>
        <w:spacing w:after="0" w:line="210" w:lineRule="exact"/>
        <w:rPr>
          <w:sz w:val="20"/>
          <w:szCs w:val="20"/>
          <w:color w:val="auto"/>
        </w:rPr>
      </w:pPr>
    </w:p>
    <w:p>
      <w:pPr>
        <w:ind w:left="2360" w:hanging="735"/>
        <w:spacing w:after="0"/>
        <w:tabs>
          <w:tab w:leader="none" w:pos="2360" w:val="left"/>
        </w:tabs>
        <w:numPr>
          <w:ilvl w:val="0"/>
          <w:numId w:val="7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Non-disparagement</w:t>
      </w:r>
    </w:p>
    <w:p>
      <w:pPr>
        <w:spacing w:after="0" w:line="210"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You agree not to, directly or indirectly, make, create, publish, communicate, send, or otherwise transmit any statements or communications that are negative, degrading, or critical regarding M&amp;T Bank or its officers, directors, managers, and employees. M&amp;T Bank will provide a written instruction to its “Executive Officers” (as defined and designated under Rule 3b-7 of the Securities Exchange Act of 1934, and who hold office as of the date of this Agreement) directing those individuals that they are not to directly or indirectly, make, create, publish, communicate, send, or otherwise transmit any statements or communications that are negative, degrading, or critical regarding you.</w:t>
      </w:r>
    </w:p>
    <w:p>
      <w:pPr>
        <w:spacing w:after="0" w:line="200" w:lineRule="exact"/>
        <w:rPr>
          <w:sz w:val="20"/>
          <w:szCs w:val="20"/>
          <w:color w:val="auto"/>
        </w:rPr>
      </w:pPr>
    </w:p>
    <w:p>
      <w:pPr>
        <w:spacing w:after="0" w:line="223" w:lineRule="exact"/>
        <w:rPr>
          <w:sz w:val="20"/>
          <w:szCs w:val="20"/>
          <w:color w:val="auto"/>
        </w:rPr>
      </w:pPr>
    </w:p>
    <w:p>
      <w:pPr>
        <w:ind w:left="2380" w:hanging="755"/>
        <w:spacing w:after="0"/>
        <w:tabs>
          <w:tab w:leader="none" w:pos="2380" w:val="left"/>
        </w:tabs>
        <w:numPr>
          <w:ilvl w:val="0"/>
          <w:numId w:val="7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Section 409A Compliance</w:t>
      </w:r>
    </w:p>
    <w:p>
      <w:pPr>
        <w:spacing w:after="0" w:line="210" w:lineRule="exact"/>
        <w:rPr>
          <w:sz w:val="20"/>
          <w:szCs w:val="20"/>
          <w:color w:val="auto"/>
        </w:rPr>
      </w:pPr>
    </w:p>
    <w:p>
      <w:pPr>
        <w:jc w:val="both"/>
        <w:ind w:left="120" w:right="140" w:firstLine="1497"/>
        <w:spacing w:after="0" w:line="243" w:lineRule="auto"/>
        <w:rPr>
          <w:sz w:val="20"/>
          <w:szCs w:val="20"/>
          <w:color w:val="auto"/>
        </w:rPr>
      </w:pPr>
      <w:r>
        <w:rPr>
          <w:rFonts w:ascii="Times New Roman" w:cs="Times New Roman" w:eastAsia="Times New Roman" w:hAnsi="Times New Roman"/>
          <w:sz w:val="20"/>
          <w:szCs w:val="20"/>
          <w:color w:val="auto"/>
        </w:rPr>
        <w:t>This Agreement is intended to comply with the requirements of Section 409A of the Internal Revenue Code of 1986, as amended ("Section 409A"), including the exceptions thereto, and shall be construed and administered in accordance with such intent. Notwithstanding any other provision of this Agreement, payments provided under this Agreement may only be made upon an event and in a manner that complies with Section 409A or an applicable exemption. For purposes of Section 409A, each installment payment provided under this Agreement shall be treated as a separate payment. With respect to any payments that are subject to Section 409A, in no event may you, directly or indirectly, designate the calendar year of a payment. Notwithstanding the foregoing, M&amp;T Bank makes no representations that the payments and benefits provided under this Agreement comply with Section 409A and in no event shall M&amp;T Bank be liable for all or any portion of any taxes, penalties, interest or other expenses that may be incurred by you on account of non-compliance with Section 409A.</w:t>
      </w:r>
    </w:p>
    <w:p>
      <w:pPr>
        <w:spacing w:after="0" w:line="101" w:lineRule="exact"/>
        <w:rPr>
          <w:sz w:val="20"/>
          <w:szCs w:val="20"/>
          <w:color w:val="auto"/>
        </w:rPr>
      </w:pPr>
    </w:p>
    <w:p>
      <w:pPr>
        <w:ind w:left="2380" w:hanging="755"/>
        <w:spacing w:after="0"/>
        <w:tabs>
          <w:tab w:leader="none" w:pos="2380" w:val="left"/>
        </w:tabs>
        <w:numPr>
          <w:ilvl w:val="0"/>
          <w:numId w:val="7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Cooperation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880745</wp:posOffset>
            </wp:positionV>
            <wp:extent cx="7157720" cy="4254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326" w:lineRule="exact"/>
        <w:rPr>
          <w:sz w:val="20"/>
          <w:szCs w:val="20"/>
          <w:color w:val="auto"/>
        </w:rPr>
      </w:pPr>
    </w:p>
    <w:p>
      <w:pPr>
        <w:jc w:val="both"/>
        <w:ind w:firstLine="1405"/>
        <w:spacing w:after="0" w:line="242" w:lineRule="auto"/>
        <w:rPr>
          <w:sz w:val="20"/>
          <w:szCs w:val="20"/>
          <w:color w:val="auto"/>
        </w:rPr>
      </w:pPr>
      <w:r>
        <w:rPr>
          <w:rFonts w:ascii="Times New Roman" w:cs="Times New Roman" w:eastAsia="Times New Roman" w:hAnsi="Times New Roman"/>
          <w:sz w:val="20"/>
          <w:szCs w:val="20"/>
          <w:color w:val="auto"/>
        </w:rPr>
        <w:t>You agree to cooperate with M&amp;T Bank, at M&amp;T Bank’s reasonable request, in all aspects of your provision of the Consulting services, including, without limitation, by assisting, cooperating, or providing knowledge, communicating with persons inside or outside M&amp;T Bank, and making yourself reasonably available to assist with or participate in any agency, board and legal investigations and proceedings. M&amp;T Bank agrees to reimburse you for your reasonable out-of-pocket costs and expenses actually incurred in connection with your provision of the Consulting services and for cooperating with M&amp;T Bank as described in this paragraph. M&amp;T Bank will reimburse you as described herein within 30 days of receiving a written request for reimbursement from you itemizing the costs and expenses you incurred and attaching receipts. You acknowledge and agree that your agreement to cooperate will be in effect throughout the entirety of the Consulting Period. However, you also agree that in the event that an issue, dispute, or claim directly or indirectly concerning or relating to your provision of the Consulting services arises after the expiration of the Consulting Period, that your agreement to cooperate will extend beyond the Consulting Period for the limited duration necessary to resolve the issue, dispute, or claim.</w:t>
      </w:r>
    </w:p>
    <w:p>
      <w:pPr>
        <w:spacing w:after="0" w:line="202" w:lineRule="exact"/>
        <w:rPr>
          <w:sz w:val="20"/>
          <w:szCs w:val="20"/>
          <w:color w:val="auto"/>
        </w:rPr>
      </w:pPr>
    </w:p>
    <w:p>
      <w:pPr>
        <w:ind w:left="2380" w:hanging="755"/>
        <w:spacing w:after="0"/>
        <w:tabs>
          <w:tab w:leader="none" w:pos="2380" w:val="left"/>
        </w:tabs>
        <w:numPr>
          <w:ilvl w:val="0"/>
          <w:numId w:val="7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Representations Concerning Insurance Coverages and Indemnification</w:t>
      </w:r>
    </w:p>
    <w:p>
      <w:pPr>
        <w:spacing w:after="0" w:line="89" w:lineRule="exact"/>
        <w:rPr>
          <w:sz w:val="20"/>
          <w:szCs w:val="20"/>
          <w:color w:val="auto"/>
        </w:rPr>
      </w:pPr>
    </w:p>
    <w:p>
      <w:pPr>
        <w:jc w:val="both"/>
        <w:ind w:firstLine="1405"/>
        <w:spacing w:after="0" w:line="254" w:lineRule="auto"/>
        <w:rPr>
          <w:sz w:val="20"/>
          <w:szCs w:val="20"/>
          <w:color w:val="auto"/>
        </w:rPr>
      </w:pPr>
      <w:r>
        <w:rPr>
          <w:rFonts w:ascii="Times New Roman" w:cs="Times New Roman" w:eastAsia="Times New Roman" w:hAnsi="Times New Roman"/>
          <w:sz w:val="20"/>
          <w:szCs w:val="20"/>
          <w:color w:val="auto"/>
        </w:rPr>
        <w:t>M&amp;T Bank represents that it has had in effect insurance policies providing insurance coverage for Directors and Officers and that you will be covered under those policies under the terms of those coverages with respect to your employment as an executive of M&amp;T Bank.</w:t>
      </w:r>
    </w:p>
    <w:p>
      <w:pPr>
        <w:spacing w:after="0" w:line="305" w:lineRule="exact"/>
        <w:rPr>
          <w:sz w:val="20"/>
          <w:szCs w:val="20"/>
          <w:color w:val="auto"/>
        </w:rPr>
      </w:pPr>
    </w:p>
    <w:p>
      <w:pPr>
        <w:ind w:left="2380" w:hanging="755"/>
        <w:spacing w:after="0"/>
        <w:tabs>
          <w:tab w:leader="none" w:pos="2380" w:val="left"/>
        </w:tabs>
        <w:numPr>
          <w:ilvl w:val="0"/>
          <w:numId w:val="7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0"/>
          <w:szCs w:val="20"/>
          <w:b w:val="1"/>
          <w:bCs w:val="1"/>
          <w:i w:val="1"/>
          <w:iCs w:val="1"/>
          <w:color w:val="auto"/>
        </w:rPr>
        <w:t>Miscellaneous</w:t>
      </w:r>
    </w:p>
    <w:p>
      <w:pPr>
        <w:spacing w:after="0" w:line="224" w:lineRule="exact"/>
        <w:rPr>
          <w:sz w:val="20"/>
          <w:szCs w:val="20"/>
          <w:color w:val="auto"/>
        </w:rPr>
      </w:pPr>
    </w:p>
    <w:p>
      <w:pPr>
        <w:jc w:val="both"/>
        <w:ind w:left="120" w:right="120" w:firstLine="1498"/>
        <w:spacing w:after="0" w:line="254" w:lineRule="auto"/>
        <w:rPr>
          <w:sz w:val="20"/>
          <w:szCs w:val="20"/>
          <w:color w:val="auto"/>
        </w:rPr>
      </w:pPr>
      <w:r>
        <w:rPr>
          <w:rFonts w:ascii="Times New Roman" w:cs="Times New Roman" w:eastAsia="Times New Roman" w:hAnsi="Times New Roman"/>
          <w:sz w:val="20"/>
          <w:szCs w:val="20"/>
          <w:color w:val="auto"/>
        </w:rPr>
        <w:t>You and M&amp;T Bank acknowledge and agree that this Agreement is not an admission of guilt or wrongdoing by you or M&amp;T Bank, as defined above, that neither party believes or admits that it has done anything wrong, and that both parties expressly deny any wrongdoing.</w:t>
      </w:r>
    </w:p>
    <w:p>
      <w:pPr>
        <w:spacing w:after="0" w:line="188" w:lineRule="exact"/>
        <w:rPr>
          <w:sz w:val="20"/>
          <w:szCs w:val="20"/>
          <w:color w:val="auto"/>
        </w:rPr>
      </w:pPr>
    </w:p>
    <w:p>
      <w:pPr>
        <w:jc w:val="both"/>
        <w:ind w:left="120" w:right="120" w:firstLine="1497"/>
        <w:spacing w:after="0" w:line="245" w:lineRule="auto"/>
        <w:rPr>
          <w:sz w:val="20"/>
          <w:szCs w:val="20"/>
          <w:color w:val="auto"/>
        </w:rPr>
      </w:pPr>
      <w:r>
        <w:rPr>
          <w:rFonts w:ascii="Times New Roman" w:cs="Times New Roman" w:eastAsia="Times New Roman" w:hAnsi="Times New Roman"/>
          <w:sz w:val="20"/>
          <w:szCs w:val="20"/>
          <w:color w:val="auto"/>
        </w:rPr>
        <w:t>This Agreement may not be modified in any manner or canceled except by a writing signed by you and an authorized M&amp;T Bank official. You acknowledge that M&amp;T Bank has made no promises to you other than those in this Agreement and that this Agreement constitutes the entire agreement of the Parties with respect to the subject matter of this Agreement, and supersedes any prior understandings or written or oral agreements between the Parties with respect to the subject matter of this Agreement, except for any arbitration, intellectual property, noncompete, restrictive covenant, non-solicitation, nondisclosure, or confidential agreements between M&amp;T Bank and you, which shall remain in full force and effect according to their terms.</w:t>
      </w:r>
    </w:p>
    <w:p>
      <w:pPr>
        <w:spacing w:after="0" w:line="198" w:lineRule="exact"/>
        <w:rPr>
          <w:sz w:val="20"/>
          <w:szCs w:val="20"/>
          <w:color w:val="auto"/>
        </w:rPr>
      </w:pPr>
    </w:p>
    <w:p>
      <w:pPr>
        <w:jc w:val="both"/>
        <w:ind w:right="100" w:firstLine="791"/>
        <w:spacing w:after="0" w:line="249" w:lineRule="auto"/>
        <w:rPr>
          <w:sz w:val="20"/>
          <w:szCs w:val="20"/>
          <w:color w:val="auto"/>
        </w:rPr>
      </w:pPr>
      <w:r>
        <w:rPr>
          <w:rFonts w:ascii="Times New Roman" w:cs="Times New Roman" w:eastAsia="Times New Roman" w:hAnsi="Times New Roman"/>
          <w:sz w:val="20"/>
          <w:szCs w:val="20"/>
          <w:color w:val="auto"/>
        </w:rPr>
        <w:t>You agree that you shall be responsible for all taxes and similar payments arising out of any activities contemplated by this Agreement, including without limitation, federal, state, and local income tax, self-employment taxes, and all other taxes, fees, and withholdings. You agree that you will indemnify M&amp;T and hold M&amp;T harmless against any claim, obligation, or demand to pay any type of taxes, interest, or penalties in connection with any payments made to you by M&amp;T under this Agreement.</w:t>
      </w:r>
    </w:p>
    <w:p>
      <w:pPr>
        <w:spacing w:after="0" w:line="193" w:lineRule="exact"/>
        <w:rPr>
          <w:sz w:val="20"/>
          <w:szCs w:val="20"/>
          <w:color w:val="auto"/>
        </w:rPr>
      </w:pPr>
    </w:p>
    <w:p>
      <w:pPr>
        <w:ind w:left="120" w:right="120" w:firstLine="1497"/>
        <w:spacing w:after="0" w:line="269" w:lineRule="auto"/>
        <w:rPr>
          <w:sz w:val="20"/>
          <w:szCs w:val="20"/>
          <w:color w:val="auto"/>
        </w:rPr>
      </w:pPr>
      <w:r>
        <w:rPr>
          <w:rFonts w:ascii="Times New Roman" w:cs="Times New Roman" w:eastAsia="Times New Roman" w:hAnsi="Times New Roman"/>
          <w:sz w:val="20"/>
          <w:szCs w:val="20"/>
          <w:color w:val="auto"/>
        </w:rPr>
        <w:t>The provisions of this Agreement are severable. If any part of it is found to be unenforceable, all other provisions shall remain fully valid and enforceable.</w:t>
      </w:r>
    </w:p>
    <w:p>
      <w:pPr>
        <w:spacing w:after="0" w:line="173" w:lineRule="exact"/>
        <w:rPr>
          <w:sz w:val="20"/>
          <w:szCs w:val="20"/>
          <w:color w:val="auto"/>
        </w:rPr>
      </w:pPr>
    </w:p>
    <w:p>
      <w:pPr>
        <w:ind w:left="120" w:right="120" w:firstLine="1497"/>
        <w:spacing w:after="0" w:line="269" w:lineRule="auto"/>
        <w:rPr>
          <w:sz w:val="20"/>
          <w:szCs w:val="20"/>
          <w:color w:val="auto"/>
        </w:rPr>
      </w:pPr>
      <w:r>
        <w:rPr>
          <w:rFonts w:ascii="Times New Roman" w:cs="Times New Roman" w:eastAsia="Times New Roman" w:hAnsi="Times New Roman"/>
          <w:sz w:val="20"/>
          <w:szCs w:val="20"/>
          <w:color w:val="auto"/>
        </w:rPr>
        <w:t>Captions and headings in this agreement are intended solely for convenience of reference and shall not be used in interpretation of this Agreement. This Agreement shall be governed by the substantive and procedural laws of the State of New York.</w:t>
      </w:r>
    </w:p>
    <w:p>
      <w:pPr>
        <w:spacing w:after="0" w:line="186" w:lineRule="exact"/>
        <w:rPr>
          <w:sz w:val="20"/>
          <w:szCs w:val="20"/>
          <w:color w:val="auto"/>
        </w:rPr>
      </w:pPr>
    </w:p>
    <w:p>
      <w:pPr>
        <w:ind w:left="120" w:right="120" w:firstLine="1497"/>
        <w:spacing w:after="0" w:line="250" w:lineRule="auto"/>
        <w:rPr>
          <w:sz w:val="20"/>
          <w:szCs w:val="20"/>
          <w:color w:val="auto"/>
        </w:rPr>
      </w:pPr>
      <w:r>
        <w:rPr>
          <w:rFonts w:ascii="Times New Roman" w:cs="Times New Roman" w:eastAsia="Times New Roman" w:hAnsi="Times New Roman"/>
          <w:sz w:val="20"/>
          <w:szCs w:val="20"/>
          <w:color w:val="auto"/>
        </w:rPr>
        <w:t>Finally, by your signature below, you acknowledge each of the following: (a) that you have read this Agreement and the attachment; (b) that you are fully aware of the Agreement’s contents and legal effect;</w:t>
      </w:r>
    </w:p>
    <w:p>
      <w:pPr>
        <w:spacing w:after="0" w:line="2" w:lineRule="exact"/>
        <w:rPr>
          <w:sz w:val="20"/>
          <w:szCs w:val="20"/>
          <w:color w:val="auto"/>
        </w:rPr>
      </w:pPr>
    </w:p>
    <w:p>
      <w:pPr>
        <w:jc w:val="both"/>
        <w:ind w:left="120" w:firstLine="5"/>
        <w:spacing w:after="0" w:line="242" w:lineRule="auto"/>
        <w:tabs>
          <w:tab w:leader="none" w:pos="39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you have been advised to consult with an attorney of your choosing regarding this Agreement; (d) that you have consulted your own counsel to the extent and for the purposes you desired; (e) that you have chosen to enter into this Agreement freely, without coercion and based upon your own judgment and not in reliance upon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promises made by M&amp;T Bank or any of its representatives other than those contained in this Agreement, (f) that, if applicable, you have been given the attached Disclosure Statement, and (g) that as a condition of receiving the Consulting Payments, you will sign the attached General Release and Waiver on your Retirement Date.</w:t>
      </w:r>
    </w:p>
    <w:p>
      <w:pPr>
        <w:spacing w:after="0" w:line="20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Sincerely,</w:t>
      </w:r>
    </w:p>
    <w:p>
      <w:pPr>
        <w:spacing w:after="0" w:line="2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/s/ David Hollis</w:t>
      </w:r>
    </w:p>
    <w:p>
      <w:pPr>
        <w:spacing w:after="0" w:line="2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DAVID HOLLIS</w:t>
      </w:r>
    </w:p>
    <w:p>
      <w:pPr>
        <w:spacing w:after="0" w:line="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SENIOR EXECUTIVE VICE PRESIDENT</w:t>
      </w:r>
    </w:p>
    <w:p>
      <w:pPr>
        <w:ind w:left="4380"/>
        <w:spacing w:after="0"/>
        <w:rPr>
          <w:sz w:val="20"/>
          <w:szCs w:val="20"/>
          <w:color w:val="auto"/>
        </w:rPr>
      </w:pPr>
      <w:r>
        <w:rPr>
          <w:rFonts w:ascii="Times New Roman" w:cs="Times New Roman" w:eastAsia="Times New Roman" w:hAnsi="Times New Roman"/>
          <w:sz w:val="20"/>
          <w:szCs w:val="20"/>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have read and understand the Agreement above and agree to be bound by its terms and conditions.</w:t>
      </w:r>
    </w:p>
    <w:p>
      <w:pPr>
        <w:spacing w:after="0" w:line="200" w:lineRule="exact"/>
        <w:rPr>
          <w:sz w:val="20"/>
          <w:szCs w:val="20"/>
          <w:color w:val="auto"/>
        </w:rPr>
      </w:pPr>
    </w:p>
    <w:p>
      <w:pPr>
        <w:spacing w:after="0" w:line="26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/s/ Doris Meister</w:t>
      </w:r>
    </w:p>
    <w:p>
      <w:pPr>
        <w:spacing w:after="0" w:line="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DORIS MEISTER</w:t>
      </w:r>
    </w:p>
    <w:p>
      <w:pPr>
        <w:spacing w:after="0" w:line="200" w:lineRule="exact"/>
        <w:rPr>
          <w:sz w:val="20"/>
          <w:szCs w:val="20"/>
          <w:color w:val="auto"/>
        </w:rPr>
      </w:pPr>
    </w:p>
    <w:p>
      <w:pPr>
        <w:spacing w:after="0" w:line="2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February 9, 2024</w:t>
      </w:r>
    </w:p>
    <w:p>
      <w:pPr>
        <w:spacing w:after="0" w:line="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1016000</wp:posOffset>
            </wp:positionV>
            <wp:extent cx="7157720" cy="4254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65"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ATTACHMENT</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RELEASE AND WAIVER</w:t>
      </w:r>
    </w:p>
    <w:p>
      <w:pPr>
        <w:spacing w:after="0" w:line="233" w:lineRule="exact"/>
        <w:rPr>
          <w:sz w:val="20"/>
          <w:szCs w:val="20"/>
          <w:color w:val="auto"/>
        </w:rPr>
      </w:pPr>
    </w:p>
    <w:p>
      <w:pPr>
        <w:jc w:val="both"/>
        <w:ind w:right="140" w:firstLine="1497"/>
        <w:spacing w:after="0" w:line="241" w:lineRule="auto"/>
        <w:rPr>
          <w:sz w:val="20"/>
          <w:szCs w:val="20"/>
          <w:color w:val="auto"/>
        </w:rPr>
      </w:pPr>
      <w:r>
        <w:rPr>
          <w:rFonts w:ascii="Times New Roman" w:cs="Times New Roman" w:eastAsia="Times New Roman" w:hAnsi="Times New Roman"/>
          <w:sz w:val="20"/>
          <w:szCs w:val="20"/>
          <w:color w:val="auto"/>
        </w:rPr>
        <w:t>Pursuant to the terms and conditions of the Retirement &amp; Consulting Agreement(“Agreement”) to which this General Release and Waiver (“Release”) is attached, and in consideration of the benefits offered under the Agreement, you agree to release and discharge, and not to institute any suit or action, at law or in equity, against M&amp;T Bank, as defined in the Agreement, on your behalf and on behalf of any person or entity claiming by or through you, from any and all claims of any kind, known and unknown, which you may now have or have ever had against M&amp;T Bank, including claims for compensation, accrued time off work, stock options, bonuses, separation pay and all other claims arising from your employment with M&amp;T Bank or the termination of your employment with M&amp;T Bank, whether based on contract, tort, statute, local ordinance, regulation, common law, or any comparable law in any jurisdiction (“Released Claims”). By way of example and not in limitation, the Released Claims include (all as amended) the Age Discrimination in Employment Act of 1967, the Older Workers Benefit Protection Act, Title VII of the Civil Rights Act of 1964, the Americans with Disabilities Act of 1990, the Equal Pay Act of 1963, the Family and Medical Leave Act of 1993, the federal Worker Adjustment and Retraining Notification Act of 1988, the Employee Retirement Income Security Act of 1974, the Fair Credit Reporting Act of 1970, the Civil Rights Act of 1866 (42 U.S.C. §§ 1981–1988) the New York Human Rights Law, as well as any claims asserting wrongful termination, breach of contract, breach of the covenant of good faith and fair dealing, negligent or intentional infliction of emotional distress, negligent or intentional misrepresentation, negligent or intentional interference with contract or prospective economic advantage, and defamation and any other federal, state or local law, rule, regulation, executive order or guidelines relating to discrimination, excluding any potential rights or remedies pertaining to retirement benefits or the enforcement of this Release, from the beginning of the world through the date of this Release, and the continuing effects thereof.</w:t>
      </w:r>
    </w:p>
    <w:p>
      <w:pPr>
        <w:spacing w:after="0" w:line="84" w:lineRule="exact"/>
        <w:rPr>
          <w:sz w:val="20"/>
          <w:szCs w:val="20"/>
          <w:color w:val="auto"/>
        </w:rPr>
      </w:pPr>
    </w:p>
    <w:p>
      <w:pPr>
        <w:jc w:val="both"/>
        <w:ind w:right="160" w:firstLine="1497"/>
        <w:spacing w:after="0" w:line="249" w:lineRule="auto"/>
        <w:rPr>
          <w:sz w:val="20"/>
          <w:szCs w:val="20"/>
          <w:color w:val="auto"/>
        </w:rPr>
      </w:pPr>
      <w:r>
        <w:rPr>
          <w:rFonts w:ascii="Times New Roman" w:cs="Times New Roman" w:eastAsia="Times New Roman" w:hAnsi="Times New Roman"/>
          <w:sz w:val="20"/>
          <w:szCs w:val="20"/>
          <w:color w:val="auto"/>
        </w:rPr>
        <w:t>This Release covers both claims that you know about and those that you may not know about at this time. The Released Claims do not include any claim: (1) to enforce the Agreement; (2) that arises exclusively after the date you execute the Release; (3) to undisputed vested benefits under an employee benefit plan governed by ERISA; (4) that you may have for COBRA benefits; and (5) that cannot be released as a matter of law, such as claims for statutory unemployment or statutory workers’ compensation benefits.</w:t>
      </w:r>
    </w:p>
    <w:p>
      <w:pPr>
        <w:spacing w:after="0" w:line="180" w:lineRule="exact"/>
        <w:rPr>
          <w:sz w:val="20"/>
          <w:szCs w:val="20"/>
          <w:color w:val="auto"/>
        </w:rPr>
      </w:pPr>
    </w:p>
    <w:p>
      <w:pPr>
        <w:jc w:val="both"/>
        <w:ind w:right="140" w:firstLine="1497"/>
        <w:spacing w:after="0" w:line="245" w:lineRule="auto"/>
        <w:rPr>
          <w:sz w:val="20"/>
          <w:szCs w:val="20"/>
          <w:color w:val="auto"/>
        </w:rPr>
      </w:pPr>
      <w:r>
        <w:rPr>
          <w:rFonts w:ascii="Times New Roman" w:cs="Times New Roman" w:eastAsia="Times New Roman" w:hAnsi="Times New Roman"/>
          <w:sz w:val="20"/>
          <w:szCs w:val="20"/>
          <w:color w:val="auto"/>
        </w:rPr>
        <w:t>Nothing in the Agreement or the Release limits your rights, protected under law, to file a charge or communicate with or otherwise participate in any investigation or proceeding conducted by the Securities and Exchange Commission, the Financial Industry Regulatory Authority, the U.S. Department of Justice, the Occupational Safety and Health Administration, the Equal Employment Opportunity Commission, the National Labor Relations Board, or any other government agency charged with enforcement of any law; however, in view of the payments and benefits provided to you, to the maximum extent permitted by law, you waive and release any and all rights you have to recover any damages or individual monetary relief as a result of such charge, communication, or participation.</w:t>
      </w:r>
    </w:p>
    <w:p>
      <w:pPr>
        <w:spacing w:after="0" w:line="184" w:lineRule="exact"/>
        <w:rPr>
          <w:sz w:val="20"/>
          <w:szCs w:val="20"/>
          <w:color w:val="auto"/>
        </w:rPr>
      </w:pPr>
    </w:p>
    <w:p>
      <w:pPr>
        <w:jc w:val="both"/>
        <w:ind w:right="140" w:firstLine="1497"/>
        <w:spacing w:after="0" w:line="254" w:lineRule="auto"/>
        <w:rPr>
          <w:sz w:val="20"/>
          <w:szCs w:val="20"/>
          <w:color w:val="auto"/>
        </w:rPr>
      </w:pPr>
      <w:r>
        <w:rPr>
          <w:rFonts w:ascii="Times New Roman" w:cs="Times New Roman" w:eastAsia="Times New Roman" w:hAnsi="Times New Roman"/>
          <w:sz w:val="20"/>
          <w:szCs w:val="20"/>
          <w:color w:val="auto"/>
        </w:rPr>
        <w:t>You acknowledge and agree that, prior to executing this Release, you have been advised of your right to discuss it with your private attorney and that to the extent you desired, you have availed yourself of this right. You further acknowledge and agree that you have been provided with a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7" w:name="page88"/>
    <w:bookmarkEnd w:id="87"/>
    <w:p>
      <w:pPr>
        <w:spacing w:after="0" w:line="200" w:lineRule="exact"/>
        <w:rPr>
          <w:sz w:val="20"/>
          <w:szCs w:val="20"/>
          <w:color w:val="auto"/>
        </w:rPr>
      </w:pPr>
    </w:p>
    <w:p>
      <w:pPr>
        <w:spacing w:after="0" w:line="3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period of time, not fewer than 21 calendar days from your receipt of this Release, to consider the terms of this Release and to the extent you have executed this Release within a shorter period of time, you have elected to do so knowingly and voluntarily and not on the basis of any M&amp;T Bank fraud, misrepresentation, or threat to withdraw or alter this offer. You further acknowledge that you have carefully read and fully understand all of the provisions of this Release and that you are VOLUNTARILY entering into this Release. You further acknowledge that any modifications, material or not material to this Release, do not restart the consideration time period.</w:t>
      </w:r>
    </w:p>
    <w:p>
      <w:pPr>
        <w:spacing w:after="0" w:line="185" w:lineRule="exact"/>
        <w:rPr>
          <w:sz w:val="20"/>
          <w:szCs w:val="20"/>
          <w:color w:val="auto"/>
        </w:rPr>
      </w:pPr>
    </w:p>
    <w:p>
      <w:pPr>
        <w:jc w:val="both"/>
        <w:ind w:firstLine="1488"/>
        <w:spacing w:after="0" w:line="234" w:lineRule="auto"/>
        <w:rPr>
          <w:sz w:val="20"/>
          <w:szCs w:val="20"/>
          <w:color w:val="auto"/>
        </w:rPr>
      </w:pPr>
      <w:r>
        <w:rPr>
          <w:rFonts w:ascii="Times New Roman" w:cs="Times New Roman" w:eastAsia="Times New Roman" w:hAnsi="Times New Roman"/>
          <w:sz w:val="20"/>
          <w:szCs w:val="20"/>
          <w:color w:val="auto"/>
        </w:rPr>
        <w:t>You will have seven (7) calendar days after signing this Release to revoke it by delivering written notice of your revocation to Corporate Employee Relations – MRT at One M&amp;T Plaza,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 Buffalo, NY 14203. This Release will become effective on the eighth (8th) day following its execution by you, provided that it has not been revoked by you as set forth in the immediately preceding sentence. If this Release is revoked by you within that 7-day period, you will not be eligible to receive any of the payments or benefits identified in the Agreement.</w:t>
      </w:r>
    </w:p>
    <w:p>
      <w:pPr>
        <w:spacing w:after="0" w:line="189" w:lineRule="exact"/>
        <w:rPr>
          <w:sz w:val="20"/>
          <w:szCs w:val="20"/>
          <w:color w:val="auto"/>
        </w:rPr>
      </w:pPr>
    </w:p>
    <w:p>
      <w:pPr>
        <w:jc w:val="both"/>
        <w:ind w:firstLine="1488"/>
        <w:spacing w:after="0" w:line="246" w:lineRule="auto"/>
        <w:rPr>
          <w:sz w:val="20"/>
          <w:szCs w:val="20"/>
          <w:color w:val="auto"/>
        </w:rPr>
      </w:pPr>
      <w:r>
        <w:rPr>
          <w:rFonts w:ascii="Times New Roman" w:cs="Times New Roman" w:eastAsia="Times New Roman" w:hAnsi="Times New Roman"/>
          <w:sz w:val="20"/>
          <w:szCs w:val="20"/>
          <w:color w:val="auto"/>
        </w:rPr>
        <w:t>By your signature below, you acknowledge each of the following: (a) that you have read this Release; (b) that you are fully aware of the Release’s contents and legal effect; (c) that you have been advised to consult with an attorney of your choosing regarding this Release; (d) that you have consulted your own counsel to the extent and for the purposes you desired; (e) and that you have chosen to enter into this Release freely, without coercion and based upon your own judgment and not in reliance upon any promises made by M&amp;T Bank or any of its representatives other than those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671830</wp:posOffset>
            </wp:positionV>
            <wp:extent cx="1256665"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DORIS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425450</wp:posOffset>
            </wp:positionV>
            <wp:extent cx="1256665"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566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3395980</wp:posOffset>
            </wp:positionV>
            <wp:extent cx="7157720" cy="4254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40" w:right="419" w:bottom="1440" w:gutter="0" w:footer="0" w:header="0"/>
        </w:sectPr>
      </w:pPr>
    </w:p>
    <w:bookmarkStart w:id="88" w:name="page89"/>
    <w:bookmarkEnd w:id="88"/>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ATTACHMENT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Peer Firms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Ally Financial (ALLY)</w:t>
      </w:r>
    </w:p>
    <w:p>
      <w:pPr>
        <w:jc w:val="center"/>
        <w:spacing w:after="0"/>
        <w:rPr>
          <w:sz w:val="20"/>
          <w:szCs w:val="20"/>
          <w:color w:val="auto"/>
        </w:rPr>
      </w:pPr>
      <w:r>
        <w:rPr>
          <w:rFonts w:ascii="Times New Roman" w:cs="Times New Roman" w:eastAsia="Times New Roman" w:hAnsi="Times New Roman"/>
          <w:sz w:val="20"/>
          <w:szCs w:val="20"/>
          <w:color w:val="auto"/>
        </w:rPr>
        <w:t>Bank of America Corporation (BAC)</w:t>
      </w:r>
    </w:p>
    <w:p>
      <w:pPr>
        <w:jc w:val="center"/>
        <w:spacing w:after="0"/>
        <w:rPr>
          <w:sz w:val="20"/>
          <w:szCs w:val="20"/>
          <w:color w:val="auto"/>
        </w:rPr>
      </w:pPr>
      <w:r>
        <w:rPr>
          <w:rFonts w:ascii="Times New Roman" w:cs="Times New Roman" w:eastAsia="Times New Roman" w:hAnsi="Times New Roman"/>
          <w:sz w:val="20"/>
          <w:szCs w:val="20"/>
          <w:color w:val="auto"/>
        </w:rPr>
        <w:t>Bank of New York Mellon Corporation (BK)</w:t>
      </w:r>
    </w:p>
    <w:p>
      <w:pPr>
        <w:jc w:val="center"/>
        <w:spacing w:after="0"/>
        <w:rPr>
          <w:sz w:val="20"/>
          <w:szCs w:val="20"/>
          <w:color w:val="auto"/>
        </w:rPr>
      </w:pPr>
      <w:r>
        <w:rPr>
          <w:rFonts w:ascii="Times New Roman" w:cs="Times New Roman" w:eastAsia="Times New Roman" w:hAnsi="Times New Roman"/>
          <w:sz w:val="20"/>
          <w:szCs w:val="20"/>
          <w:color w:val="auto"/>
        </w:rPr>
        <w:t>Bessemer Trust</w:t>
      </w:r>
    </w:p>
    <w:p>
      <w:pPr>
        <w:jc w:val="center"/>
        <w:spacing w:after="0"/>
        <w:rPr>
          <w:sz w:val="20"/>
          <w:szCs w:val="20"/>
          <w:color w:val="auto"/>
        </w:rPr>
      </w:pPr>
      <w:r>
        <w:rPr>
          <w:rFonts w:ascii="Times New Roman" w:cs="Times New Roman" w:eastAsia="Times New Roman" w:hAnsi="Times New Roman"/>
          <w:sz w:val="20"/>
          <w:szCs w:val="20"/>
          <w:color w:val="auto"/>
        </w:rPr>
        <w:t>BMO Financial Corp (BMO)</w:t>
      </w:r>
    </w:p>
    <w:p>
      <w:pPr>
        <w:jc w:val="center"/>
        <w:spacing w:after="0"/>
        <w:rPr>
          <w:sz w:val="20"/>
          <w:szCs w:val="20"/>
          <w:color w:val="auto"/>
        </w:rPr>
      </w:pPr>
      <w:r>
        <w:rPr>
          <w:rFonts w:ascii="Times New Roman" w:cs="Times New Roman" w:eastAsia="Times New Roman" w:hAnsi="Times New Roman"/>
          <w:sz w:val="20"/>
          <w:szCs w:val="20"/>
          <w:color w:val="auto"/>
        </w:rPr>
        <w:t>Brown Brothers Harriman</w:t>
      </w:r>
    </w:p>
    <w:p>
      <w:pPr>
        <w:jc w:val="center"/>
        <w:spacing w:after="0"/>
        <w:rPr>
          <w:sz w:val="20"/>
          <w:szCs w:val="20"/>
          <w:color w:val="auto"/>
        </w:rPr>
      </w:pPr>
      <w:r>
        <w:rPr>
          <w:rFonts w:ascii="Times New Roman" w:cs="Times New Roman" w:eastAsia="Times New Roman" w:hAnsi="Times New Roman"/>
          <w:sz w:val="20"/>
          <w:szCs w:val="20"/>
          <w:color w:val="auto"/>
        </w:rPr>
        <w:t>Citigroup Inc. (C)</w:t>
      </w:r>
    </w:p>
    <w:p>
      <w:pPr>
        <w:jc w:val="center"/>
        <w:spacing w:after="0"/>
        <w:rPr>
          <w:sz w:val="20"/>
          <w:szCs w:val="20"/>
          <w:color w:val="auto"/>
        </w:rPr>
      </w:pPr>
      <w:r>
        <w:rPr>
          <w:rFonts w:ascii="Times New Roman" w:cs="Times New Roman" w:eastAsia="Times New Roman" w:hAnsi="Times New Roman"/>
          <w:sz w:val="20"/>
          <w:szCs w:val="20"/>
          <w:color w:val="auto"/>
        </w:rPr>
        <w:t>Citizens Financial Group, Inc. (CFG)</w:t>
      </w:r>
    </w:p>
    <w:p>
      <w:pPr>
        <w:jc w:val="center"/>
        <w:spacing w:after="0"/>
        <w:rPr>
          <w:sz w:val="20"/>
          <w:szCs w:val="20"/>
          <w:color w:val="auto"/>
        </w:rPr>
      </w:pPr>
      <w:r>
        <w:rPr>
          <w:rFonts w:ascii="Times New Roman" w:cs="Times New Roman" w:eastAsia="Times New Roman" w:hAnsi="Times New Roman"/>
          <w:sz w:val="20"/>
          <w:szCs w:val="20"/>
          <w:color w:val="auto"/>
        </w:rPr>
        <w:t>Comerica Incorporated (CMA)</w:t>
      </w:r>
    </w:p>
    <w:p>
      <w:pPr>
        <w:jc w:val="center"/>
        <w:spacing w:after="0"/>
        <w:rPr>
          <w:sz w:val="20"/>
          <w:szCs w:val="20"/>
          <w:color w:val="auto"/>
        </w:rPr>
      </w:pPr>
      <w:r>
        <w:rPr>
          <w:rFonts w:ascii="Times New Roman" w:cs="Times New Roman" w:eastAsia="Times New Roman" w:hAnsi="Times New Roman"/>
          <w:sz w:val="20"/>
          <w:szCs w:val="20"/>
          <w:color w:val="auto"/>
        </w:rPr>
        <w:t>Credit Suisse Group AG (CS)</w:t>
      </w:r>
    </w:p>
    <w:p>
      <w:pPr>
        <w:jc w:val="center"/>
        <w:spacing w:after="0"/>
        <w:rPr>
          <w:sz w:val="20"/>
          <w:szCs w:val="20"/>
          <w:color w:val="auto"/>
        </w:rPr>
      </w:pPr>
      <w:r>
        <w:rPr>
          <w:rFonts w:ascii="Times New Roman" w:cs="Times New Roman" w:eastAsia="Times New Roman" w:hAnsi="Times New Roman"/>
          <w:sz w:val="20"/>
          <w:szCs w:val="20"/>
          <w:color w:val="auto"/>
        </w:rPr>
        <w:t>Fifth Third Bancorp (FITB)</w:t>
      </w:r>
    </w:p>
    <w:p>
      <w:pPr>
        <w:jc w:val="center"/>
        <w:spacing w:after="0"/>
        <w:rPr>
          <w:sz w:val="20"/>
          <w:szCs w:val="20"/>
          <w:color w:val="auto"/>
        </w:rPr>
      </w:pPr>
      <w:r>
        <w:rPr>
          <w:rFonts w:ascii="Times New Roman" w:cs="Times New Roman" w:eastAsia="Times New Roman" w:hAnsi="Times New Roman"/>
          <w:sz w:val="20"/>
          <w:szCs w:val="20"/>
          <w:color w:val="auto"/>
        </w:rPr>
        <w:t>First Citizens Bancshares, Inc. (FCNCA)</w:t>
      </w:r>
    </w:p>
    <w:p>
      <w:pPr>
        <w:jc w:val="center"/>
        <w:spacing w:after="0"/>
        <w:rPr>
          <w:sz w:val="20"/>
          <w:szCs w:val="20"/>
          <w:color w:val="auto"/>
        </w:rPr>
      </w:pPr>
      <w:r>
        <w:rPr>
          <w:rFonts w:ascii="Times New Roman" w:cs="Times New Roman" w:eastAsia="Times New Roman" w:hAnsi="Times New Roman"/>
          <w:sz w:val="20"/>
          <w:szCs w:val="20"/>
          <w:color w:val="auto"/>
        </w:rPr>
        <w:t>First Horizon National Corporation (FHN)</w:t>
      </w:r>
    </w:p>
    <w:p>
      <w:pPr>
        <w:jc w:val="center"/>
        <w:spacing w:after="0"/>
        <w:rPr>
          <w:sz w:val="20"/>
          <w:szCs w:val="20"/>
          <w:color w:val="auto"/>
        </w:rPr>
      </w:pPr>
      <w:r>
        <w:rPr>
          <w:rFonts w:ascii="Times New Roman" w:cs="Times New Roman" w:eastAsia="Times New Roman" w:hAnsi="Times New Roman"/>
          <w:sz w:val="20"/>
          <w:szCs w:val="20"/>
          <w:color w:val="auto"/>
        </w:rPr>
        <w:t>Goldman Sachs Group, Inc. (GS)</w:t>
      </w:r>
    </w:p>
    <w:p>
      <w:pPr>
        <w:jc w:val="center"/>
        <w:spacing w:after="0"/>
        <w:rPr>
          <w:sz w:val="20"/>
          <w:szCs w:val="20"/>
          <w:color w:val="auto"/>
        </w:rPr>
      </w:pPr>
      <w:r>
        <w:rPr>
          <w:rFonts w:ascii="Times New Roman" w:cs="Times New Roman" w:eastAsia="Times New Roman" w:hAnsi="Times New Roman"/>
          <w:sz w:val="19"/>
          <w:szCs w:val="19"/>
          <w:color w:val="auto"/>
        </w:rPr>
        <w:t>Huntington Bancshares Incorporated (HBAN)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JP Morgan Chase &amp; Co. (JPM)</w:t>
      </w:r>
    </w:p>
    <w:p>
      <w:pPr>
        <w:jc w:val="center"/>
        <w:spacing w:after="0"/>
        <w:rPr>
          <w:sz w:val="20"/>
          <w:szCs w:val="20"/>
          <w:color w:val="auto"/>
        </w:rPr>
      </w:pPr>
      <w:r>
        <w:rPr>
          <w:rFonts w:ascii="Times New Roman" w:cs="Times New Roman" w:eastAsia="Times New Roman" w:hAnsi="Times New Roman"/>
          <w:sz w:val="20"/>
          <w:szCs w:val="20"/>
          <w:color w:val="auto"/>
        </w:rPr>
        <w:t>KeyCorp (KEY)</w:t>
      </w:r>
    </w:p>
    <w:p>
      <w:pPr>
        <w:jc w:val="center"/>
        <w:spacing w:after="0"/>
        <w:rPr>
          <w:sz w:val="20"/>
          <w:szCs w:val="20"/>
          <w:color w:val="auto"/>
        </w:rPr>
      </w:pPr>
      <w:r>
        <w:rPr>
          <w:rFonts w:ascii="Times New Roman" w:cs="Times New Roman" w:eastAsia="Times New Roman" w:hAnsi="Times New Roman"/>
          <w:sz w:val="20"/>
          <w:szCs w:val="20"/>
          <w:color w:val="auto"/>
        </w:rPr>
        <w:t>Morgan Stanley (MS)</w:t>
      </w:r>
    </w:p>
    <w:p>
      <w:pPr>
        <w:jc w:val="center"/>
        <w:spacing w:after="0"/>
        <w:rPr>
          <w:sz w:val="20"/>
          <w:szCs w:val="20"/>
          <w:color w:val="auto"/>
        </w:rPr>
      </w:pPr>
      <w:r>
        <w:rPr>
          <w:rFonts w:ascii="Times New Roman" w:cs="Times New Roman" w:eastAsia="Times New Roman" w:hAnsi="Times New Roman"/>
          <w:sz w:val="20"/>
          <w:szCs w:val="20"/>
          <w:color w:val="auto"/>
        </w:rPr>
        <w:t>Northern Trust Corporation (NTRS)</w:t>
      </w:r>
    </w:p>
    <w:p>
      <w:pPr>
        <w:jc w:val="center"/>
        <w:spacing w:after="0"/>
        <w:rPr>
          <w:sz w:val="20"/>
          <w:szCs w:val="20"/>
          <w:color w:val="auto"/>
        </w:rPr>
      </w:pPr>
      <w:r>
        <w:rPr>
          <w:rFonts w:ascii="Times New Roman" w:cs="Times New Roman" w:eastAsia="Times New Roman" w:hAnsi="Times New Roman"/>
          <w:sz w:val="20"/>
          <w:szCs w:val="20"/>
          <w:color w:val="auto"/>
        </w:rPr>
        <w:t>PNC Financial Services Group, Inc. (PNC)</w:t>
      </w:r>
    </w:p>
    <w:p>
      <w:pPr>
        <w:jc w:val="center"/>
        <w:spacing w:after="0"/>
        <w:rPr>
          <w:sz w:val="20"/>
          <w:szCs w:val="20"/>
          <w:color w:val="auto"/>
        </w:rPr>
      </w:pPr>
      <w:r>
        <w:rPr>
          <w:rFonts w:ascii="Times New Roman" w:cs="Times New Roman" w:eastAsia="Times New Roman" w:hAnsi="Times New Roman"/>
          <w:sz w:val="20"/>
          <w:szCs w:val="20"/>
          <w:color w:val="auto"/>
        </w:rPr>
        <w:t>Regions Financial Corporation (RF)</w:t>
      </w:r>
    </w:p>
    <w:p>
      <w:pPr>
        <w:jc w:val="center"/>
        <w:spacing w:after="0"/>
        <w:rPr>
          <w:sz w:val="20"/>
          <w:szCs w:val="20"/>
          <w:color w:val="auto"/>
        </w:rPr>
      </w:pPr>
      <w:r>
        <w:rPr>
          <w:rFonts w:ascii="Times New Roman" w:cs="Times New Roman" w:eastAsia="Times New Roman" w:hAnsi="Times New Roman"/>
          <w:sz w:val="20"/>
          <w:szCs w:val="20"/>
          <w:color w:val="auto"/>
        </w:rPr>
        <w:t>State Street Corporation (STT)</w:t>
      </w:r>
    </w:p>
    <w:p>
      <w:pPr>
        <w:jc w:val="center"/>
        <w:spacing w:after="0"/>
        <w:rPr>
          <w:sz w:val="20"/>
          <w:szCs w:val="20"/>
          <w:color w:val="auto"/>
        </w:rPr>
      </w:pPr>
      <w:r>
        <w:rPr>
          <w:rFonts w:ascii="Times New Roman" w:cs="Times New Roman" w:eastAsia="Times New Roman" w:hAnsi="Times New Roman"/>
          <w:sz w:val="20"/>
          <w:szCs w:val="20"/>
          <w:color w:val="auto"/>
        </w:rPr>
        <w:t>TD Group Holdings, LLC (TD)</w:t>
      </w:r>
    </w:p>
    <w:p>
      <w:pPr>
        <w:jc w:val="center"/>
        <w:spacing w:after="0"/>
        <w:rPr>
          <w:sz w:val="20"/>
          <w:szCs w:val="20"/>
          <w:color w:val="auto"/>
        </w:rPr>
      </w:pPr>
      <w:r>
        <w:rPr>
          <w:rFonts w:ascii="Times New Roman" w:cs="Times New Roman" w:eastAsia="Times New Roman" w:hAnsi="Times New Roman"/>
          <w:sz w:val="20"/>
          <w:szCs w:val="20"/>
          <w:color w:val="auto"/>
        </w:rPr>
        <w:t>Truist Financial Corporation (TFC)</w:t>
      </w:r>
    </w:p>
    <w:p>
      <w:pPr>
        <w:jc w:val="center"/>
        <w:spacing w:after="0"/>
        <w:rPr>
          <w:sz w:val="20"/>
          <w:szCs w:val="20"/>
          <w:color w:val="auto"/>
        </w:rPr>
      </w:pPr>
      <w:r>
        <w:rPr>
          <w:rFonts w:ascii="Times New Roman" w:cs="Times New Roman" w:eastAsia="Times New Roman" w:hAnsi="Times New Roman"/>
          <w:sz w:val="20"/>
          <w:szCs w:val="20"/>
          <w:color w:val="auto"/>
        </w:rPr>
        <w:t>UBS Group (UBS)</w:t>
      </w:r>
    </w:p>
    <w:p>
      <w:pPr>
        <w:jc w:val="center"/>
        <w:spacing w:after="0"/>
        <w:rPr>
          <w:sz w:val="20"/>
          <w:szCs w:val="20"/>
          <w:color w:val="auto"/>
        </w:rPr>
      </w:pPr>
      <w:r>
        <w:rPr>
          <w:rFonts w:ascii="Times New Roman" w:cs="Times New Roman" w:eastAsia="Times New Roman" w:hAnsi="Times New Roman"/>
          <w:sz w:val="20"/>
          <w:szCs w:val="20"/>
          <w:color w:val="auto"/>
        </w:rPr>
        <w:t>UMB Financial Corporation (UMBF)</w:t>
      </w:r>
    </w:p>
    <w:p>
      <w:pPr>
        <w:jc w:val="center"/>
        <w:spacing w:after="0"/>
        <w:rPr>
          <w:sz w:val="20"/>
          <w:szCs w:val="20"/>
          <w:color w:val="auto"/>
        </w:rPr>
      </w:pPr>
      <w:r>
        <w:rPr>
          <w:rFonts w:ascii="Times New Roman" w:cs="Times New Roman" w:eastAsia="Times New Roman" w:hAnsi="Times New Roman"/>
          <w:sz w:val="20"/>
          <w:szCs w:val="20"/>
          <w:color w:val="auto"/>
        </w:rPr>
        <w:t>U.S. Bancorp (USB)</w:t>
      </w:r>
    </w:p>
    <w:p>
      <w:pPr>
        <w:jc w:val="center"/>
        <w:spacing w:after="0"/>
        <w:rPr>
          <w:sz w:val="20"/>
          <w:szCs w:val="20"/>
          <w:color w:val="auto"/>
        </w:rPr>
      </w:pPr>
      <w:r>
        <w:rPr>
          <w:rFonts w:ascii="Times New Roman" w:cs="Times New Roman" w:eastAsia="Times New Roman" w:hAnsi="Times New Roman"/>
          <w:sz w:val="20"/>
          <w:szCs w:val="20"/>
          <w:color w:val="auto"/>
        </w:rPr>
        <w:t>Wells Fargo &amp; Co. (WFC)</w:t>
      </w:r>
    </w:p>
    <w:p>
      <w:pPr>
        <w:jc w:val="center"/>
        <w:spacing w:after="0"/>
        <w:rPr>
          <w:sz w:val="20"/>
          <w:szCs w:val="20"/>
          <w:color w:val="auto"/>
        </w:rPr>
      </w:pPr>
      <w:r>
        <w:rPr>
          <w:rFonts w:ascii="Times New Roman" w:cs="Times New Roman" w:eastAsia="Times New Roman" w:hAnsi="Times New Roman"/>
          <w:sz w:val="20"/>
          <w:szCs w:val="20"/>
          <w:color w:val="auto"/>
        </w:rPr>
        <w:t>Zions Bancorporation (ZION)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1059180</wp:posOffset>
            </wp:positionV>
            <wp:extent cx="7157720" cy="4254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René F. Jones, certify that:</w:t>
      </w:r>
    </w:p>
    <w:p>
      <w:pPr>
        <w:spacing w:after="0" w:line="245" w:lineRule="exact"/>
        <w:rPr>
          <w:sz w:val="20"/>
          <w:szCs w:val="20"/>
          <w:color w:val="auto"/>
        </w:rPr>
      </w:pPr>
    </w:p>
    <w:p>
      <w:pPr>
        <w:ind w:left="420" w:hanging="412"/>
        <w:spacing w:after="0"/>
        <w:tabs>
          <w:tab w:leader="none" w:pos="4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M&amp;T Bank Corporation;</w:t>
      </w:r>
    </w:p>
    <w:p>
      <w:pPr>
        <w:spacing w:after="0" w:line="244" w:lineRule="exact"/>
        <w:rPr>
          <w:rFonts w:ascii="Times New Roman" w:cs="Times New Roman" w:eastAsia="Times New Roman" w:hAnsi="Times New Roman"/>
          <w:sz w:val="21"/>
          <w:szCs w:val="21"/>
          <w:color w:val="auto"/>
        </w:rPr>
      </w:pPr>
    </w:p>
    <w:p>
      <w:pPr>
        <w:jc w:val="both"/>
        <w:ind w:left="380" w:right="20" w:hanging="372"/>
        <w:spacing w:after="0" w:line="255" w:lineRule="auto"/>
        <w:tabs>
          <w:tab w:leader="none" w:pos="4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21"/>
          <w:szCs w:val="21"/>
          <w:color w:val="auto"/>
        </w:rPr>
      </w:pPr>
    </w:p>
    <w:p>
      <w:pPr>
        <w:jc w:val="both"/>
        <w:ind w:left="380" w:hanging="372"/>
        <w:spacing w:after="0" w:line="255" w:lineRule="auto"/>
        <w:tabs>
          <w:tab w:leader="none" w:pos="4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Times New Roman" w:cs="Times New Roman" w:eastAsia="Times New Roman" w:hAnsi="Times New Roman"/>
          <w:sz w:val="21"/>
          <w:szCs w:val="21"/>
          <w:color w:val="auto"/>
        </w:rPr>
      </w:pPr>
    </w:p>
    <w:p>
      <w:pPr>
        <w:jc w:val="both"/>
        <w:ind w:left="380" w:hanging="372"/>
        <w:spacing w:after="0" w:line="255" w:lineRule="auto"/>
        <w:tabs>
          <w:tab w:leader="none" w:pos="4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21"/>
          <w:szCs w:val="21"/>
          <w:color w:val="auto"/>
        </w:rPr>
      </w:pPr>
    </w:p>
    <w:p>
      <w:pPr>
        <w:jc w:val="both"/>
        <w:ind w:left="760" w:hanging="365"/>
        <w:spacing w:after="0" w:line="255" w:lineRule="auto"/>
        <w:tabs>
          <w:tab w:leader="none" w:pos="813"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21"/>
          <w:szCs w:val="21"/>
          <w:color w:val="auto"/>
        </w:rPr>
      </w:pPr>
    </w:p>
    <w:p>
      <w:pPr>
        <w:jc w:val="both"/>
        <w:ind w:left="760" w:hanging="365"/>
        <w:spacing w:after="0" w:line="255" w:lineRule="auto"/>
        <w:tabs>
          <w:tab w:leader="none" w:pos="813"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21"/>
          <w:szCs w:val="21"/>
          <w:color w:val="auto"/>
        </w:rPr>
      </w:pPr>
    </w:p>
    <w:p>
      <w:pPr>
        <w:jc w:val="both"/>
        <w:ind w:left="760" w:hanging="365"/>
        <w:spacing w:after="0" w:line="255" w:lineRule="auto"/>
        <w:tabs>
          <w:tab w:leader="none" w:pos="813"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21"/>
          <w:szCs w:val="21"/>
          <w:color w:val="auto"/>
        </w:rPr>
      </w:pPr>
    </w:p>
    <w:p>
      <w:pPr>
        <w:jc w:val="both"/>
        <w:ind w:left="760" w:hanging="365"/>
        <w:spacing w:after="0" w:line="255" w:lineRule="auto"/>
        <w:tabs>
          <w:tab w:leader="none" w:pos="813"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21"/>
          <w:szCs w:val="21"/>
          <w:color w:val="auto"/>
        </w:rPr>
      </w:pPr>
    </w:p>
    <w:p>
      <w:pPr>
        <w:jc w:val="both"/>
        <w:ind w:left="380" w:hanging="372"/>
        <w:spacing w:after="0" w:line="255" w:lineRule="auto"/>
        <w:tabs>
          <w:tab w:leader="none" w:pos="4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21"/>
          <w:szCs w:val="21"/>
          <w:color w:val="auto"/>
        </w:rPr>
      </w:pPr>
    </w:p>
    <w:p>
      <w:pPr>
        <w:jc w:val="both"/>
        <w:ind w:left="760" w:hanging="365"/>
        <w:spacing w:after="0" w:line="255" w:lineRule="auto"/>
        <w:tabs>
          <w:tab w:leader="none" w:pos="813"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21"/>
          <w:szCs w:val="21"/>
          <w:color w:val="auto"/>
        </w:rPr>
      </w:pPr>
    </w:p>
    <w:p>
      <w:pPr>
        <w:ind w:left="760" w:right="40" w:hanging="365"/>
        <w:spacing w:after="0" w:line="270" w:lineRule="auto"/>
        <w:tabs>
          <w:tab w:leader="none" w:pos="813"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May 3, 2024</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21590</wp:posOffset>
            </wp:positionV>
            <wp:extent cx="2486025"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René F. Jones</w:t>
      </w:r>
    </w:p>
    <w:p>
      <w:pPr>
        <w:spacing w:after="0" w:line="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Chairman of the Board and</w:t>
      </w:r>
    </w:p>
    <w:p>
      <w:pPr>
        <w:spacing w:after="0" w:line="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1"/>
          <w:szCs w:val="21"/>
          <w:color w:val="auto"/>
        </w:rPr>
        <w:t>EXHIBIT 31.2</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Daryl N. Bible, certify that:</w:t>
      </w:r>
    </w:p>
    <w:p>
      <w:pPr>
        <w:spacing w:after="0" w:line="245" w:lineRule="exact"/>
        <w:rPr>
          <w:sz w:val="20"/>
          <w:szCs w:val="20"/>
          <w:color w:val="auto"/>
        </w:rPr>
      </w:pPr>
    </w:p>
    <w:p>
      <w:pPr>
        <w:ind w:left="420" w:hanging="412"/>
        <w:spacing w:after="0"/>
        <w:tabs>
          <w:tab w:leader="none" w:pos="42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M&amp;T Bank Corporation;</w:t>
      </w:r>
    </w:p>
    <w:p>
      <w:pPr>
        <w:spacing w:after="0" w:line="244" w:lineRule="exact"/>
        <w:rPr>
          <w:rFonts w:ascii="Times New Roman" w:cs="Times New Roman" w:eastAsia="Times New Roman" w:hAnsi="Times New Roman"/>
          <w:sz w:val="21"/>
          <w:szCs w:val="21"/>
          <w:color w:val="auto"/>
        </w:rPr>
      </w:pPr>
    </w:p>
    <w:p>
      <w:pPr>
        <w:jc w:val="both"/>
        <w:ind w:left="380" w:right="20" w:hanging="372"/>
        <w:spacing w:after="0" w:line="255" w:lineRule="auto"/>
        <w:tabs>
          <w:tab w:leader="none" w:pos="42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21"/>
          <w:szCs w:val="21"/>
          <w:color w:val="auto"/>
        </w:rPr>
      </w:pPr>
    </w:p>
    <w:p>
      <w:pPr>
        <w:jc w:val="both"/>
        <w:ind w:left="380" w:hanging="372"/>
        <w:spacing w:after="0" w:line="255" w:lineRule="auto"/>
        <w:tabs>
          <w:tab w:leader="none" w:pos="42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Times New Roman" w:cs="Times New Roman" w:eastAsia="Times New Roman" w:hAnsi="Times New Roman"/>
          <w:sz w:val="21"/>
          <w:szCs w:val="21"/>
          <w:color w:val="auto"/>
        </w:rPr>
      </w:pPr>
    </w:p>
    <w:p>
      <w:pPr>
        <w:jc w:val="both"/>
        <w:ind w:left="380" w:hanging="372"/>
        <w:spacing w:after="0" w:line="255" w:lineRule="auto"/>
        <w:tabs>
          <w:tab w:leader="none" w:pos="42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21"/>
          <w:szCs w:val="21"/>
          <w:color w:val="auto"/>
        </w:rPr>
      </w:pPr>
    </w:p>
    <w:p>
      <w:pPr>
        <w:jc w:val="both"/>
        <w:ind w:left="760" w:hanging="365"/>
        <w:spacing w:after="0" w:line="255" w:lineRule="auto"/>
        <w:tabs>
          <w:tab w:leader="none" w:pos="813"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21"/>
          <w:szCs w:val="21"/>
          <w:color w:val="auto"/>
        </w:rPr>
      </w:pPr>
    </w:p>
    <w:p>
      <w:pPr>
        <w:jc w:val="both"/>
        <w:ind w:left="760" w:hanging="365"/>
        <w:spacing w:after="0" w:line="255" w:lineRule="auto"/>
        <w:tabs>
          <w:tab w:leader="none" w:pos="813"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21"/>
          <w:szCs w:val="21"/>
          <w:color w:val="auto"/>
        </w:rPr>
      </w:pPr>
    </w:p>
    <w:p>
      <w:pPr>
        <w:jc w:val="both"/>
        <w:ind w:left="760" w:hanging="365"/>
        <w:spacing w:after="0" w:line="255" w:lineRule="auto"/>
        <w:tabs>
          <w:tab w:leader="none" w:pos="813"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21"/>
          <w:szCs w:val="21"/>
          <w:color w:val="auto"/>
        </w:rPr>
      </w:pPr>
    </w:p>
    <w:p>
      <w:pPr>
        <w:jc w:val="both"/>
        <w:ind w:left="760" w:hanging="365"/>
        <w:spacing w:after="0" w:line="255" w:lineRule="auto"/>
        <w:tabs>
          <w:tab w:leader="none" w:pos="813"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21"/>
          <w:szCs w:val="21"/>
          <w:color w:val="auto"/>
        </w:rPr>
      </w:pPr>
    </w:p>
    <w:p>
      <w:pPr>
        <w:jc w:val="both"/>
        <w:ind w:left="380" w:hanging="372"/>
        <w:spacing w:after="0" w:line="255" w:lineRule="auto"/>
        <w:tabs>
          <w:tab w:leader="none" w:pos="42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21"/>
          <w:szCs w:val="21"/>
          <w:color w:val="auto"/>
        </w:rPr>
      </w:pPr>
    </w:p>
    <w:p>
      <w:pPr>
        <w:jc w:val="both"/>
        <w:ind w:left="760" w:hanging="365"/>
        <w:spacing w:after="0" w:line="255" w:lineRule="auto"/>
        <w:tabs>
          <w:tab w:leader="none" w:pos="813"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21"/>
          <w:szCs w:val="21"/>
          <w:color w:val="auto"/>
        </w:rPr>
      </w:pPr>
    </w:p>
    <w:p>
      <w:pPr>
        <w:ind w:left="760" w:right="40" w:hanging="365"/>
        <w:spacing w:after="0" w:line="270" w:lineRule="auto"/>
        <w:tabs>
          <w:tab w:leader="none" w:pos="813"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May 3, 2024</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Daryl N. Bible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21590</wp:posOffset>
            </wp:positionV>
            <wp:extent cx="2545715"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Daryl N. Bible</w:t>
      </w:r>
    </w:p>
    <w:p>
      <w:pPr>
        <w:spacing w:after="0" w:line="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Senior Executive Vice President</w:t>
      </w:r>
    </w:p>
    <w:p>
      <w:pPr>
        <w:spacing w:after="0" w:line="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1"/>
          <w:szCs w:val="21"/>
          <w:color w:val="auto"/>
        </w:rPr>
        <w:t>EXHIBIT 32.1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 OF CHIEF EXECUTIVE OFFICER UNDER 18 U.S.C. §1350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René F. Jones, Chairman of the Board and Chief Executive Officer of M&amp;T Bank Corporation, certify, pursuant to Section 906 of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Sarbanes-Oxley Act of 2002, 18 U.S.C. Section 1350, that:</w:t>
      </w:r>
    </w:p>
    <w:p>
      <w:pPr>
        <w:spacing w:after="0" w:line="221" w:lineRule="exact"/>
        <w:rPr>
          <w:sz w:val="20"/>
          <w:szCs w:val="20"/>
          <w:color w:val="auto"/>
        </w:rPr>
      </w:pPr>
    </w:p>
    <w:p>
      <w:pPr>
        <w:ind w:left="1500" w:right="1500" w:hanging="681"/>
        <w:spacing w:after="0" w:line="255" w:lineRule="auto"/>
        <w:tabs>
          <w:tab w:leader="none" w:pos="1228"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M&amp;T Bank Corporation for the quarterly period ended March 31, 2024 (the "Report") fully complies with the requirements of Section 13(a) or 15(d) of the Securities Exchange Act of 1934 (15 U.S.C. 78m or 78o(d)); and</w:t>
      </w:r>
    </w:p>
    <w:p>
      <w:pPr>
        <w:spacing w:after="0" w:line="202" w:lineRule="exact"/>
        <w:rPr>
          <w:rFonts w:ascii="Times New Roman" w:cs="Times New Roman" w:eastAsia="Times New Roman" w:hAnsi="Times New Roman"/>
          <w:sz w:val="21"/>
          <w:szCs w:val="21"/>
          <w:color w:val="auto"/>
        </w:rPr>
      </w:pPr>
    </w:p>
    <w:p>
      <w:pPr>
        <w:ind w:left="1500" w:right="1500" w:hanging="681"/>
        <w:spacing w:after="0" w:line="270" w:lineRule="auto"/>
        <w:tabs>
          <w:tab w:leader="none" w:pos="1228"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M&amp;T Bank Corporation.</w:t>
      </w:r>
    </w:p>
    <w:p>
      <w:pPr>
        <w:spacing w:after="0" w:line="200" w:lineRule="exact"/>
        <w:rPr>
          <w:sz w:val="20"/>
          <w:szCs w:val="20"/>
          <w:color w:val="auto"/>
        </w:rPr>
      </w:pPr>
    </w:p>
    <w:p>
      <w:pPr>
        <w:spacing w:after="0" w:line="22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783080"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René F. Jones</w:t>
      </w:r>
    </w:p>
    <w:p>
      <w:pPr>
        <w:spacing w:after="0" w:line="2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May 3, 2024</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1"/>
          <w:szCs w:val="21"/>
          <w:color w:val="auto"/>
        </w:rPr>
        <w:t>EXHIBIT 32.2</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 OF CHIEF FINANCIAL OFFICER UNDER 18 U.S.C. §1350</w:t>
      </w:r>
    </w:p>
    <w:p>
      <w:pPr>
        <w:spacing w:after="0" w:line="24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I, Daryl N. Bible, Senior Executive Vice President and Chief Financial Officer of M&amp;T Bank Corporation, certify, pursuant to Section 906 of the Sarbanes-Oxley Act of 2002, 18 U.S.C. Section 1350, that:</w:t>
      </w:r>
    </w:p>
    <w:p>
      <w:pPr>
        <w:spacing w:after="0" w:line="186" w:lineRule="exact"/>
        <w:rPr>
          <w:sz w:val="20"/>
          <w:szCs w:val="20"/>
          <w:color w:val="auto"/>
        </w:rPr>
      </w:pPr>
    </w:p>
    <w:p>
      <w:pPr>
        <w:ind w:left="1500" w:right="1500" w:hanging="681"/>
        <w:spacing w:after="0" w:line="255" w:lineRule="auto"/>
        <w:tabs>
          <w:tab w:leader="none" w:pos="1228"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M&amp;T Bank Corporation for the quarterly period ended March 31, 2024 (the "Report") fully complies with the requirements of Section 13(a) or 15(d) of the Securities Exchange Act of 1934 (15 U.S.C. 78m or 78o(d)); and</w:t>
      </w:r>
    </w:p>
    <w:p>
      <w:pPr>
        <w:spacing w:after="0" w:line="202" w:lineRule="exact"/>
        <w:rPr>
          <w:rFonts w:ascii="Times New Roman" w:cs="Times New Roman" w:eastAsia="Times New Roman" w:hAnsi="Times New Roman"/>
          <w:sz w:val="21"/>
          <w:szCs w:val="21"/>
          <w:color w:val="auto"/>
        </w:rPr>
      </w:pPr>
    </w:p>
    <w:p>
      <w:pPr>
        <w:ind w:left="1500" w:right="1500" w:hanging="681"/>
        <w:spacing w:after="0" w:line="270" w:lineRule="auto"/>
        <w:tabs>
          <w:tab w:leader="none" w:pos="1228"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M&amp;T Bank Corporation.</w:t>
      </w:r>
    </w:p>
    <w:p>
      <w:pPr>
        <w:spacing w:after="0" w:line="200" w:lineRule="exact"/>
        <w:rPr>
          <w:sz w:val="20"/>
          <w:szCs w:val="20"/>
          <w:color w:val="auto"/>
        </w:rPr>
      </w:pPr>
    </w:p>
    <w:p>
      <w:pPr>
        <w:spacing w:after="0" w:line="22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/s/ Daryl N. Bible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783080"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Daryl N. Bible</w:t>
      </w:r>
    </w:p>
    <w:p>
      <w:pPr>
        <w:spacing w:after="0" w:line="2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May 3, 2024</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93" w:name="page94"/>
    <w:bookmarkEnd w:id="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lowerLetter"/>
      <w:start w:val="1"/>
    </w:lvl>
  </w:abstractNum>
  <w:abstractNum w:abstractNumId="3">
    <w:nsid w:val="6A2342EC"/>
    <w:multiLevelType w:val="hybridMultilevel"/>
    <w:lvl w:ilvl="0">
      <w:lvlJc w:val="left"/>
      <w:lvlText w:val="(%1)"/>
      <w:numFmt w:val="lowerLetter"/>
      <w:start w:val="1"/>
    </w:lvl>
  </w:abstractNum>
  <w:abstractNum w:abstractNumId="4">
    <w:nsid w:val="2A487CB0"/>
    <w:multiLevelType w:val="hybridMultilevel"/>
    <w:lvl w:ilvl="0">
      <w:lvlJc w:val="left"/>
      <w:lvlText w:val="%1."/>
      <w:numFmt w:val="decimal"/>
      <w:start w:val="4"/>
    </w:lvl>
  </w:abstractNum>
  <w:abstractNum w:abstractNumId="5">
    <w:nsid w:val="1D4ED43B"/>
    <w:multiLevelType w:val="hybridMultilevel"/>
    <w:lvl w:ilvl="0">
      <w:lvlJc w:val="left"/>
      <w:lvlText w:val="%1."/>
      <w:numFmt w:val="decimal"/>
      <w:start w:val="4"/>
    </w:lvl>
  </w:abstractNum>
  <w:abstractNum w:abstractNumId="6">
    <w:nsid w:val="725A06FB"/>
    <w:multiLevelType w:val="hybridMultilevel"/>
    <w:lvl w:ilvl="0">
      <w:lvlJc w:val="left"/>
      <w:lvlText w:val="%1."/>
      <w:numFmt w:val="decimal"/>
      <w:start w:val="4"/>
    </w:lvl>
  </w:abstractNum>
  <w:abstractNum w:abstractNumId="7">
    <w:nsid w:val="2CD89A32"/>
    <w:multiLevelType w:val="hybridMultilevel"/>
    <w:lvl w:ilvl="0">
      <w:lvlJc w:val="left"/>
      <w:lvlText w:val="(%1)"/>
      <w:numFmt w:val="lowerLetter"/>
      <w:start w:val="1"/>
    </w:lvl>
    <w:lvl w:ilvl="1">
      <w:lvlJc w:val="left"/>
      <w:lvlText w:val="-"/>
      <w:numFmt w:val="bullet"/>
      <w:start w:val="1"/>
    </w:lvl>
  </w:abstractNum>
  <w:abstractNum w:abstractNumId="8">
    <w:nsid w:val="57E4CCAF"/>
    <w:multiLevelType w:val="hybridMultilevel"/>
    <w:lvl w:ilvl="0">
      <w:lvlJc w:val="left"/>
      <w:lvlText w:val="(%1)"/>
      <w:numFmt w:val="lowerLetter"/>
      <w:start w:val="1"/>
    </w:lvl>
  </w:abstractNum>
  <w:abstractNum w:abstractNumId="9">
    <w:nsid w:val="7A6D8D3C"/>
    <w:multiLevelType w:val="hybridMultilevel"/>
    <w:lvl w:ilvl="0">
      <w:lvlJc w:val="left"/>
      <w:lvlText w:val="(%1)"/>
      <w:numFmt w:val="lowerLetter"/>
      <w:start w:val="1"/>
    </w:lvl>
  </w:abstractNum>
  <w:abstractNum w:abstractNumId="10">
    <w:nsid w:val="4B588F54"/>
    <w:multiLevelType w:val="hybridMultilevel"/>
    <w:lvl w:ilvl="0">
      <w:lvlJc w:val="left"/>
      <w:lvlText w:val="(%1)"/>
      <w:numFmt w:val="lowerLetter"/>
      <w:start w:val="1"/>
    </w:lvl>
  </w:abstractNum>
  <w:abstractNum w:abstractNumId="11">
    <w:nsid w:val="542289EC"/>
    <w:multiLevelType w:val="hybridMultilevel"/>
    <w:lvl w:ilvl="0">
      <w:lvlJc w:val="left"/>
      <w:lvlText w:val="(%1)"/>
      <w:numFmt w:val="lowerLetter"/>
      <w:start w:val="1"/>
    </w:lvl>
  </w:abstractNum>
  <w:abstractNum w:abstractNumId="12">
    <w:nsid w:val="6DE91B18"/>
    <w:multiLevelType w:val="hybridMultilevel"/>
    <w:lvl w:ilvl="0">
      <w:lvlJc w:val="left"/>
      <w:lvlText w:val="(%1)"/>
      <w:numFmt w:val="lowerLetter"/>
      <w:start w:val="1"/>
    </w:lvl>
  </w:abstractNum>
  <w:abstractNum w:abstractNumId="13">
    <w:nsid w:val="38437FDB"/>
    <w:multiLevelType w:val="hybridMultilevel"/>
    <w:lvl w:ilvl="0">
      <w:lvlJc w:val="left"/>
      <w:lvlText w:val="(%1)"/>
      <w:numFmt w:val="lowerLetter"/>
      <w:start w:val="1"/>
    </w:lvl>
    <w:lvl w:ilvl="1">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1)"/>
      <w:numFmt w:val="lowerLetter"/>
      <w:start w:val="1"/>
    </w:lvl>
    <w:lvl w:ilvl="1">
      <w:lvlJc w:val="left"/>
      <w:lvlText w:val="-"/>
      <w:numFmt w:val="bullet"/>
      <w:start w:val="1"/>
    </w:lvl>
  </w:abstractNum>
  <w:abstractNum w:abstractNumId="16">
    <w:nsid w:val="684A481A"/>
    <w:multiLevelType w:val="hybridMultilevel"/>
    <w:lvl w:ilvl="0">
      <w:lvlJc w:val="left"/>
      <w:lvlText w:val="(%1)"/>
      <w:numFmt w:val="lowerLetter"/>
      <w:start w:val="1"/>
    </w:lvl>
  </w:abstractNum>
  <w:abstractNum w:abstractNumId="17">
    <w:nsid w:val="579478FE"/>
    <w:multiLevelType w:val="hybridMultilevel"/>
    <w:lvl w:ilvl="0">
      <w:lvlJc w:val="left"/>
      <w:lvlText w:val="(%1)"/>
      <w:numFmt w:val="lowerLetter"/>
      <w:start w:val="1"/>
    </w:lvl>
  </w:abstractNum>
  <w:abstractNum w:abstractNumId="18">
    <w:nsid w:val="749ABB43"/>
    <w:multiLevelType w:val="hybridMultilevel"/>
    <w:lvl w:ilvl="0">
      <w:lvlJc w:val="left"/>
      <w:lvlText w:val="•"/>
      <w:numFmt w:val="bullet"/>
      <w:start w:val="1"/>
    </w:lvl>
    <w:lvl w:ilvl="1">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1)"/>
      <w:numFmt w:val="lowerLetter"/>
      <w:start w:val="1"/>
    </w:lvl>
  </w:abstractNum>
  <w:abstractNum w:abstractNumId="21">
    <w:nsid w:val="79A1DEAA"/>
    <w:multiLevelType w:val="hybridMultilevel"/>
    <w:lvl w:ilvl="0">
      <w:lvlJc w:val="left"/>
      <w:lvlText w:val="(%1)"/>
      <w:numFmt w:val="lowerLetter"/>
      <w:start w:val="1"/>
    </w:lvl>
  </w:abstractNum>
  <w:abstractNum w:abstractNumId="22">
    <w:nsid w:val="75C6C33A"/>
    <w:multiLevelType w:val="hybridMultilevel"/>
    <w:lvl w:ilvl="0">
      <w:lvlJc w:val="left"/>
      <w:lvlText w:val="(%1)"/>
      <w:numFmt w:val="lowerLetter"/>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lvl w:ilvl="1">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lvl w:ilvl="1">
      <w:lvlJc w:val="left"/>
      <w:lvlText w:val="-"/>
      <w:numFmt w:val="bullet"/>
      <w:start w:val="1"/>
    </w:lvl>
  </w:abstractNum>
  <w:abstractNum w:abstractNumId="27">
    <w:nsid w:val="4F4EF005"/>
    <w:multiLevelType w:val="hybridMultilevel"/>
    <w:lvl w:ilvl="0">
      <w:lvlJc w:val="left"/>
      <w:lvlText w:val="(%1)"/>
      <w:numFmt w:val="lowerLetter"/>
      <w:start w:val="1"/>
    </w:lvl>
  </w:abstractNum>
  <w:abstractNum w:abstractNumId="28">
    <w:nsid w:val="23F9C13C"/>
    <w:multiLevelType w:val="hybridMultilevel"/>
    <w:lvl w:ilvl="0">
      <w:lvlJc w:val="left"/>
      <w:lvlText w:val="(%1)"/>
      <w:numFmt w:val="lowerLetter"/>
      <w:start w:val="1"/>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31">
    <w:nsid w:val="39386575"/>
    <w:multiLevelType w:val="hybridMultilevel"/>
    <w:lvl w:ilvl="0">
      <w:lvlJc w:val="left"/>
      <w:lvlText w:val="(%1)"/>
      <w:numFmt w:val="lowerLetter"/>
      <w:start w:val="1"/>
    </w:lvl>
    <w:lvl w:ilvl="1">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1)"/>
      <w:numFmt w:val="lowerLetter"/>
      <w:start w:val="1"/>
    </w:lvl>
    <w:lvl w:ilvl="1">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1)"/>
      <w:numFmt w:val="lowerLetter"/>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lvl w:ilvl="1">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lvl w:ilvl="1">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lvl w:ilvl="1">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lvl w:ilvl="1">
      <w:lvlJc w:val="left"/>
      <w:lvlText w:val="-"/>
      <w:numFmt w:val="bullet"/>
      <w:start w:val="1"/>
    </w:lvl>
  </w:abstractNum>
  <w:abstractNum w:abstractNumId="47">
    <w:nsid w:val="5FF87E05"/>
    <w:multiLevelType w:val="hybridMultilevel"/>
    <w:lvl w:ilvl="0">
      <w:lvlJc w:val="left"/>
      <w:lvlText w:val="(%1)"/>
      <w:numFmt w:val="lowerLetter"/>
      <w:start w:val="1"/>
    </w:lvl>
    <w:lvl w:ilvl="1">
      <w:lvlJc w:val="left"/>
      <w:lvlText w:val="-"/>
      <w:numFmt w:val="bullet"/>
      <w:start w:val="1"/>
    </w:lvl>
  </w:abstractNum>
  <w:abstractNum w:abstractNumId="48">
    <w:nsid w:val="2F305DEF"/>
    <w:multiLevelType w:val="hybridMultilevel"/>
    <w:lvl w:ilvl="0">
      <w:lvlJc w:val="left"/>
      <w:lvlText w:val="(%1)"/>
      <w:numFmt w:val="lowerLetter"/>
      <w:start w:val="1"/>
    </w:lvl>
  </w:abstractNum>
  <w:abstractNum w:abstractNumId="49">
    <w:nsid w:val="25A70BF7"/>
    <w:multiLevelType w:val="hybridMultilevel"/>
    <w:lvl w:ilvl="0">
      <w:lvlJc w:val="left"/>
      <w:lvlText w:val="(%1)"/>
      <w:numFmt w:val="lowerLetter"/>
      <w:start w:val="1"/>
    </w:lvl>
    <w:lvl w:ilvl="1">
      <w:lvlJc w:val="left"/>
      <w:lvlText w:val="-"/>
      <w:numFmt w:val="bullet"/>
      <w:start w:val="1"/>
    </w:lvl>
  </w:abstractNum>
  <w:abstractNum w:abstractNumId="50">
    <w:nsid w:val="1DBABF00"/>
    <w:multiLevelType w:val="hybridMultilevel"/>
    <w:lvl w:ilvl="0">
      <w:lvlJc w:val="left"/>
      <w:lvlText w:val="(%1)"/>
      <w:numFmt w:val="lowerLetter"/>
      <w:start w:val="1"/>
    </w:lvl>
  </w:abstractNum>
  <w:abstractNum w:abstractNumId="51">
    <w:nsid w:val="4AD084E9"/>
    <w:multiLevelType w:val="hybridMultilevel"/>
    <w:lvl w:ilvl="0">
      <w:lvlJc w:val="left"/>
      <w:lvlText w:val="(%1)"/>
      <w:numFmt w:val="lowerLetter"/>
      <w:start w:val="3"/>
    </w:lvl>
  </w:abstractNum>
  <w:abstractNum w:abstractNumId="52">
    <w:nsid w:val="1F48EAA1"/>
    <w:multiLevelType w:val="hybridMultilevel"/>
    <w:lvl w:ilvl="0">
      <w:lvlJc w:val="left"/>
      <w:lvlText w:val="(%1)"/>
      <w:numFmt w:val="decimal"/>
      <w:start w:val="1"/>
    </w:lvl>
  </w:abstractNum>
  <w:abstractNum w:abstractNumId="53">
    <w:nsid w:val="1381823A"/>
    <w:multiLevelType w:val="hybridMultilevel"/>
    <w:lvl w:ilvl="0">
      <w:lvlJc w:val="left"/>
      <w:lvlText w:val="(%1)"/>
      <w:numFmt w:val="lowerLetter"/>
      <w:start w:val="1"/>
    </w:lvl>
    <w:lvl w:ilvl="1">
      <w:lvlJc w:val="left"/>
      <w:lvlText w:val="%2"/>
      <w:numFmt w:val="lowerLetter"/>
      <w:start w:val="1"/>
    </w:lvl>
  </w:abstractNum>
  <w:abstractNum w:abstractNumId="54">
    <w:nsid w:val="5DB70AE5"/>
    <w:multiLevelType w:val="hybridMultilevel"/>
    <w:lvl w:ilvl="0">
      <w:lvlJc w:val="left"/>
      <w:lvlText w:val="(%1)"/>
      <w:numFmt w:val="lowerLetter"/>
      <w:start w:val="3"/>
    </w:lvl>
    <w:lvl w:ilvl="1">
      <w:lvlJc w:val="left"/>
      <w:lvlText w:val="%2"/>
      <w:numFmt w:val="lowerLetter"/>
      <w:start w:val="1"/>
    </w:lvl>
  </w:abstractNum>
  <w:abstractNum w:abstractNumId="55">
    <w:nsid w:val="100F8FCA"/>
    <w:multiLevelType w:val="hybridMultilevel"/>
    <w:lvl w:ilvl="0">
      <w:lvlJc w:val="left"/>
      <w:lvlText w:val="*"/>
      <w:numFmt w:val="bullet"/>
      <w:start w:val="1"/>
    </w:lvl>
    <w:lvl w:ilvl="1">
      <w:lvlJc w:val="left"/>
      <w:lvlText w:val="%2"/>
      <w:numFmt w:val="decimal"/>
      <w:start w:val="104"/>
    </w:lvl>
    <w:lvl w:ilvl="2">
      <w:lvlJc w:val="left"/>
      <w:lvlText w:val="-"/>
      <w:numFmt w:val="bullet"/>
      <w:start w:val="1"/>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1)"/>
      <w:numFmt w:val="decimal"/>
      <w:start w:val="2"/>
    </w:lvl>
  </w:abstractNum>
  <w:abstractNum w:abstractNumId="58">
    <w:nsid w:val="5F5E7FD0"/>
    <w:multiLevelType w:val="hybridMultilevel"/>
    <w:lvl w:ilvl="0">
      <w:lvlJc w:val="left"/>
      <w:lvlText w:val="(%1)"/>
      <w:numFmt w:val="decimal"/>
      <w:start w:val="3"/>
    </w:lvl>
  </w:abstractNum>
  <w:abstractNum w:abstractNumId="59">
    <w:nsid w:val="98A3148"/>
    <w:multiLevelType w:val="hybridMultilevel"/>
    <w:lvl w:ilvl="0">
      <w:lvlJc w:val="left"/>
      <w:lvlText w:val="%1"/>
      <w:numFmt w:val="lowerLetter"/>
      <w:start w:val="1"/>
    </w:lvl>
    <w:lvl w:ilvl="1">
      <w:lvlJc w:val="left"/>
      <w:lvlText w:val="(%2)"/>
      <w:numFmt w:val="decimal"/>
      <w:start w:val="4"/>
    </w:lvl>
  </w:abstractNum>
  <w:abstractNum w:abstractNumId="60">
    <w:nsid w:val="799D0247"/>
    <w:multiLevelType w:val="hybridMultilevel"/>
    <w:lvl w:ilvl="0">
      <w:lvlJc w:val="left"/>
      <w:lvlText w:val="(%1)"/>
      <w:numFmt w:val="lowerLetter"/>
      <w:start w:val="1"/>
    </w:lvl>
    <w:lvl w:ilvl="1">
      <w:lvlJc w:val="left"/>
      <w:lvlText w:val="%2"/>
      <w:numFmt w:val="decimal"/>
      <w:start w:val="1"/>
    </w:lvl>
  </w:abstractNum>
  <w:abstractNum w:abstractNumId="61">
    <w:nsid w:val="6B94764"/>
    <w:multiLevelType w:val="hybridMultilevel"/>
    <w:lvl w:ilvl="0">
      <w:lvlJc w:val="left"/>
      <w:lvlText w:val="(%1)"/>
      <w:numFmt w:val="lowerLetter"/>
      <w:start w:val="2"/>
    </w:lvl>
    <w:lvl w:ilvl="1">
      <w:lvlJc w:val="left"/>
      <w:lvlText w:val="(%2)"/>
      <w:numFmt w:val="decimal"/>
      <w:start w:val="5"/>
    </w:lvl>
  </w:abstractNum>
  <w:abstractNum w:abstractNumId="62">
    <w:nsid w:val="42C296BD"/>
    <w:multiLevelType w:val="hybridMultilevel"/>
    <w:lvl w:ilvl="0">
      <w:lvlJc w:val="left"/>
      <w:lvlText w:val="(%1)"/>
      <w:numFmt w:val="decimal"/>
      <w:start w:val="6"/>
    </w:lvl>
  </w:abstractNum>
  <w:abstractNum w:abstractNumId="63">
    <w:nsid w:val="168E121F"/>
    <w:multiLevelType w:val="hybridMultilevel"/>
    <w:lvl w:ilvl="0">
      <w:lvlJc w:val="left"/>
      <w:lvlText w:val="(%1)"/>
      <w:numFmt w:val="lowerRoman"/>
      <w:start w:val="2"/>
    </w:lvl>
  </w:abstractNum>
  <w:abstractNum w:abstractNumId="64">
    <w:nsid w:val="1EBA5D23"/>
    <w:multiLevelType w:val="hybridMultilevel"/>
    <w:lvl w:ilvl="0">
      <w:lvlJc w:val="left"/>
      <w:lvlText w:val="(%1)"/>
      <w:numFmt w:val="decimal"/>
      <w:start w:val="7"/>
    </w:lvl>
  </w:abstractNum>
  <w:abstractNum w:abstractNumId="65">
    <w:nsid w:val="661E3F1E"/>
    <w:multiLevelType w:val="hybridMultilevel"/>
    <w:lvl w:ilvl="0">
      <w:lvlJc w:val="left"/>
      <w:lvlText w:val="(%1)"/>
      <w:numFmt w:val="decimal"/>
      <w:start w:val="8"/>
    </w:lvl>
  </w:abstractNum>
  <w:abstractNum w:abstractNumId="66">
    <w:nsid w:val="5DC79EA8"/>
    <w:multiLevelType w:val="hybridMultilevel"/>
    <w:lvl w:ilvl="0">
      <w:lvlJc w:val="left"/>
      <w:lvlText w:val="(%1)"/>
      <w:numFmt w:val="decimal"/>
      <w:start w:val="9"/>
    </w:lvl>
  </w:abstractNum>
  <w:abstractNum w:abstractNumId="67">
    <w:nsid w:val="540A471C"/>
    <w:multiLevelType w:val="hybridMultilevel"/>
    <w:lvl w:ilvl="0">
      <w:lvlJc w:val="left"/>
      <w:lvlText w:val="(%1)"/>
      <w:numFmt w:val="decimal"/>
      <w:start w:val="10"/>
    </w:lvl>
  </w:abstractNum>
  <w:abstractNum w:abstractNumId="68">
    <w:nsid w:val="7BD3EE7B"/>
    <w:multiLevelType w:val="hybridMultilevel"/>
    <w:lvl w:ilvl="0">
      <w:lvlJc w:val="left"/>
      <w:lvlText w:val="(%1)"/>
      <w:numFmt w:val="decimal"/>
      <w:start w:val="11"/>
    </w:lvl>
  </w:abstractNum>
  <w:abstractNum w:abstractNumId="69">
    <w:nsid w:val="51D9C564"/>
    <w:multiLevelType w:val="hybridMultilevel"/>
    <w:lvl w:ilvl="0">
      <w:lvlJc w:val="left"/>
      <w:lvlText w:val="(%1)"/>
      <w:numFmt w:val="decimal"/>
      <w:start w:val="12"/>
    </w:lvl>
  </w:abstractNum>
  <w:abstractNum w:abstractNumId="70">
    <w:nsid w:val="613EFDC5"/>
    <w:multiLevelType w:val="hybridMultilevel"/>
    <w:lvl w:ilvl="0">
      <w:lvlJc w:val="left"/>
      <w:lvlText w:val="(%1)"/>
      <w:numFmt w:val="decimal"/>
      <w:start w:val="13"/>
    </w:lvl>
  </w:abstractNum>
  <w:abstractNum w:abstractNumId="71">
    <w:nsid w:val="BF72B14"/>
    <w:multiLevelType w:val="hybridMultilevel"/>
    <w:lvl w:ilvl="0">
      <w:lvlJc w:val="left"/>
      <w:lvlText w:val="(%1)"/>
      <w:numFmt w:val="decimal"/>
      <w:start w:val="14"/>
    </w:lvl>
  </w:abstractNum>
  <w:abstractNum w:abstractNumId="72">
    <w:nsid w:val="11447B73"/>
    <w:multiLevelType w:val="hybridMultilevel"/>
    <w:lvl w:ilvl="0">
      <w:lvlJc w:val="left"/>
      <w:lvlText w:val="(%1)"/>
      <w:numFmt w:val="decimal"/>
      <w:start w:val="15"/>
    </w:lvl>
  </w:abstractNum>
  <w:abstractNum w:abstractNumId="73">
    <w:nsid w:val="42963E5A"/>
    <w:multiLevelType w:val="hybridMultilevel"/>
    <w:lvl w:ilvl="0">
      <w:lvlJc w:val="left"/>
      <w:lvlText w:val="(%1)"/>
      <w:numFmt w:val="decimal"/>
      <w:start w:val="16"/>
    </w:lvl>
  </w:abstractNum>
  <w:abstractNum w:abstractNumId="74">
    <w:nsid w:val="A0382C5"/>
    <w:multiLevelType w:val="hybridMultilevel"/>
    <w:lvl w:ilvl="0">
      <w:lvlJc w:val="left"/>
      <w:lvlText w:val="(%1)"/>
      <w:numFmt w:val="decimal"/>
      <w:start w:val="17"/>
    </w:lvl>
  </w:abstractNum>
  <w:abstractNum w:abstractNumId="75">
    <w:nsid w:val="8F2B15E"/>
    <w:multiLevelType w:val="hybridMultilevel"/>
    <w:lvl w:ilvl="0">
      <w:lvlJc w:val="left"/>
      <w:lvlText w:val="(%1)"/>
      <w:numFmt w:val="decimal"/>
      <w:start w:val="18"/>
    </w:lvl>
  </w:abstractNum>
  <w:abstractNum w:abstractNumId="76">
    <w:nsid w:val="1A32234B"/>
    <w:multiLevelType w:val="hybridMultilevel"/>
    <w:lvl w:ilvl="0">
      <w:lvlJc w:val="left"/>
      <w:lvlText w:val="(%1)"/>
      <w:numFmt w:val="lowerLetter"/>
      <w:start w:val="3"/>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2024-05-03T14:18:41Z</dcterms:created>
  <dcterms:modified xsi:type="dcterms:W3CDTF">2024-05-03T14:18:41Z</dcterms:modified>
</cp:coreProperties>
</file>