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(Address of principal</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1" w:lineRule="exact"/>
        <w:rPr>
          <w:sz w:val="20"/>
          <w:szCs w:val="20"/>
          <w:color w:val="auto"/>
        </w:rPr>
      </w:pPr>
    </w:p>
    <w:p>
      <w:pPr>
        <w:ind w:left="3200" w:right="160" w:hanging="5039"/>
        <w:spacing w:after="0" w:line="223" w:lineRule="exact"/>
        <w:tabs>
          <w:tab w:leader="none" w:pos="31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October 29, 2010: 119,378,052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September 30,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60" w:type="dxa"/>
            <w:vAlign w:val="bottom"/>
            <w:tcBorders>
              <w:bottom w:val="single" w:sz="8" w:color="auto"/>
            </w:tcBorders>
            <w:gridSpan w:val="24"/>
          </w:tcPr>
          <w:p>
            <w:pPr>
              <w:spacing w:after="0"/>
              <w:rPr>
                <w:sz w:val="20"/>
                <w:szCs w:val="20"/>
                <w:color w:val="auto"/>
              </w:rPr>
            </w:pPr>
            <w:r>
              <w:rPr>
                <w:rFonts w:ascii="Arial" w:cs="Arial" w:eastAsia="Arial" w:hAnsi="Arial"/>
                <w:sz w:val="14"/>
                <w:szCs w:val="14"/>
                <w:color w:val="auto"/>
              </w:rPr>
              <w:t>Table of Contents of Information Required in Report</w:t>
            </w:r>
          </w:p>
        </w:tc>
        <w:tc>
          <w:tcPr>
            <w:tcW w:w="3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169"/>
        </w:trPr>
        <w:tc>
          <w:tcPr>
            <w:tcW w:w="10660" w:type="dxa"/>
            <w:vAlign w:val="bottom"/>
            <w:gridSpan w:val="24"/>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60" w:type="dxa"/>
            <w:vAlign w:val="bottom"/>
            <w:tcBorders>
              <w:top w:val="single" w:sz="8" w:color="0000EE"/>
            </w:tcBorders>
            <w:gridSpan w:val="4"/>
          </w:tcPr>
          <w:p>
            <w:pPr>
              <w:spacing w:after="0"/>
              <w:rPr>
                <w:sz w:val="24"/>
                <w:szCs w:val="24"/>
                <w:color w:val="auto"/>
              </w:rPr>
            </w:pPr>
          </w:p>
        </w:tc>
        <w:tc>
          <w:tcPr>
            <w:tcW w:w="7920" w:type="dxa"/>
            <w:vAlign w:val="bottom"/>
            <w:gridSpan w:val="10"/>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September 30, 2010 and December 31, 2009</w:t>
              </w:r>
            </w:hyperlink>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INCOME — Three and nine months ended September 30, 2010 and 2009</w:t>
              </w:r>
            </w:hyperlink>
          </w:p>
        </w:tc>
        <w:tc>
          <w:tcPr>
            <w:tcW w:w="2160" w:type="dxa"/>
            <w:vAlign w:val="bottom"/>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 OF CASH FLOWS — Nine months ended September 30, 2010 and 2009</w:t>
              </w:r>
            </w:hyperlink>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6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CONSOLIDATED STATEMENT OF CHANGES IN STOCKHOLDERS’ EQUITY — Nine months ended September 30, 2010 and 2009</w:t>
              </w:r>
            </w:hyperlink>
          </w:p>
        </w:tc>
        <w:tc>
          <w:tcPr>
            <w:tcW w:w="2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NOTES TO FINANCIAL STATEMENTS</w:t>
              </w:r>
            </w:hyperlink>
          </w:p>
        </w:tc>
        <w:tc>
          <w:tcPr>
            <w:tcW w:w="7180" w:type="dxa"/>
            <w:vAlign w:val="bottom"/>
            <w:gridSpan w:val="8"/>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2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2. Management’s Discussion and Analysis of Financial Condition and Results of Operations</w:t>
              </w:r>
            </w:hyperlink>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40" w:type="dxa"/>
            <w:vAlign w:val="bottom"/>
            <w:gridSpan w:val="4"/>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Item 4. Controls and Procedures</w:t>
              </w:r>
            </w:hyperlink>
          </w:p>
        </w:tc>
        <w:tc>
          <w:tcPr>
            <w:tcW w:w="8120" w:type="dxa"/>
            <w:vAlign w:val="bottom"/>
            <w:gridSpan w:val="1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24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00">
              <w:r>
                <w:rPr>
                  <w:rFonts w:ascii="Arial" w:cs="Arial" w:eastAsia="Arial" w:hAnsi="Arial"/>
                  <w:sz w:val="18"/>
                  <w:szCs w:val="18"/>
                  <w:color w:val="0000EE"/>
                  <w:w w:val="95"/>
                </w:rPr>
                <w:t>Part II. OTHER INFORMATION</w:t>
              </w:r>
            </w:hyperlink>
          </w:p>
        </w:tc>
        <w:tc>
          <w:tcPr>
            <w:tcW w:w="82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Item 1. Legal Proceedings</w:t>
              </w:r>
            </w:hyperlink>
          </w:p>
        </w:tc>
        <w:tc>
          <w:tcPr>
            <w:tcW w:w="8560" w:type="dxa"/>
            <w:vAlign w:val="bottom"/>
            <w:gridSpan w:val="15"/>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2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1A. Risk Factors</w:t>
              </w:r>
            </w:hyperlink>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Item 2. Unregistered Sales of Equity Securities and Use of Proceeds</w:t>
              </w:r>
            </w:hyperlink>
          </w:p>
        </w:tc>
        <w:tc>
          <w:tcPr>
            <w:tcW w:w="5540" w:type="dxa"/>
            <w:vAlign w:val="bottom"/>
            <w:gridSpan w:val="7"/>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2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3. Defaults Upon Senior Securities</w:t>
              </w:r>
            </w:hyperlink>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Item 4. (Removed and Reserved)</w:t>
              </w:r>
            </w:hyperlink>
          </w:p>
        </w:tc>
        <w:tc>
          <w:tcPr>
            <w:tcW w:w="480" w:type="dxa"/>
            <w:vAlign w:val="bottom"/>
            <w:tcBorders>
              <w:top w:val="single" w:sz="8" w:color="0000EE"/>
            </w:tcBorders>
            <w:gridSpan w:val="2"/>
          </w:tcPr>
          <w:p>
            <w:pPr>
              <w:spacing w:after="0"/>
              <w:rPr>
                <w:sz w:val="24"/>
                <w:szCs w:val="24"/>
                <w:color w:val="auto"/>
              </w:rPr>
            </w:pPr>
          </w:p>
        </w:tc>
        <w:tc>
          <w:tcPr>
            <w:tcW w:w="7580" w:type="dxa"/>
            <w:vAlign w:val="bottom"/>
            <w:gridSpan w:val="9"/>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Item 5. Other Information</w:t>
              </w:r>
            </w:hyperlink>
          </w:p>
        </w:tc>
        <w:tc>
          <w:tcPr>
            <w:tcW w:w="8580" w:type="dxa"/>
            <w:vAlign w:val="bottom"/>
            <w:gridSpan w:val="16"/>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2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6. Exhibits</w:t>
              </w:r>
            </w:hyperlink>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300" w:type="dxa"/>
            <w:vAlign w:val="bottom"/>
            <w:gridSpan w:val="1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10660" w:type="dxa"/>
            <w:vAlign w:val="bottom"/>
            <w:gridSpan w:val="2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SIGNATURES</w:t>
              </w:r>
            </w:hyperlink>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300" w:type="dxa"/>
            <w:vAlign w:val="bottom"/>
            <w:gridSpan w:val="1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1360" w:type="dxa"/>
            <w:vAlign w:val="bottom"/>
            <w:tcBorders>
              <w:bottom w:val="single" w:sz="8" w:color="0000EE"/>
            </w:tcBorders>
            <w:gridSpan w:val="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EXHIBIT INDEX</w:t>
              </w:r>
            </w:hyperlink>
          </w:p>
        </w:tc>
        <w:tc>
          <w:tcPr>
            <w:tcW w:w="9300" w:type="dxa"/>
            <w:vAlign w:val="bottom"/>
            <w:gridSpan w:val="18"/>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EX-31.1</w:t>
            </w:r>
          </w:p>
        </w:tc>
        <w:tc>
          <w:tcPr>
            <w:tcW w:w="10000" w:type="dxa"/>
            <w:vAlign w:val="bottom"/>
            <w:gridSpan w:val="20"/>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EX-31.2</w:t>
            </w:r>
          </w:p>
        </w:tc>
        <w:tc>
          <w:tcPr>
            <w:tcW w:w="10000" w:type="dxa"/>
            <w:vAlign w:val="bottom"/>
            <w:gridSpan w:val="20"/>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EX-32.1</w:t>
            </w:r>
          </w:p>
        </w:tc>
        <w:tc>
          <w:tcPr>
            <w:tcW w:w="10000" w:type="dxa"/>
            <w:vAlign w:val="bottom"/>
            <w:gridSpan w:val="20"/>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6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40" w:type="dxa"/>
            <w:vAlign w:val="bottom"/>
            <w:gridSpan w:val="2"/>
          </w:tcPr>
          <w:p>
            <w:pPr>
              <w:jc w:val="right"/>
              <w:ind w:right="470"/>
              <w:spacing w:after="0"/>
              <w:rPr>
                <w:sz w:val="20"/>
                <w:szCs w:val="20"/>
                <w:color w:val="auto"/>
              </w:rPr>
            </w:pPr>
            <w:r>
              <w:rPr>
                <w:rFonts w:ascii="Arial" w:cs="Arial" w:eastAsia="Arial" w:hAnsi="Arial"/>
                <w:sz w:val="14"/>
                <w:szCs w:val="14"/>
                <w:color w:val="auto"/>
              </w:rPr>
              <w:t>September 30,</w:t>
            </w:r>
          </w:p>
        </w:tc>
        <w:tc>
          <w:tcPr>
            <w:tcW w:w="1620" w:type="dxa"/>
            <w:vAlign w:val="bottom"/>
          </w:tcPr>
          <w:p>
            <w:pPr>
              <w:jc w:val="right"/>
              <w:ind w:right="211"/>
              <w:spacing w:after="0"/>
              <w:rPr>
                <w:sz w:val="20"/>
                <w:szCs w:val="20"/>
                <w:color w:val="auto"/>
              </w:rPr>
            </w:pPr>
            <w:r>
              <w:rPr>
                <w:rFonts w:ascii="Arial" w:cs="Arial" w:eastAsia="Arial" w:hAnsi="Arial"/>
                <w:sz w:val="14"/>
                <w:szCs w:val="14"/>
                <w:color w:val="auto"/>
              </w:rPr>
              <w:t>December 31,</w:t>
            </w:r>
          </w:p>
        </w:tc>
      </w:tr>
      <w:tr>
        <w:trPr>
          <w:trHeight w:val="174"/>
        </w:trPr>
        <w:tc>
          <w:tcPr>
            <w:tcW w:w="796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460" w:type="dxa"/>
            <w:vAlign w:val="bottom"/>
          </w:tcPr>
          <w:p>
            <w:pPr>
              <w:spacing w:after="0"/>
              <w:rPr>
                <w:sz w:val="15"/>
                <w:szCs w:val="15"/>
                <w:color w:val="auto"/>
              </w:rPr>
            </w:pPr>
          </w:p>
        </w:tc>
        <w:tc>
          <w:tcPr>
            <w:tcW w:w="1380" w:type="dxa"/>
            <w:vAlign w:val="bottom"/>
          </w:tcPr>
          <w:p>
            <w:pPr>
              <w:jc w:val="right"/>
              <w:ind w:right="750"/>
              <w:spacing w:after="0"/>
              <w:rPr>
                <w:sz w:val="20"/>
                <w:szCs w:val="20"/>
                <w:color w:val="auto"/>
              </w:rPr>
            </w:pPr>
            <w:r>
              <w:rPr>
                <w:rFonts w:ascii="Arial" w:cs="Arial" w:eastAsia="Arial" w:hAnsi="Arial"/>
                <w:sz w:val="14"/>
                <w:szCs w:val="14"/>
                <w:color w:val="auto"/>
              </w:rPr>
              <w:t>2010</w:t>
            </w:r>
          </w:p>
        </w:tc>
        <w:tc>
          <w:tcPr>
            <w:tcW w:w="1620" w:type="dxa"/>
            <w:vAlign w:val="bottom"/>
          </w:tcPr>
          <w:p>
            <w:pPr>
              <w:jc w:val="right"/>
              <w:ind w:right="471"/>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7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Cash and due from banks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1,070,625</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1,226,223</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401,624</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133,335</w:t>
            </w:r>
          </w:p>
        </w:tc>
      </w:tr>
      <w:tr>
        <w:trPr>
          <w:trHeight w:val="216"/>
        </w:trPr>
        <w:tc>
          <w:tcPr>
            <w:tcW w:w="20" w:type="dxa"/>
            <w:vAlign w:val="bottom"/>
          </w:tcPr>
          <w:p>
            <w:pPr>
              <w:spacing w:after="0"/>
              <w:rPr>
                <w:sz w:val="18"/>
                <w:szCs w:val="18"/>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Federal funds sold</w:t>
            </w:r>
          </w:p>
        </w:tc>
        <w:tc>
          <w:tcPr>
            <w:tcW w:w="46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18,700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20,119</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Agreements to resell securities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425,000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Trading account</w:t>
            </w:r>
          </w:p>
        </w:tc>
        <w:tc>
          <w:tcPr>
            <w:tcW w:w="46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536,702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386,984</w:t>
            </w: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ind w:left="1920"/>
              <w:spacing w:after="0" w:line="201" w:lineRule="exact"/>
              <w:rPr>
                <w:sz w:val="20"/>
                <w:szCs w:val="20"/>
                <w:color w:val="auto"/>
              </w:rPr>
            </w:pPr>
            <w:r>
              <w:rPr>
                <w:rFonts w:ascii="Arial" w:cs="Arial" w:eastAsia="Arial" w:hAnsi="Arial"/>
                <w:sz w:val="18"/>
                <w:szCs w:val="18"/>
                <w:color w:val="auto"/>
              </w:rPr>
              <w:t>Investment securities (includes pledged securities that can be sold or</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repledged of $1,807,027 at September 30, 2010; $1,797,701 at</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20" w:type="dxa"/>
            <w:vAlign w:val="bottom"/>
          </w:tcPr>
          <w:p>
            <w:pPr>
              <w:ind w:left="200"/>
              <w:spacing w:after="0" w:line="201" w:lineRule="exact"/>
              <w:rPr>
                <w:sz w:val="20"/>
                <w:szCs w:val="20"/>
                <w:color w:val="auto"/>
              </w:rPr>
            </w:pPr>
            <w:r>
              <w:rPr>
                <w:rFonts w:ascii="Arial" w:cs="Arial" w:eastAsia="Arial" w:hAnsi="Arial"/>
                <w:sz w:val="18"/>
                <w:szCs w:val="18"/>
                <w:color w:val="auto"/>
                <w:w w:val="98"/>
              </w:rPr>
              <w:t>Available for sale (cost: $5,852,314 at September 30, 2010; $6,997,009 at</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20" w:type="dxa"/>
            <w:vAlign w:val="bottom"/>
          </w:tcPr>
          <w:p>
            <w:pPr>
              <w:ind w:left="400"/>
              <w:spacing w:after="0"/>
              <w:rPr>
                <w:sz w:val="20"/>
                <w:szCs w:val="20"/>
                <w:color w:val="auto"/>
              </w:rPr>
            </w:pPr>
            <w:r>
              <w:rPr>
                <w:rFonts w:ascii="Arial" w:cs="Arial" w:eastAsia="Arial" w:hAnsi="Arial"/>
                <w:sz w:val="18"/>
                <w:szCs w:val="18"/>
                <w:color w:val="auto"/>
              </w:rPr>
              <w:t>December 31, 2009)</w:t>
            </w:r>
          </w:p>
        </w:tc>
        <w:tc>
          <w:tcPr>
            <w:tcW w:w="46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5,783,496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6,704,378</w:t>
            </w:r>
          </w:p>
        </w:tc>
      </w:tr>
      <w:tr>
        <w:trPr>
          <w:trHeight w:val="202"/>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0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Held to maturity (fair value: $1,338,044 at September 30, 2010; $416,483</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at December 31, 2009)</w:t>
            </w: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1,425,717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567,607</w:t>
            </w:r>
          </w:p>
        </w:tc>
      </w:tr>
      <w:tr>
        <w:trPr>
          <w:trHeight w:val="202"/>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20" w:type="dxa"/>
            <w:vAlign w:val="bottom"/>
          </w:tcPr>
          <w:p>
            <w:pPr>
              <w:ind w:left="200"/>
              <w:spacing w:after="0" w:line="201" w:lineRule="exact"/>
              <w:rPr>
                <w:sz w:val="20"/>
                <w:szCs w:val="20"/>
                <w:color w:val="auto"/>
              </w:rPr>
            </w:pPr>
            <w:r>
              <w:rPr>
                <w:rFonts w:ascii="Arial" w:cs="Arial" w:eastAsia="Arial" w:hAnsi="Arial"/>
                <w:sz w:val="18"/>
                <w:szCs w:val="18"/>
                <w:color w:val="auto"/>
              </w:rPr>
              <w:t>Other (fair value: $453,502 at September 30, 2010; $508,624 at</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December 31, 2009)</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453,502</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508,624</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investment securities</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7,662,715</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7,780,609</w:t>
            </w: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88"/>
              </w:rPr>
              <w:t>51,129,133</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52,306,457</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discount</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(337,575)</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(369,771)</w:t>
            </w: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Allowance for credit losses</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(894,720)</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(878,022)</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Loans and leases, net</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49,896,838</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51,058,664</w:t>
            </w: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Premises and equipment</w:t>
            </w:r>
          </w:p>
        </w:tc>
        <w:tc>
          <w:tcPr>
            <w:tcW w:w="4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421,352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435,845</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3,524,625</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3,524,625</w:t>
            </w:r>
          </w:p>
        </w:tc>
      </w:tr>
      <w:tr>
        <w:trPr>
          <w:trHeight w:val="216"/>
        </w:trPr>
        <w:tc>
          <w:tcPr>
            <w:tcW w:w="20" w:type="dxa"/>
            <w:vAlign w:val="bottom"/>
          </w:tcPr>
          <w:p>
            <w:pPr>
              <w:spacing w:after="0"/>
              <w:rPr>
                <w:sz w:val="18"/>
                <w:szCs w:val="18"/>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Core deposit and other intangible assets</w:t>
            </w:r>
          </w:p>
        </w:tc>
        <w:tc>
          <w:tcPr>
            <w:tcW w:w="46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139,186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182,418</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Accrued interest and other assets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4,149,470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4,131,577</w:t>
            </w:r>
          </w:p>
        </w:tc>
      </w:tr>
      <w:tr>
        <w:trPr>
          <w:trHeight w:val="223"/>
        </w:trPr>
        <w:tc>
          <w:tcPr>
            <w:tcW w:w="20" w:type="dxa"/>
            <w:vAlign w:val="bottom"/>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6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68,246,837</w:t>
            </w:r>
          </w:p>
        </w:tc>
        <w:tc>
          <w:tcPr>
            <w:tcW w:w="16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68,880,399</w:t>
            </w: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Noninterest-bearing deposits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88"/>
              </w:rPr>
              <w:t>14,665,603</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13,794,636</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NOW accounts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1,251,452</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1,396,471</w:t>
            </w:r>
          </w:p>
        </w:tc>
      </w:tr>
      <w:tr>
        <w:trPr>
          <w:trHeight w:val="216"/>
        </w:trPr>
        <w:tc>
          <w:tcPr>
            <w:tcW w:w="20" w:type="dxa"/>
            <w:vAlign w:val="bottom"/>
          </w:tcPr>
          <w:p>
            <w:pPr>
              <w:spacing w:after="0"/>
              <w:rPr>
                <w:sz w:val="18"/>
                <w:szCs w:val="18"/>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Savings deposits</w:t>
            </w:r>
          </w:p>
        </w:tc>
        <w:tc>
          <w:tcPr>
            <w:tcW w:w="46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88"/>
              </w:rPr>
              <w:t>25,964,136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23,676,798</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6,119,516</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7,531,495</w:t>
            </w:r>
          </w:p>
        </w:tc>
      </w:tr>
      <w:tr>
        <w:trPr>
          <w:trHeight w:val="223"/>
        </w:trPr>
        <w:tc>
          <w:tcPr>
            <w:tcW w:w="20" w:type="dxa"/>
            <w:vAlign w:val="bottom"/>
          </w:tcPr>
          <w:p>
            <w:pPr>
              <w:spacing w:after="0"/>
              <w:rPr>
                <w:sz w:val="19"/>
                <w:szCs w:val="19"/>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Deposits at foreign office</w:t>
            </w:r>
          </w:p>
        </w:tc>
        <w:tc>
          <w:tcPr>
            <w:tcW w:w="4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653,916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1,050,438</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deposits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48,654,623</w:t>
            </w:r>
          </w:p>
        </w:tc>
        <w:tc>
          <w:tcPr>
            <w:tcW w:w="162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47,449,838</w:t>
            </w: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4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1,142,103</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2,211,692</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Other short-term borrowings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69,580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230,890</w:t>
            </w:r>
          </w:p>
        </w:tc>
      </w:tr>
      <w:tr>
        <w:trPr>
          <w:trHeight w:val="216"/>
        </w:trPr>
        <w:tc>
          <w:tcPr>
            <w:tcW w:w="20" w:type="dxa"/>
            <w:vAlign w:val="bottom"/>
          </w:tcPr>
          <w:p>
            <w:pPr>
              <w:spacing w:after="0"/>
              <w:rPr>
                <w:sz w:val="18"/>
                <w:szCs w:val="18"/>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Accrued interest and other liabilities</w:t>
            </w:r>
          </w:p>
        </w:tc>
        <w:tc>
          <w:tcPr>
            <w:tcW w:w="46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1,157,250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995,056</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Long-term borrowings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8,991,508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10,240,016</w:t>
            </w:r>
          </w:p>
        </w:tc>
      </w:tr>
      <w:tr>
        <w:trPr>
          <w:trHeight w:val="230"/>
        </w:trPr>
        <w:tc>
          <w:tcPr>
            <w:tcW w:w="2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6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60,015,064</w:t>
            </w:r>
          </w:p>
        </w:tc>
        <w:tc>
          <w:tcPr>
            <w:tcW w:w="16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61,127,492</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tcPr>
          <w:p>
            <w:pPr>
              <w:ind w:left="1920"/>
              <w:spacing w:after="0" w:line="201" w:lineRule="exact"/>
              <w:rPr>
                <w:sz w:val="20"/>
                <w:szCs w:val="20"/>
                <w:color w:val="auto"/>
              </w:rPr>
            </w:pPr>
            <w:r>
              <w:rPr>
                <w:rFonts w:ascii="Arial" w:cs="Arial" w:eastAsia="Arial" w:hAnsi="Arial"/>
                <w:sz w:val="18"/>
                <w:szCs w:val="18"/>
                <w:color w:val="auto"/>
                <w:w w:val="94"/>
              </w:rPr>
              <w:t>Preferred stock, $1.00 par, 1,000,000 shares authorized, 778,000 shares issued</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and oustanding (liquidation preference $1,000 per share)</w:t>
            </w:r>
          </w:p>
        </w:tc>
        <w:tc>
          <w:tcPr>
            <w:tcW w:w="46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737,979</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730,235</w:t>
            </w: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ind w:left="1920"/>
              <w:spacing w:after="0" w:line="201" w:lineRule="exact"/>
              <w:rPr>
                <w:sz w:val="20"/>
                <w:szCs w:val="20"/>
                <w:color w:val="auto"/>
              </w:rPr>
            </w:pPr>
            <w:r>
              <w:rPr>
                <w:rFonts w:ascii="Arial" w:cs="Arial" w:eastAsia="Arial" w:hAnsi="Arial"/>
                <w:sz w:val="18"/>
                <w:szCs w:val="18"/>
                <w:color w:val="auto"/>
                <w:w w:val="96"/>
              </w:rPr>
              <w:t>Common stock, $.50 par, 250,000,000 shares authorized, 120,396,611 shares</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w:t>
            </w: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60,198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60,198</w:t>
            </w:r>
          </w:p>
        </w:tc>
      </w:tr>
      <w:tr>
        <w:trPr>
          <w:trHeight w:val="202"/>
        </w:trPr>
        <w:tc>
          <w:tcPr>
            <w:tcW w:w="20" w:type="dxa"/>
            <w:vAlign w:val="bottom"/>
          </w:tcPr>
          <w:p>
            <w:pPr>
              <w:spacing w:after="0"/>
              <w:rPr>
                <w:sz w:val="17"/>
                <w:szCs w:val="17"/>
                <w:color w:val="auto"/>
              </w:rPr>
            </w:pPr>
          </w:p>
        </w:tc>
        <w:tc>
          <w:tcPr>
            <w:tcW w:w="7940" w:type="dxa"/>
            <w:vAlign w:val="bottom"/>
            <w:gridSpan w:val="2"/>
          </w:tcPr>
          <w:p>
            <w:pPr>
              <w:ind w:left="1920"/>
              <w:spacing w:after="0" w:line="201" w:lineRule="exact"/>
              <w:rPr>
                <w:sz w:val="20"/>
                <w:szCs w:val="20"/>
                <w:color w:val="auto"/>
              </w:rPr>
            </w:pPr>
            <w:r>
              <w:rPr>
                <w:rFonts w:ascii="Arial" w:cs="Arial" w:eastAsia="Arial" w:hAnsi="Arial"/>
                <w:sz w:val="18"/>
                <w:szCs w:val="18"/>
                <w:color w:val="auto"/>
                <w:w w:val="95"/>
              </w:rPr>
              <w:t>Common stock issuable, 70,925 shares at September 30, 2010; 75,170 shares</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at December 31, 2009</w:t>
            </w:r>
          </w:p>
        </w:tc>
        <w:tc>
          <w:tcPr>
            <w:tcW w:w="46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4,146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4,342</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2,408,737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2,442,947</w:t>
            </w:r>
          </w:p>
        </w:tc>
      </w:tr>
      <w:tr>
        <w:trPr>
          <w:trHeight w:val="216"/>
        </w:trPr>
        <w:tc>
          <w:tcPr>
            <w:tcW w:w="20" w:type="dxa"/>
            <w:vAlign w:val="bottom"/>
          </w:tcPr>
          <w:p>
            <w:pPr>
              <w:spacing w:after="0"/>
              <w:rPr>
                <w:sz w:val="18"/>
                <w:szCs w:val="18"/>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5,319,198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5,076,884</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Accumulated other comprehensive income (loss), net</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(192,554)</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(335,997)</w:t>
            </w:r>
          </w:p>
        </w:tc>
      </w:tr>
      <w:tr>
        <w:trPr>
          <w:trHeight w:val="202"/>
        </w:trPr>
        <w:tc>
          <w:tcPr>
            <w:tcW w:w="20" w:type="dxa"/>
            <w:vAlign w:val="bottom"/>
          </w:tcPr>
          <w:p>
            <w:pPr>
              <w:spacing w:after="0"/>
              <w:rPr>
                <w:sz w:val="17"/>
                <w:szCs w:val="17"/>
                <w:color w:val="auto"/>
              </w:rPr>
            </w:pPr>
          </w:p>
        </w:tc>
        <w:tc>
          <w:tcPr>
            <w:tcW w:w="7940" w:type="dxa"/>
            <w:vAlign w:val="bottom"/>
            <w:gridSpan w:val="2"/>
          </w:tcPr>
          <w:p>
            <w:pPr>
              <w:ind w:left="1920"/>
              <w:spacing w:after="0" w:line="201" w:lineRule="exact"/>
              <w:rPr>
                <w:sz w:val="20"/>
                <w:szCs w:val="20"/>
                <w:color w:val="auto"/>
              </w:rPr>
            </w:pPr>
            <w:r>
              <w:rPr>
                <w:rFonts w:ascii="Arial" w:cs="Arial" w:eastAsia="Arial" w:hAnsi="Arial"/>
                <w:sz w:val="18"/>
                <w:szCs w:val="18"/>
                <w:color w:val="auto"/>
                <w:w w:val="96"/>
              </w:rPr>
              <w:t>Treasury stock — common, at cost -1,032,949 shares at September 30, 2010;</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2,173,916 shares at December 31, 2009</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(105,931)</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(225,702)</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8,231,773</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7,752,907</w:t>
            </w:r>
          </w:p>
        </w:tc>
      </w:tr>
      <w:tr>
        <w:trPr>
          <w:trHeight w:val="223"/>
        </w:trPr>
        <w:tc>
          <w:tcPr>
            <w:tcW w:w="20" w:type="dxa"/>
            <w:vAlign w:val="bottom"/>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68,246,837</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68,880,399</w:t>
            </w:r>
          </w:p>
        </w:tc>
      </w:tr>
      <w:tr>
        <w:trPr>
          <w:trHeight w:val="20"/>
        </w:trPr>
        <w:tc>
          <w:tcPr>
            <w:tcW w:w="20" w:type="dxa"/>
            <w:vAlign w:val="bottom"/>
          </w:tcPr>
          <w:p>
            <w:pPr>
              <w:spacing w:after="0" w:line="20" w:lineRule="exact"/>
              <w:rPr>
                <w:sz w:val="1"/>
                <w:szCs w:val="1"/>
                <w:color w:val="auto"/>
              </w:rPr>
            </w:pPr>
          </w:p>
        </w:tc>
        <w:tc>
          <w:tcPr>
            <w:tcW w:w="794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99"/>
        </w:trPr>
        <w:tc>
          <w:tcPr>
            <w:tcW w:w="7960" w:type="dxa"/>
            <w:vAlign w:val="bottom"/>
            <w:gridSpan w:val="3"/>
          </w:tcPr>
          <w:p>
            <w:pPr>
              <w:jc w:val="right"/>
              <w:ind w:right="205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005" w:gutter="0" w:footer="0" w:header="0"/>
        </w:sectPr>
      </w:pPr>
    </w:p>
    <w:bookmarkStart w:id="4" w:name="page5"/>
    <w:bookmarkEnd w:id="4"/>
    <w:p>
      <w:pPr>
        <w:spacing w:after="0" w:line="3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2"/>
          </w:tcPr>
          <w:p>
            <w:pPr>
              <w:jc w:val="right"/>
              <w:ind w:right="590"/>
              <w:spacing w:after="0"/>
              <w:rPr>
                <w:sz w:val="20"/>
                <w:szCs w:val="20"/>
                <w:color w:val="auto"/>
              </w:rPr>
            </w:pPr>
            <w:r>
              <w:rPr>
                <w:rFonts w:ascii="Arial" w:cs="Arial" w:eastAsia="Arial" w:hAnsi="Arial"/>
                <w:sz w:val="14"/>
                <w:szCs w:val="14"/>
                <w:color w:val="auto"/>
                <w:w w:val="99"/>
              </w:rPr>
              <w:t>Three months ended September 30</w:t>
            </w:r>
          </w:p>
        </w:tc>
        <w:tc>
          <w:tcPr>
            <w:tcW w:w="520" w:type="dxa"/>
            <w:vAlign w:val="bottom"/>
          </w:tcPr>
          <w:p>
            <w:pPr>
              <w:spacing w:after="0"/>
              <w:rPr>
                <w:sz w:val="14"/>
                <w:szCs w:val="14"/>
                <w:color w:val="auto"/>
              </w:rPr>
            </w:pPr>
          </w:p>
        </w:tc>
        <w:tc>
          <w:tcPr>
            <w:tcW w:w="2980" w:type="dxa"/>
            <w:vAlign w:val="bottom"/>
            <w:gridSpan w:val="2"/>
          </w:tcPr>
          <w:p>
            <w:pPr>
              <w:jc w:val="right"/>
              <w:ind w:right="590"/>
              <w:spacing w:after="0"/>
              <w:rPr>
                <w:sz w:val="20"/>
                <w:szCs w:val="20"/>
                <w:color w:val="auto"/>
              </w:rPr>
            </w:pPr>
            <w:r>
              <w:rPr>
                <w:rFonts w:ascii="Arial" w:cs="Arial" w:eastAsia="Arial" w:hAnsi="Arial"/>
                <w:sz w:val="14"/>
                <w:szCs w:val="14"/>
                <w:color w:val="auto"/>
              </w:rPr>
              <w:t>Nine months ended September 30</w:t>
            </w:r>
          </w:p>
        </w:tc>
      </w:tr>
      <w:tr>
        <w:trPr>
          <w:trHeight w:val="174"/>
        </w:trPr>
        <w:tc>
          <w:tcPr>
            <w:tcW w:w="466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w:t>
            </w:r>
          </w:p>
        </w:tc>
        <w:tc>
          <w:tcPr>
            <w:tcW w:w="360" w:type="dxa"/>
            <w:vAlign w:val="bottom"/>
          </w:tcPr>
          <w:p>
            <w:pPr>
              <w:spacing w:after="0"/>
              <w:rPr>
                <w:sz w:val="15"/>
                <w:szCs w:val="15"/>
                <w:color w:val="auto"/>
              </w:rPr>
            </w:pPr>
          </w:p>
        </w:tc>
        <w:tc>
          <w:tcPr>
            <w:tcW w:w="1240" w:type="dxa"/>
            <w:vAlign w:val="bottom"/>
          </w:tcPr>
          <w:p>
            <w:pPr>
              <w:jc w:val="right"/>
              <w:ind w:right="711"/>
              <w:spacing w:after="0"/>
              <w:rPr>
                <w:sz w:val="20"/>
                <w:szCs w:val="20"/>
                <w:color w:val="auto"/>
              </w:rPr>
            </w:pPr>
            <w:r>
              <w:rPr>
                <w:rFonts w:ascii="Arial" w:cs="Arial" w:eastAsia="Arial" w:hAnsi="Arial"/>
                <w:sz w:val="14"/>
                <w:szCs w:val="14"/>
                <w:color w:val="auto"/>
              </w:rPr>
              <w:t>2010</w:t>
            </w:r>
          </w:p>
        </w:tc>
        <w:tc>
          <w:tcPr>
            <w:tcW w:w="1660" w:type="dxa"/>
            <w:vAlign w:val="bottom"/>
          </w:tcPr>
          <w:p>
            <w:pPr>
              <w:jc w:val="right"/>
              <w:ind w:right="550"/>
              <w:spacing w:after="0"/>
              <w:rPr>
                <w:sz w:val="20"/>
                <w:szCs w:val="20"/>
                <w:color w:val="auto"/>
              </w:rPr>
            </w:pPr>
            <w:r>
              <w:rPr>
                <w:rFonts w:ascii="Arial" w:cs="Arial" w:eastAsia="Arial" w:hAnsi="Arial"/>
                <w:sz w:val="14"/>
                <w:szCs w:val="14"/>
                <w:color w:val="auto"/>
              </w:rPr>
              <w:t>2009</w:t>
            </w:r>
          </w:p>
        </w:tc>
        <w:tc>
          <w:tcPr>
            <w:tcW w:w="520" w:type="dxa"/>
            <w:vAlign w:val="bottom"/>
          </w:tcPr>
          <w:p>
            <w:pPr>
              <w:spacing w:after="0"/>
              <w:rPr>
                <w:sz w:val="15"/>
                <w:szCs w:val="15"/>
                <w:color w:val="auto"/>
              </w:rPr>
            </w:pPr>
          </w:p>
        </w:tc>
        <w:tc>
          <w:tcPr>
            <w:tcW w:w="1360" w:type="dxa"/>
            <w:vAlign w:val="bottom"/>
          </w:tcPr>
          <w:p>
            <w:pPr>
              <w:jc w:val="right"/>
              <w:ind w:right="771"/>
              <w:spacing w:after="0"/>
              <w:rPr>
                <w:sz w:val="20"/>
                <w:szCs w:val="20"/>
                <w:color w:val="auto"/>
              </w:rPr>
            </w:pPr>
            <w:r>
              <w:rPr>
                <w:rFonts w:ascii="Arial" w:cs="Arial" w:eastAsia="Arial" w:hAnsi="Arial"/>
                <w:sz w:val="14"/>
                <w:szCs w:val="14"/>
                <w:color w:val="auto"/>
              </w:rPr>
              <w:t>2010</w:t>
            </w:r>
          </w:p>
        </w:tc>
        <w:tc>
          <w:tcPr>
            <w:tcW w:w="1620" w:type="dxa"/>
            <w:vAlign w:val="bottom"/>
          </w:tcPr>
          <w:p>
            <w:pPr>
              <w:jc w:val="right"/>
              <w:ind w:right="450"/>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4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Loans and leases, including fees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1"/>
              <w:spacing w:after="0"/>
              <w:rPr>
                <w:sz w:val="20"/>
                <w:szCs w:val="20"/>
                <w:color w:val="auto"/>
              </w:rPr>
            </w:pPr>
            <w:r>
              <w:rPr>
                <w:rFonts w:ascii="Arial" w:cs="Arial" w:eastAsia="Arial" w:hAnsi="Arial"/>
                <w:sz w:val="18"/>
                <w:szCs w:val="18"/>
                <w:color w:val="auto"/>
                <w:w w:val="89"/>
              </w:rPr>
              <w:t>603,199</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599,859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1"/>
              <w:spacing w:after="0"/>
              <w:rPr>
                <w:sz w:val="20"/>
                <w:szCs w:val="20"/>
                <w:color w:val="auto"/>
              </w:rPr>
            </w:pPr>
            <w:r>
              <w:rPr>
                <w:rFonts w:ascii="Arial" w:cs="Arial" w:eastAsia="Arial" w:hAnsi="Arial"/>
                <w:sz w:val="18"/>
                <w:szCs w:val="18"/>
                <w:color w:val="auto"/>
                <w:w w:val="87"/>
              </w:rPr>
              <w:t>1,788,245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1,728,422</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Deposits at banks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34</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45</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Federal funds sold</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9</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29</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Agreements to resell securities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32</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36</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Trading account</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94</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135</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287</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450</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Investment securities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Fully taxable</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80,043</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97,963</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250,922</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297,563</w:t>
            </w: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Exempt from federal taxes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2,489</w:t>
            </w:r>
          </w:p>
        </w:tc>
        <w:tc>
          <w:tcPr>
            <w:tcW w:w="16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2,612</w:t>
            </w:r>
          </w:p>
        </w:tc>
        <w:tc>
          <w:tcPr>
            <w:tcW w:w="5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7,506</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5,955</w:t>
            </w:r>
          </w:p>
        </w:tc>
      </w:tr>
      <w:tr>
        <w:trPr>
          <w:trHeight w:val="230"/>
        </w:trPr>
        <w:tc>
          <w:tcPr>
            <w:tcW w:w="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interest income</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w w:val="89"/>
              </w:rPr>
              <w:t>685,900</w:t>
            </w: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700,593</w:t>
            </w:r>
          </w:p>
        </w:tc>
        <w:tc>
          <w:tcPr>
            <w:tcW w:w="5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w w:val="87"/>
              </w:rPr>
              <w:t>2,047,070</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2,032,528</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NOW accounts</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219</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638</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861</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Savings deposits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21,453</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22,076</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63,366</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90,360</w:t>
            </w: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Time deposits</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23,309</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50,678</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79,009</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166,704</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Deposits at foreign office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315</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481</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1,016</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2,038</w:t>
            </w: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760</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1,764</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2,373</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6,127</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Long-term borrowings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69,976</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77,651</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207,239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269,409</w:t>
            </w: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Total interest expense</w:t>
            </w: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w w:val="89"/>
              </w:rPr>
              <w:t>116,032</w:t>
            </w:r>
          </w:p>
        </w:tc>
        <w:tc>
          <w:tcPr>
            <w:tcW w:w="16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152,938</w:t>
            </w:r>
          </w:p>
        </w:tc>
        <w:tc>
          <w:tcPr>
            <w:tcW w:w="5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353,641</w:t>
            </w:r>
          </w:p>
        </w:tc>
        <w:tc>
          <w:tcPr>
            <w:tcW w:w="16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535,499</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i w:val="1"/>
                <w:iCs w:val="1"/>
                <w:color w:val="auto"/>
              </w:rPr>
              <w:t>Net interest income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89"/>
              </w:rPr>
              <w:t>569,868</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547,655</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87"/>
              </w:rPr>
              <w:t>1,693,429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1,497,029</w:t>
            </w: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93,000</w:t>
            </w: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154,000</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283,000</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459,000</w:t>
            </w: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ind w:left="1520"/>
              <w:spacing w:after="0" w:line="201" w:lineRule="exact"/>
              <w:rPr>
                <w:sz w:val="20"/>
                <w:szCs w:val="20"/>
                <w:color w:val="auto"/>
              </w:rPr>
            </w:pPr>
            <w:r>
              <w:rPr>
                <w:rFonts w:ascii="Arial" w:cs="Arial" w:eastAsia="Arial" w:hAnsi="Arial"/>
                <w:sz w:val="18"/>
                <w:szCs w:val="18"/>
                <w:color w:val="auto"/>
              </w:rPr>
              <w:t>Net interest income after provision for</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3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credit losses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89"/>
              </w:rPr>
              <w:t>476,868</w:t>
            </w:r>
          </w:p>
        </w:tc>
        <w:tc>
          <w:tcPr>
            <w:tcW w:w="16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393,655</w:t>
            </w:r>
          </w:p>
        </w:tc>
        <w:tc>
          <w:tcPr>
            <w:tcW w:w="5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87"/>
              </w:rPr>
              <w:t>1,410,429</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1,038,029</w:t>
            </w: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Mortgage banking revenues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61,052</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48,169</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149,612</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157,385</w:t>
            </w: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Service charges on deposit accounts</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w w:val="89"/>
              </w:rPr>
              <w:t>117,733</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128,502</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367,004</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342,010</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Trust income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30,485</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31,586</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91,582</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98,908</w:t>
            </w: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Brokerage services income</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12,127</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14,329</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38,021</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43,215</w:t>
            </w: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ind w:left="1520"/>
              <w:spacing w:after="0" w:line="201" w:lineRule="exact"/>
              <w:rPr>
                <w:sz w:val="20"/>
                <w:szCs w:val="20"/>
                <w:color w:val="auto"/>
              </w:rPr>
            </w:pPr>
            <w:r>
              <w:rPr>
                <w:rFonts w:ascii="Arial" w:cs="Arial" w:eastAsia="Arial" w:hAnsi="Arial"/>
                <w:sz w:val="18"/>
                <w:szCs w:val="18"/>
                <w:color w:val="auto"/>
              </w:rPr>
              <w:t>Trading account and foreign exchange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6,035</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7,478</w:t>
            </w:r>
          </w:p>
        </w:tc>
        <w:tc>
          <w:tcPr>
            <w:tcW w:w="5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14,531</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16,456</w:t>
            </w:r>
          </w:p>
        </w:tc>
      </w:tr>
      <w:tr>
        <w:trPr>
          <w:trHeight w:val="202"/>
        </w:trPr>
        <w:tc>
          <w:tcPr>
            <w:tcW w:w="20" w:type="dxa"/>
            <w:vAlign w:val="bottom"/>
          </w:tcPr>
          <w:p>
            <w:pPr>
              <w:spacing w:after="0"/>
              <w:rPr>
                <w:sz w:val="17"/>
                <w:szCs w:val="17"/>
                <w:color w:val="auto"/>
              </w:rPr>
            </w:pPr>
          </w:p>
        </w:tc>
        <w:tc>
          <w:tcPr>
            <w:tcW w:w="4640" w:type="dxa"/>
            <w:vAlign w:val="bottom"/>
            <w:gridSpan w:val="2"/>
          </w:tcPr>
          <w:p>
            <w:pPr>
              <w:ind w:left="1520"/>
              <w:spacing w:after="0" w:line="201" w:lineRule="exact"/>
              <w:rPr>
                <w:sz w:val="20"/>
                <w:szCs w:val="20"/>
                <w:color w:val="auto"/>
              </w:rPr>
            </w:pPr>
            <w:r>
              <w:rPr>
                <w:rFonts w:ascii="Arial" w:cs="Arial" w:eastAsia="Arial" w:hAnsi="Arial"/>
                <w:sz w:val="18"/>
                <w:szCs w:val="18"/>
                <w:color w:val="auto"/>
              </w:rPr>
              <w:t>Gain (loss) on bank investment</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36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1,440</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20"/>
                <w:szCs w:val="20"/>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1,909</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811</w:t>
            </w: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ind w:left="1520"/>
              <w:spacing w:after="0" w:line="201" w:lineRule="exact"/>
              <w:rPr>
                <w:sz w:val="20"/>
                <w:szCs w:val="20"/>
                <w:color w:val="auto"/>
              </w:rPr>
            </w:pPr>
            <w:r>
              <w:rPr>
                <w:rFonts w:ascii="Arial" w:cs="Arial" w:eastAsia="Arial" w:hAnsi="Arial"/>
                <w:sz w:val="18"/>
                <w:szCs w:val="18"/>
                <w:color w:val="auto"/>
              </w:rPr>
              <w:t>Total other-than-temporary impairment</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(“OTTI”) losses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5"/>
              </w:rPr>
              <w:t>(16,486)</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(64,232)</w:t>
            </w:r>
          </w:p>
        </w:tc>
        <w:tc>
          <w:tcPr>
            <w:tcW w:w="5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(67,052)</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(202,737)</w:t>
            </w:r>
          </w:p>
        </w:tc>
      </w:tr>
      <w:tr>
        <w:trPr>
          <w:trHeight w:val="202"/>
        </w:trPr>
        <w:tc>
          <w:tcPr>
            <w:tcW w:w="20" w:type="dxa"/>
            <w:vAlign w:val="bottom"/>
          </w:tcPr>
          <w:p>
            <w:pPr>
              <w:spacing w:after="0"/>
              <w:rPr>
                <w:sz w:val="17"/>
                <w:szCs w:val="17"/>
                <w:color w:val="auto"/>
              </w:rPr>
            </w:pPr>
          </w:p>
        </w:tc>
        <w:tc>
          <w:tcPr>
            <w:tcW w:w="4640" w:type="dxa"/>
            <w:vAlign w:val="bottom"/>
            <w:gridSpan w:val="2"/>
          </w:tcPr>
          <w:p>
            <w:pPr>
              <w:ind w:left="1520"/>
              <w:spacing w:after="0" w:line="201" w:lineRule="exact"/>
              <w:rPr>
                <w:sz w:val="20"/>
                <w:szCs w:val="20"/>
                <w:color w:val="auto"/>
              </w:rPr>
            </w:pPr>
            <w:r>
              <w:rPr>
                <w:rFonts w:ascii="Arial" w:cs="Arial" w:eastAsia="Arial" w:hAnsi="Arial"/>
                <w:sz w:val="18"/>
                <w:szCs w:val="18"/>
                <w:color w:val="auto"/>
              </w:rPr>
              <w:t>Portion of OTTI losses recognized in</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w w:val="98"/>
              </w:rPr>
              <w:t>other comprehensive income (before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taxes)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6,954</w:t>
            </w: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17,199</w:t>
            </w:r>
          </w:p>
        </w:tc>
        <w:tc>
          <w:tcPr>
            <w:tcW w:w="5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8,338</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98,736</w:t>
            </w: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1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Net OTTI losses recognized in</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1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(9,532)</w:t>
            </w:r>
          </w:p>
        </w:tc>
        <w:tc>
          <w:tcPr>
            <w:tcW w:w="16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(47,033)</w:t>
            </w:r>
          </w:p>
        </w:tc>
        <w:tc>
          <w:tcPr>
            <w:tcW w:w="5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(58,714)</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(104,001)</w:t>
            </w: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Equity in earnings of Bayview Lending</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Group LLC</w:t>
            </w:r>
          </w:p>
        </w:tc>
        <w:tc>
          <w:tcPr>
            <w:tcW w:w="360" w:type="dxa"/>
            <w:vAlign w:val="bottom"/>
          </w:tcPr>
          <w:p>
            <w:pPr>
              <w:spacing w:after="0"/>
              <w:rPr>
                <w:sz w:val="20"/>
                <w:szCs w:val="20"/>
                <w:color w:val="auto"/>
              </w:rPr>
            </w:pPr>
          </w:p>
        </w:tc>
        <w:tc>
          <w:tcPr>
            <w:tcW w:w="1240" w:type="dxa"/>
            <w:vAlign w:val="bottom"/>
          </w:tcPr>
          <w:p>
            <w:pPr>
              <w:jc w:val="right"/>
              <w:ind w:right="491"/>
              <w:spacing w:after="0"/>
              <w:rPr>
                <w:sz w:val="20"/>
                <w:szCs w:val="20"/>
                <w:color w:val="auto"/>
              </w:rPr>
            </w:pPr>
            <w:r>
              <w:rPr>
                <w:rFonts w:ascii="Arial" w:cs="Arial" w:eastAsia="Arial" w:hAnsi="Arial"/>
                <w:sz w:val="18"/>
                <w:szCs w:val="18"/>
                <w:color w:val="auto"/>
              </w:rPr>
              <w:t>(6,460)</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(10,912)</w:t>
            </w:r>
          </w:p>
        </w:tc>
        <w:tc>
          <w:tcPr>
            <w:tcW w:w="520" w:type="dxa"/>
            <w:vAlign w:val="bottom"/>
          </w:tcPr>
          <w:p>
            <w:pPr>
              <w:spacing w:after="0"/>
              <w:rPr>
                <w:sz w:val="20"/>
                <w:szCs w:val="20"/>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(18,353)</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(15,263)</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Other revenues from operations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77,019</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106,163</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235,570</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242,695</w:t>
            </w:r>
          </w:p>
        </w:tc>
      </w:tr>
      <w:tr>
        <w:trPr>
          <w:trHeight w:val="230"/>
        </w:trPr>
        <w:tc>
          <w:tcPr>
            <w:tcW w:w="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Total other income</w:t>
            </w: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w w:val="89"/>
              </w:rPr>
              <w:t>289,899</w:t>
            </w:r>
          </w:p>
        </w:tc>
        <w:tc>
          <w:tcPr>
            <w:tcW w:w="16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278,226</w:t>
            </w:r>
          </w:p>
        </w:tc>
        <w:tc>
          <w:tcPr>
            <w:tcW w:w="5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821,162</w:t>
            </w:r>
          </w:p>
        </w:tc>
        <w:tc>
          <w:tcPr>
            <w:tcW w:w="16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782,216</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Salaries and employee benefits</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w w:val="89"/>
              </w:rPr>
              <w:t>246,389</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255,449</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756,296</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754,793</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Equipment and net occupancy</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54,353</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58,195</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165,185</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157,688</w:t>
            </w: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Printing, postage and supplies</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7,820</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8,229</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25,412</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28,878</w:t>
            </w: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ind w:left="1520"/>
              <w:spacing w:after="0" w:line="201" w:lineRule="exact"/>
              <w:rPr>
                <w:sz w:val="20"/>
                <w:szCs w:val="20"/>
                <w:color w:val="auto"/>
              </w:rPr>
            </w:pPr>
            <w:r>
              <w:rPr>
                <w:rFonts w:ascii="Arial" w:cs="Arial" w:eastAsia="Arial" w:hAnsi="Arial"/>
                <w:sz w:val="18"/>
                <w:szCs w:val="18"/>
                <w:color w:val="auto"/>
              </w:rPr>
              <w:t>Amortization of core deposit and other</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13,526</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16,924</w:t>
            </w:r>
          </w:p>
        </w:tc>
        <w:tc>
          <w:tcPr>
            <w:tcW w:w="5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44,834</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47,525</w:t>
            </w:r>
          </w:p>
        </w:tc>
      </w:tr>
      <w:tr>
        <w:trPr>
          <w:trHeight w:val="216"/>
        </w:trPr>
        <w:tc>
          <w:tcPr>
            <w:tcW w:w="20" w:type="dxa"/>
            <w:vAlign w:val="bottom"/>
          </w:tcPr>
          <w:p>
            <w:pPr>
              <w:spacing w:after="0"/>
              <w:rPr>
                <w:sz w:val="18"/>
                <w:szCs w:val="18"/>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FDIC assessments</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18,039</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21,124</w:t>
            </w:r>
          </w:p>
        </w:tc>
        <w:tc>
          <w:tcPr>
            <w:tcW w:w="520" w:type="dxa"/>
            <w:vAlign w:val="bottom"/>
          </w:tcPr>
          <w:p>
            <w:pPr>
              <w:spacing w:after="0"/>
              <w:rPr>
                <w:sz w:val="18"/>
                <w:szCs w:val="18"/>
                <w:color w:val="auto"/>
              </w:rPr>
            </w:pP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60,995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76,617</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Other costs of operations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89"/>
              </w:rPr>
              <w:t>140,006</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140,135</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392,841</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436,611</w:t>
            </w: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Total other expense</w:t>
            </w: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w w:val="89"/>
              </w:rPr>
              <w:t>480,133</w:t>
            </w:r>
          </w:p>
        </w:tc>
        <w:tc>
          <w:tcPr>
            <w:tcW w:w="16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500,056</w:t>
            </w:r>
          </w:p>
        </w:tc>
        <w:tc>
          <w:tcPr>
            <w:tcW w:w="5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w w:val="87"/>
              </w:rPr>
              <w:t>1,445,563</w:t>
            </w:r>
          </w:p>
        </w:tc>
        <w:tc>
          <w:tcPr>
            <w:tcW w:w="16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1,502,112</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Income before taxes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89"/>
              </w:rPr>
              <w:t>286,634</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171,825</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786,028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318,133</w:t>
            </w: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94,619</w:t>
            </w: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44,161</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254,309</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75,060</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gridSpan w:val="2"/>
            <w:shd w:val="clear" w:color="auto" w:fill="CCEEFF"/>
          </w:tcPr>
          <w:p>
            <w:pPr>
              <w:ind w:left="1520"/>
              <w:spacing w:after="0"/>
              <w:rPr>
                <w:sz w:val="20"/>
                <w:szCs w:val="20"/>
                <w:color w:val="auto"/>
              </w:rPr>
            </w:pPr>
            <w:r>
              <w:rPr>
                <w:rFonts w:ascii="Arial" w:cs="Arial" w:eastAsia="Arial" w:hAnsi="Arial"/>
                <w:sz w:val="18"/>
                <w:szCs w:val="18"/>
                <w:i w:val="1"/>
                <w:iCs w:val="1"/>
                <w:color w:val="auto"/>
              </w:rPr>
              <w:t>Net income</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89"/>
              </w:rPr>
              <w:t>192,015</w:t>
            </w:r>
          </w:p>
        </w:tc>
        <w:tc>
          <w:tcPr>
            <w:tcW w:w="16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127,664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531,719</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243,073</w:t>
            </w: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Net income available to common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equity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1"/>
              <w:spacing w:after="0"/>
              <w:rPr>
                <w:sz w:val="20"/>
                <w:szCs w:val="20"/>
                <w:color w:val="auto"/>
              </w:rPr>
            </w:pPr>
            <w:r>
              <w:rPr>
                <w:rFonts w:ascii="Arial" w:cs="Arial" w:eastAsia="Arial" w:hAnsi="Arial"/>
                <w:sz w:val="18"/>
                <w:szCs w:val="18"/>
                <w:color w:val="auto"/>
                <w:w w:val="89"/>
              </w:rPr>
              <w:t>179,306</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115,143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493,735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211,429</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Net income per common share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1.49</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.97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4.12</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1.48</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4.10</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1.84</w:t>
            </w:r>
          </w:p>
        </w:tc>
      </w:tr>
      <w:tr>
        <w:trPr>
          <w:trHeight w:val="432"/>
        </w:trPr>
        <w:tc>
          <w:tcPr>
            <w:tcW w:w="20" w:type="dxa"/>
            <w:vAlign w:val="bottom"/>
          </w:tcPr>
          <w:p>
            <w:pPr>
              <w:spacing w:after="0"/>
              <w:rPr>
                <w:sz w:val="24"/>
                <w:szCs w:val="24"/>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color w:val="auto"/>
              </w:rPr>
              <w:t>Cash dividends per common share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1"/>
              <w:spacing w:after="0"/>
              <w:rPr>
                <w:sz w:val="20"/>
                <w:szCs w:val="20"/>
                <w:color w:val="auto"/>
              </w:rPr>
            </w:pPr>
            <w:r>
              <w:rPr>
                <w:rFonts w:ascii="Arial" w:cs="Arial" w:eastAsia="Arial" w:hAnsi="Arial"/>
                <w:sz w:val="18"/>
                <w:szCs w:val="18"/>
                <w:color w:val="auto"/>
              </w:rPr>
              <w:t>.70</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.70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1"/>
              <w:spacing w:after="0"/>
              <w:rPr>
                <w:sz w:val="20"/>
                <w:szCs w:val="20"/>
                <w:color w:val="auto"/>
              </w:rPr>
            </w:pPr>
            <w:r>
              <w:rPr>
                <w:rFonts w:ascii="Arial" w:cs="Arial" w:eastAsia="Arial" w:hAnsi="Arial"/>
                <w:sz w:val="18"/>
                <w:szCs w:val="18"/>
                <w:color w:val="auto"/>
              </w:rPr>
              <w:t>2.10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Average common shares outstanding</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bl>
    <w:p>
      <w:pPr>
        <w:sectPr>
          <w:pgSz w:w="11900" w:h="16870" w:orient="portrait"/>
          <w:cols w:equalWidth="0" w:num="1">
            <w:col w:w="11420"/>
          </w:cols>
          <w:pgMar w:left="240" w:top="419"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1760"/>
              <w:spacing w:after="0"/>
              <w:rPr>
                <w:sz w:val="20"/>
                <w:szCs w:val="20"/>
                <w:color w:val="auto"/>
              </w:rPr>
            </w:pPr>
            <w:r>
              <w:rPr>
                <w:rFonts w:ascii="Arial" w:cs="Arial" w:eastAsia="Arial" w:hAnsi="Arial"/>
                <w:sz w:val="18"/>
                <w:szCs w:val="18"/>
                <w:color w:val="auto"/>
              </w:rPr>
              <w:t>Basic</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118,320</w:t>
            </w:r>
          </w:p>
        </w:tc>
        <w:tc>
          <w:tcPr>
            <w:tcW w:w="1680" w:type="dxa"/>
            <w:vAlign w:val="bottom"/>
          </w:tcPr>
          <w:p>
            <w:pPr>
              <w:jc w:val="right"/>
              <w:ind w:right="490"/>
              <w:spacing w:after="0"/>
              <w:rPr>
                <w:sz w:val="20"/>
                <w:szCs w:val="20"/>
                <w:color w:val="auto"/>
              </w:rPr>
            </w:pPr>
            <w:r>
              <w:rPr>
                <w:rFonts w:ascii="Arial" w:cs="Arial" w:eastAsia="Arial" w:hAnsi="Arial"/>
                <w:sz w:val="18"/>
                <w:szCs w:val="18"/>
                <w:color w:val="auto"/>
              </w:rPr>
              <w:t>117,370</w:t>
            </w:r>
          </w:p>
        </w:tc>
        <w:tc>
          <w:tcPr>
            <w:tcW w:w="1820" w:type="dxa"/>
            <w:vAlign w:val="bottom"/>
          </w:tcPr>
          <w:p>
            <w:pPr>
              <w:jc w:val="right"/>
              <w:ind w:right="590"/>
              <w:spacing w:after="0"/>
              <w:rPr>
                <w:sz w:val="20"/>
                <w:szCs w:val="20"/>
                <w:color w:val="auto"/>
              </w:rPr>
            </w:pPr>
            <w:r>
              <w:rPr>
                <w:rFonts w:ascii="Arial" w:cs="Arial" w:eastAsia="Arial" w:hAnsi="Arial"/>
                <w:sz w:val="18"/>
                <w:szCs w:val="18"/>
                <w:color w:val="auto"/>
              </w:rPr>
              <w:t>118,048</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113,701</w:t>
            </w:r>
          </w:p>
        </w:tc>
      </w:tr>
      <w:tr>
        <w:trPr>
          <w:trHeight w:val="216"/>
        </w:trPr>
        <w:tc>
          <w:tcPr>
            <w:tcW w:w="36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Diluted</w:t>
            </w:r>
          </w:p>
        </w:tc>
        <w:tc>
          <w:tcPr>
            <w:tcW w:w="2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119,155</w:t>
            </w:r>
          </w:p>
        </w:tc>
        <w:tc>
          <w:tcPr>
            <w:tcW w:w="1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117,547</w:t>
            </w:r>
          </w:p>
        </w:tc>
        <w:tc>
          <w:tcPr>
            <w:tcW w:w="18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118,766</w:t>
            </w:r>
          </w:p>
        </w:tc>
        <w:tc>
          <w:tcPr>
            <w:tcW w:w="1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113,800</w:t>
            </w:r>
          </w:p>
        </w:tc>
      </w:tr>
      <w:tr>
        <w:trPr>
          <w:trHeight w:val="405"/>
        </w:trPr>
        <w:tc>
          <w:tcPr>
            <w:tcW w:w="3660" w:type="dxa"/>
            <w:vAlign w:val="bottom"/>
          </w:tcPr>
          <w:p>
            <w:pPr>
              <w:spacing w:after="0"/>
              <w:rPr>
                <w:sz w:val="24"/>
                <w:szCs w:val="24"/>
                <w:color w:val="auto"/>
              </w:rPr>
            </w:pPr>
          </w:p>
        </w:tc>
        <w:tc>
          <w:tcPr>
            <w:tcW w:w="268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40" w:type="dxa"/>
            <w:vAlign w:val="bottom"/>
            <w:gridSpan w:val="2"/>
          </w:tcPr>
          <w:p>
            <w:pPr>
              <w:jc w:val="right"/>
              <w:ind w:right="670"/>
              <w:spacing w:after="0"/>
              <w:rPr>
                <w:sz w:val="20"/>
                <w:szCs w:val="20"/>
                <w:color w:val="auto"/>
              </w:rPr>
            </w:pPr>
            <w:r>
              <w:rPr>
                <w:rFonts w:ascii="Arial" w:cs="Arial" w:eastAsia="Arial" w:hAnsi="Arial"/>
                <w:sz w:val="14"/>
                <w:szCs w:val="14"/>
                <w:color w:val="auto"/>
              </w:rPr>
              <w:t>Nine months ended September 30</w:t>
            </w:r>
          </w:p>
        </w:tc>
      </w:tr>
      <w:tr>
        <w:trPr>
          <w:trHeight w:val="174"/>
        </w:trPr>
        <w:tc>
          <w:tcPr>
            <w:tcW w:w="76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5"/>
                <w:szCs w:val="15"/>
                <w:color w:val="auto"/>
              </w:rPr>
            </w:pPr>
          </w:p>
        </w:tc>
        <w:tc>
          <w:tcPr>
            <w:tcW w:w="1420" w:type="dxa"/>
            <w:vAlign w:val="bottom"/>
          </w:tcPr>
          <w:p>
            <w:pPr>
              <w:jc w:val="right"/>
              <w:ind w:right="811"/>
              <w:spacing w:after="0"/>
              <w:rPr>
                <w:sz w:val="20"/>
                <w:szCs w:val="20"/>
                <w:color w:val="auto"/>
              </w:rPr>
            </w:pPr>
            <w:r>
              <w:rPr>
                <w:rFonts w:ascii="Arial" w:cs="Arial" w:eastAsia="Arial" w:hAnsi="Arial"/>
                <w:sz w:val="14"/>
                <w:szCs w:val="14"/>
                <w:color w:val="auto"/>
              </w:rPr>
              <w:t>2010</w:t>
            </w:r>
          </w:p>
        </w:tc>
        <w:tc>
          <w:tcPr>
            <w:tcW w:w="1720" w:type="dxa"/>
            <w:vAlign w:val="bottom"/>
          </w:tcPr>
          <w:p>
            <w:pPr>
              <w:jc w:val="right"/>
              <w:ind w:right="490"/>
              <w:spacing w:after="0"/>
              <w:rPr>
                <w:sz w:val="20"/>
                <w:szCs w:val="20"/>
                <w:color w:val="auto"/>
              </w:rPr>
            </w:pPr>
            <w:r>
              <w:rPr>
                <w:rFonts w:ascii="Arial" w:cs="Arial" w:eastAsia="Arial" w:hAnsi="Arial"/>
                <w:sz w:val="14"/>
                <w:szCs w:val="14"/>
                <w:color w:val="auto"/>
              </w:rPr>
              <w:t>2009</w:t>
            </w:r>
          </w:p>
        </w:tc>
      </w:tr>
      <w:tr>
        <w:trPr>
          <w:trHeight w:val="202"/>
        </w:trPr>
        <w:tc>
          <w:tcPr>
            <w:tcW w:w="20" w:type="dxa"/>
            <w:vAlign w:val="bottom"/>
          </w:tcPr>
          <w:p>
            <w:pPr>
              <w:spacing w:after="0"/>
              <w:rPr>
                <w:sz w:val="17"/>
                <w:szCs w:val="17"/>
                <w:color w:val="auto"/>
              </w:rPr>
            </w:pPr>
          </w:p>
        </w:tc>
        <w:tc>
          <w:tcPr>
            <w:tcW w:w="76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6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531,719</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243,073</w:t>
            </w:r>
          </w:p>
        </w:tc>
      </w:tr>
      <w:tr>
        <w:trPr>
          <w:trHeight w:val="202"/>
        </w:trPr>
        <w:tc>
          <w:tcPr>
            <w:tcW w:w="20" w:type="dxa"/>
            <w:vAlign w:val="bottom"/>
          </w:tcPr>
          <w:p>
            <w:pPr>
              <w:spacing w:after="0"/>
              <w:rPr>
                <w:sz w:val="17"/>
                <w:szCs w:val="17"/>
                <w:color w:val="auto"/>
              </w:rPr>
            </w:pPr>
          </w:p>
        </w:tc>
        <w:tc>
          <w:tcPr>
            <w:tcW w:w="7640" w:type="dxa"/>
            <w:vAlign w:val="bottom"/>
            <w:gridSpan w:val="2"/>
            <w:shd w:val="clear" w:color="auto" w:fill="CCEEFF"/>
          </w:tcPr>
          <w:p>
            <w:pPr>
              <w:ind w:left="2520"/>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6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Provision for credit losses</w:t>
            </w:r>
          </w:p>
        </w:tc>
        <w:tc>
          <w:tcPr>
            <w:tcW w:w="62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283,000</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459,000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of premises and equipment</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51,216</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43,050</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Amortization of capitalized servicing rights</w:t>
            </w:r>
          </w:p>
        </w:tc>
        <w:tc>
          <w:tcPr>
            <w:tcW w:w="62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42,917</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46,997</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core deposit and other intangible assets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44,834</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47,525</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Provision for deferred income taxes</w:t>
            </w:r>
          </w:p>
        </w:tc>
        <w:tc>
          <w:tcPr>
            <w:tcW w:w="62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49,111</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82,904</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write-downs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68,430</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131,822</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Net gain on sales of assets</w:t>
            </w:r>
          </w:p>
        </w:tc>
        <w:tc>
          <w:tcPr>
            <w:tcW w:w="62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(3,006)</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accrued interest receivable, payable</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4,764</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(5,154)</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Net change in other accrued income and expense</w:t>
            </w:r>
          </w:p>
        </w:tc>
        <w:tc>
          <w:tcPr>
            <w:tcW w:w="62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119,728</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34,206</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loans originated for sale</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67,172</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8,144</w:t>
            </w: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Net change in trading account assets and liabilities</w:t>
            </w:r>
          </w:p>
        </w:tc>
        <w:tc>
          <w:tcPr>
            <w:tcW w:w="6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(10,482)</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(15,797)</w:t>
            </w:r>
          </w:p>
        </w:tc>
      </w:tr>
      <w:tr>
        <w:trPr>
          <w:trHeight w:val="216"/>
        </w:trPr>
        <w:tc>
          <w:tcPr>
            <w:tcW w:w="20" w:type="dxa"/>
            <w:vAlign w:val="bottom"/>
          </w:tcPr>
          <w:p>
            <w:pPr>
              <w:spacing w:after="0"/>
              <w:rPr>
                <w:sz w:val="18"/>
                <w:szCs w:val="18"/>
                <w:color w:val="auto"/>
              </w:rPr>
            </w:pPr>
          </w:p>
        </w:tc>
        <w:tc>
          <w:tcPr>
            <w:tcW w:w="2520" w:type="dxa"/>
            <w:vAlign w:val="bottom"/>
            <w:tcBorders>
              <w:bottom w:val="single" w:sz="8" w:color="auto"/>
            </w:tcBorders>
            <w:shd w:val="clear" w:color="auto" w:fill="CCEEFF"/>
          </w:tcPr>
          <w:p>
            <w:pPr>
              <w:spacing w:after="0"/>
              <w:rPr>
                <w:sz w:val="18"/>
                <w:szCs w:val="18"/>
                <w:color w:val="auto"/>
              </w:rPr>
            </w:pPr>
          </w:p>
        </w:tc>
        <w:tc>
          <w:tcPr>
            <w:tcW w:w="51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94"/>
              </w:rPr>
              <w:t>1,249,403</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1,075,521</w:t>
            </w:r>
          </w:p>
        </w:tc>
      </w:tr>
      <w:tr>
        <w:trPr>
          <w:trHeight w:val="209"/>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Cash flows from</w:t>
            </w: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660" w:type="dxa"/>
            <w:vAlign w:val="bottom"/>
            <w:gridSpan w:val="3"/>
          </w:tcPr>
          <w:p>
            <w:pPr>
              <w:spacing w:after="0"/>
              <w:rPr>
                <w:sz w:val="20"/>
                <w:szCs w:val="20"/>
                <w:color w:val="auto"/>
              </w:rPr>
            </w:pPr>
            <w:r>
              <w:rPr>
                <w:rFonts w:ascii="Arial" w:cs="Arial" w:eastAsia="Arial" w:hAnsi="Arial"/>
                <w:sz w:val="18"/>
                <w:szCs w:val="18"/>
                <w:color w:val="auto"/>
              </w:rPr>
              <w:t>investing activities</w:t>
            </w: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Proceeds from sales of investment securities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Available for sale</w:t>
            </w:r>
          </w:p>
        </w:tc>
        <w:tc>
          <w:tcPr>
            <w:tcW w:w="62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21,220</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7,159</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62,331</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115,336</w:t>
            </w: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Proceeds from maturities of investment securities</w:t>
            </w: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1,097,531</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1,803,946</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Held to maturity</w:t>
            </w:r>
          </w:p>
        </w:tc>
        <w:tc>
          <w:tcPr>
            <w:tcW w:w="62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139,555</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76,084</w:t>
            </w: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Purchases of investment securities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Available for sale</w:t>
            </w:r>
          </w:p>
        </w:tc>
        <w:tc>
          <w:tcPr>
            <w:tcW w:w="62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(414,992)</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(68,724)</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to maturity</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(993,162)</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(25,289)</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(7,209)</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(2,886)</w:t>
            </w: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Net (increase) decrease in agreements to resell securities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(425,000)</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90,000</w:t>
            </w: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Net decrease in loans and leases</w:t>
            </w:r>
          </w:p>
        </w:tc>
        <w:tc>
          <w:tcPr>
            <w:tcW w:w="62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w w:val="94"/>
              </w:rPr>
              <w:t>1,087,784</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513,519</w:t>
            </w: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Net increase in interest-bearing deposits at banks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(268,289)</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(21,981)</w:t>
            </w: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Other investments, net</w:t>
            </w:r>
          </w:p>
        </w:tc>
        <w:tc>
          <w:tcPr>
            <w:tcW w:w="62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(41,093)</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(23,496)</w:t>
            </w: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Capital expenditures, net</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(39,380)</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(27,664)</w:t>
            </w: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Acquisitions, net of cash acquired</w:t>
            </w: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Banks and bank holding companies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202,993</w:t>
            </w:r>
          </w:p>
        </w:tc>
      </w:tr>
      <w:tr>
        <w:trPr>
          <w:trHeight w:val="223"/>
        </w:trPr>
        <w:tc>
          <w:tcPr>
            <w:tcW w:w="20" w:type="dxa"/>
            <w:vAlign w:val="bottom"/>
          </w:tcPr>
          <w:p>
            <w:pPr>
              <w:spacing w:after="0"/>
              <w:rPr>
                <w:sz w:val="19"/>
                <w:szCs w:val="19"/>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9"/>
                <w:szCs w:val="19"/>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34,411</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40,776</w:t>
            </w:r>
          </w:p>
        </w:tc>
      </w:tr>
      <w:tr>
        <w:trPr>
          <w:trHeight w:val="216"/>
        </w:trPr>
        <w:tc>
          <w:tcPr>
            <w:tcW w:w="20" w:type="dxa"/>
            <w:vAlign w:val="bottom"/>
          </w:tcPr>
          <w:p>
            <w:pPr>
              <w:spacing w:after="0"/>
              <w:rPr>
                <w:sz w:val="18"/>
                <w:szCs w:val="18"/>
                <w:color w:val="auto"/>
              </w:rPr>
            </w:pPr>
          </w:p>
        </w:tc>
        <w:tc>
          <w:tcPr>
            <w:tcW w:w="2520" w:type="dxa"/>
            <w:vAlign w:val="bottom"/>
            <w:tcBorders>
              <w:bottom w:val="single" w:sz="8" w:color="auto"/>
            </w:tcBorders>
            <w:shd w:val="clear" w:color="auto" w:fill="CCEEFF"/>
          </w:tcPr>
          <w:p>
            <w:pPr>
              <w:spacing w:after="0"/>
              <w:rPr>
                <w:sz w:val="18"/>
                <w:szCs w:val="18"/>
                <w:color w:val="auto"/>
              </w:rPr>
            </w:pPr>
          </w:p>
        </w:tc>
        <w:tc>
          <w:tcPr>
            <w:tcW w:w="51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investing activities</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253,707</w:t>
            </w:r>
          </w:p>
        </w:tc>
        <w:tc>
          <w:tcPr>
            <w:tcW w:w="17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2,679,773</w:t>
            </w:r>
          </w:p>
        </w:tc>
      </w:tr>
      <w:tr>
        <w:trPr>
          <w:trHeight w:val="209"/>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Cash flows from</w:t>
            </w: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66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Net increase (decrease) in deposits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1,217,511</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(1,125,110)</w:t>
            </w: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Net decrease in short-term borrowings</w:t>
            </w:r>
          </w:p>
        </w:tc>
        <w:tc>
          <w:tcPr>
            <w:tcW w:w="62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w w:val="89"/>
              </w:rPr>
              <w:t>(1,230,890)</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(260,488)</w:t>
            </w: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Payments on long-term borrowings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89"/>
              </w:rPr>
              <w:t>(1,399,101)</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(2,301,894)</w:t>
            </w: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Dividends paid — common</w:t>
            </w:r>
          </w:p>
        </w:tc>
        <w:tc>
          <w:tcPr>
            <w:tcW w:w="620" w:type="dxa"/>
            <w:vAlign w:val="bottom"/>
          </w:tcPr>
          <w:p>
            <w:pPr>
              <w:spacing w:after="0"/>
              <w:rPr>
                <w:sz w:val="18"/>
                <w:szCs w:val="18"/>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(251,125)</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(242,551)</w:t>
            </w: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Dividends paid — preferred</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(30,169)</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(21,890)</w:t>
            </w:r>
          </w:p>
        </w:tc>
      </w:tr>
      <w:tr>
        <w:trPr>
          <w:trHeight w:val="223"/>
        </w:trPr>
        <w:tc>
          <w:tcPr>
            <w:tcW w:w="20" w:type="dxa"/>
            <w:vAlign w:val="bottom"/>
          </w:tcPr>
          <w:p>
            <w:pPr>
              <w:spacing w:after="0"/>
              <w:rPr>
                <w:sz w:val="19"/>
                <w:szCs w:val="19"/>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9"/>
                <w:szCs w:val="19"/>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33,647</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2,202</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cash used by financing activities</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89"/>
              </w:rPr>
              <w:t>(1,660,127)</w:t>
            </w:r>
          </w:p>
        </w:tc>
        <w:tc>
          <w:tcPr>
            <w:tcW w:w="17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(3,949,731)</w:t>
            </w: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620" w:type="dxa"/>
            <w:vAlign w:val="bottom"/>
          </w:tcPr>
          <w:p>
            <w:pPr>
              <w:spacing w:after="0"/>
              <w:rPr>
                <w:sz w:val="19"/>
                <w:szCs w:val="19"/>
                <w:color w:val="auto"/>
              </w:rPr>
            </w:pPr>
          </w:p>
        </w:tc>
        <w:tc>
          <w:tcPr>
            <w:tcW w:w="1420" w:type="dxa"/>
            <w:vAlign w:val="bottom"/>
          </w:tcPr>
          <w:p>
            <w:pPr>
              <w:jc w:val="right"/>
              <w:ind w:right="491"/>
              <w:spacing w:after="0"/>
              <w:rPr>
                <w:sz w:val="20"/>
                <w:szCs w:val="20"/>
                <w:color w:val="auto"/>
              </w:rPr>
            </w:pPr>
            <w:r>
              <w:rPr>
                <w:rFonts w:ascii="Arial" w:cs="Arial" w:eastAsia="Arial" w:hAnsi="Arial"/>
                <w:sz w:val="18"/>
                <w:szCs w:val="18"/>
                <w:color w:val="auto"/>
              </w:rPr>
              <w:t>(157,017)</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(194,437)</w:t>
            </w: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4"/>
              </w:rPr>
              <w:t>1,246,342</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1,568,151</w:t>
            </w: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5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w w:val="94"/>
              </w:rPr>
              <w:t>1,089,325</w:t>
            </w:r>
          </w:p>
        </w:tc>
        <w:tc>
          <w:tcPr>
            <w:tcW w:w="1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1,373,714</w:t>
            </w:r>
          </w:p>
        </w:tc>
      </w:tr>
      <w:tr>
        <w:trPr>
          <w:trHeight w:val="20"/>
        </w:trPr>
        <w:tc>
          <w:tcPr>
            <w:tcW w:w="2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Supplemental disclosure of</w:t>
            </w:r>
          </w:p>
        </w:tc>
        <w:tc>
          <w:tcPr>
            <w:tcW w:w="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information</w:t>
            </w:r>
          </w:p>
        </w:tc>
        <w:tc>
          <w:tcPr>
            <w:tcW w:w="6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Interest received during the period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w w:val="94"/>
              </w:rPr>
              <w:t>2,072,464</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2,042,092</w:t>
            </w: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Interest paid during the period</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360,289</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525,657</w:t>
            </w:r>
          </w:p>
        </w:tc>
      </w:tr>
      <w:tr>
        <w:trPr>
          <w:trHeight w:val="216"/>
        </w:trPr>
        <w:tc>
          <w:tcPr>
            <w:tcW w:w="20" w:type="dxa"/>
            <w:vAlign w:val="bottom"/>
          </w:tcPr>
          <w:p>
            <w:pPr>
              <w:spacing w:after="0"/>
              <w:rPr>
                <w:sz w:val="18"/>
                <w:szCs w:val="18"/>
                <w:color w:val="auto"/>
              </w:rPr>
            </w:pPr>
          </w:p>
        </w:tc>
        <w:tc>
          <w:tcPr>
            <w:tcW w:w="7640" w:type="dxa"/>
            <w:vAlign w:val="bottom"/>
            <w:tcBorders>
              <w:bottom w:val="single" w:sz="8" w:color="auto"/>
            </w:tcBorders>
            <w:gridSpan w:val="2"/>
          </w:tcPr>
          <w:p>
            <w:pPr>
              <w:ind w:left="2520"/>
              <w:spacing w:after="0"/>
              <w:rPr>
                <w:sz w:val="20"/>
                <w:szCs w:val="20"/>
                <w:color w:val="auto"/>
              </w:rPr>
            </w:pPr>
            <w:r>
              <w:rPr>
                <w:rFonts w:ascii="Arial" w:cs="Arial" w:eastAsia="Arial" w:hAnsi="Arial"/>
                <w:sz w:val="18"/>
                <w:szCs w:val="18"/>
                <w:color w:val="auto"/>
              </w:rPr>
              <w:t>Income taxes paid (refunded) during the period</w:t>
            </w: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214,903</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(8,157)</w:t>
            </w:r>
          </w:p>
        </w:tc>
      </w:tr>
      <w:tr>
        <w:trPr>
          <w:trHeight w:val="20"/>
        </w:trPr>
        <w:tc>
          <w:tcPr>
            <w:tcW w:w="2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Supplemental schedule of</w:t>
            </w:r>
          </w:p>
        </w:tc>
        <w:tc>
          <w:tcPr>
            <w:tcW w:w="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Real estate acquired in settlement of loans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165,933</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69,518</w:t>
            </w: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Increase (decrease) from consolidation of securitization trusts:</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Loans</w:t>
            </w:r>
          </w:p>
        </w:tc>
        <w:tc>
          <w:tcPr>
            <w:tcW w:w="62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423,865</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 — available for sale</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(360,471)</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Long-term borrowings</w:t>
            </w:r>
          </w:p>
        </w:tc>
        <w:tc>
          <w:tcPr>
            <w:tcW w:w="620" w:type="dxa"/>
            <w:vAlign w:val="bottom"/>
          </w:tcPr>
          <w:p>
            <w:pPr>
              <w:spacing w:after="0"/>
              <w:rPr>
                <w:sz w:val="18"/>
                <w:szCs w:val="18"/>
                <w:color w:val="auto"/>
              </w:rPr>
            </w:pPr>
          </w:p>
        </w:tc>
        <w:tc>
          <w:tcPr>
            <w:tcW w:w="1420" w:type="dxa"/>
            <w:vAlign w:val="bottom"/>
          </w:tcPr>
          <w:p>
            <w:pPr>
              <w:jc w:val="right"/>
              <w:ind w:right="551"/>
              <w:spacing w:after="0"/>
              <w:rPr>
                <w:sz w:val="20"/>
                <w:szCs w:val="20"/>
                <w:color w:val="auto"/>
              </w:rPr>
            </w:pPr>
            <w:r>
              <w:rPr>
                <w:rFonts w:ascii="Arial" w:cs="Arial" w:eastAsia="Arial" w:hAnsi="Arial"/>
                <w:sz w:val="18"/>
                <w:szCs w:val="18"/>
                <w:color w:val="auto"/>
              </w:rPr>
              <w:t>65,419</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and other</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2,025</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gridSpan w:val="2"/>
          </w:tcPr>
          <w:p>
            <w:pPr>
              <w:ind w:left="2520"/>
              <w:spacing w:after="0"/>
              <w:rPr>
                <w:sz w:val="20"/>
                <w:szCs w:val="20"/>
                <w:color w:val="auto"/>
              </w:rPr>
            </w:pPr>
            <w:r>
              <w:rPr>
                <w:rFonts w:ascii="Arial" w:cs="Arial" w:eastAsia="Arial" w:hAnsi="Arial"/>
                <w:sz w:val="18"/>
                <w:szCs w:val="18"/>
                <w:color w:val="auto"/>
              </w:rPr>
              <w:t>Securitization of residential mortgage loans allocated to:</w:t>
            </w: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5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419"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ind w:left="2740"/>
              <w:spacing w:after="0"/>
              <w:rPr>
                <w:sz w:val="20"/>
                <w:szCs w:val="20"/>
                <w:color w:val="auto"/>
              </w:rPr>
            </w:pPr>
            <w:r>
              <w:rPr>
                <w:rFonts w:ascii="Arial" w:cs="Arial" w:eastAsia="Arial" w:hAnsi="Arial"/>
                <w:sz w:val="18"/>
                <w:szCs w:val="18"/>
                <w:color w:val="auto"/>
                <w:w w:val="91"/>
              </w:rPr>
              <w:t>Available for sale investment securities</w:t>
            </w:r>
          </w:p>
        </w:tc>
        <w:tc>
          <w:tcPr>
            <w:tcW w:w="410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140,942</w:t>
            </w:r>
          </w:p>
        </w:tc>
      </w:tr>
      <w:tr>
        <w:trPr>
          <w:trHeight w:val="216"/>
        </w:trPr>
        <w:tc>
          <w:tcPr>
            <w:tcW w:w="5600" w:type="dxa"/>
            <w:vAlign w:val="bottom"/>
          </w:tcPr>
          <w:p>
            <w:pPr>
              <w:ind w:left="2740"/>
              <w:spacing w:after="0"/>
              <w:rPr>
                <w:sz w:val="20"/>
                <w:szCs w:val="20"/>
                <w:color w:val="auto"/>
              </w:rPr>
            </w:pPr>
            <w:r>
              <w:rPr>
                <w:rFonts w:ascii="Arial" w:cs="Arial" w:eastAsia="Arial" w:hAnsi="Arial"/>
                <w:sz w:val="18"/>
                <w:szCs w:val="18"/>
                <w:color w:val="auto"/>
              </w:rPr>
              <w:t>Capitalized servicing rights</w:t>
            </w:r>
          </w:p>
        </w:tc>
        <w:tc>
          <w:tcPr>
            <w:tcW w:w="4100" w:type="dxa"/>
            <w:vAlign w:val="bottom"/>
          </w:tcPr>
          <w:p>
            <w:pPr>
              <w:ind w:left="32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788</w:t>
            </w:r>
          </w:p>
        </w:tc>
      </w:tr>
      <w:tr>
        <w:trPr>
          <w:trHeight w:val="216"/>
        </w:trPr>
        <w:tc>
          <w:tcPr>
            <w:tcW w:w="560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Acquisitions:</w:t>
            </w:r>
          </w:p>
        </w:tc>
        <w:tc>
          <w:tcPr>
            <w:tcW w:w="4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5600" w:type="dxa"/>
            <w:vAlign w:val="bottom"/>
          </w:tcPr>
          <w:p>
            <w:pPr>
              <w:ind w:left="2740"/>
              <w:spacing w:after="0"/>
              <w:rPr>
                <w:sz w:val="20"/>
                <w:szCs w:val="20"/>
                <w:color w:val="auto"/>
              </w:rPr>
            </w:pPr>
            <w:r>
              <w:rPr>
                <w:rFonts w:ascii="Arial" w:cs="Arial" w:eastAsia="Arial" w:hAnsi="Arial"/>
                <w:sz w:val="18"/>
                <w:szCs w:val="18"/>
                <w:color w:val="auto"/>
              </w:rPr>
              <w:t>Fair value of:</w:t>
            </w:r>
          </w:p>
        </w:tc>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560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Assets acquired (noncash)</w:t>
            </w:r>
          </w:p>
        </w:tc>
        <w:tc>
          <w:tcPr>
            <w:tcW w:w="410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6,581,433</w:t>
            </w:r>
          </w:p>
        </w:tc>
      </w:tr>
      <w:tr>
        <w:trPr>
          <w:trHeight w:val="216"/>
        </w:trPr>
        <w:tc>
          <w:tcPr>
            <w:tcW w:w="5600" w:type="dxa"/>
            <w:vAlign w:val="bottom"/>
          </w:tcPr>
          <w:p>
            <w:pPr>
              <w:ind w:left="2960"/>
              <w:spacing w:after="0"/>
              <w:rPr>
                <w:sz w:val="20"/>
                <w:szCs w:val="20"/>
                <w:color w:val="auto"/>
              </w:rPr>
            </w:pPr>
            <w:r>
              <w:rPr>
                <w:rFonts w:ascii="Arial" w:cs="Arial" w:eastAsia="Arial" w:hAnsi="Arial"/>
                <w:sz w:val="18"/>
                <w:szCs w:val="18"/>
                <w:color w:val="auto"/>
              </w:rPr>
              <w:t>Liabilities assumed</w:t>
            </w:r>
          </w:p>
        </w:tc>
        <w:tc>
          <w:tcPr>
            <w:tcW w:w="4100" w:type="dxa"/>
            <w:vAlign w:val="bottom"/>
          </w:tcPr>
          <w:p>
            <w:pPr>
              <w:ind w:left="32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6,318,998</w:t>
            </w:r>
          </w:p>
        </w:tc>
      </w:tr>
      <w:tr>
        <w:trPr>
          <w:trHeight w:val="216"/>
        </w:trPr>
        <w:tc>
          <w:tcPr>
            <w:tcW w:w="560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Preferred stock issued</w:t>
            </w:r>
          </w:p>
        </w:tc>
        <w:tc>
          <w:tcPr>
            <w:tcW w:w="410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155,779</w:t>
            </w:r>
          </w:p>
        </w:tc>
      </w:tr>
      <w:tr>
        <w:trPr>
          <w:trHeight w:val="216"/>
        </w:trPr>
        <w:tc>
          <w:tcPr>
            <w:tcW w:w="5600" w:type="dxa"/>
            <w:vAlign w:val="bottom"/>
          </w:tcPr>
          <w:p>
            <w:pPr>
              <w:ind w:left="2960"/>
              <w:spacing w:after="0"/>
              <w:rPr>
                <w:sz w:val="20"/>
                <w:szCs w:val="20"/>
                <w:color w:val="auto"/>
              </w:rPr>
            </w:pPr>
            <w:r>
              <w:rPr>
                <w:rFonts w:ascii="Arial" w:cs="Arial" w:eastAsia="Arial" w:hAnsi="Arial"/>
                <w:sz w:val="18"/>
                <w:szCs w:val="18"/>
                <w:color w:val="auto"/>
              </w:rPr>
              <w:t>Common stock issued</w:t>
            </w:r>
          </w:p>
        </w:tc>
        <w:tc>
          <w:tcPr>
            <w:tcW w:w="4100" w:type="dxa"/>
            <w:vAlign w:val="bottom"/>
          </w:tcPr>
          <w:p>
            <w:pPr>
              <w:ind w:left="32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272,824</w:t>
            </w:r>
          </w:p>
        </w:tc>
      </w:tr>
      <w:tr>
        <w:trPr>
          <w:trHeight w:val="216"/>
        </w:trPr>
        <w:tc>
          <w:tcPr>
            <w:tcW w:w="560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Common stock options</w:t>
            </w:r>
          </w:p>
        </w:tc>
        <w:tc>
          <w:tcPr>
            <w:tcW w:w="410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1,367</w:t>
            </w:r>
          </w:p>
        </w:tc>
      </w:tr>
      <w:tr>
        <w:trPr>
          <w:trHeight w:val="230"/>
        </w:trPr>
        <w:tc>
          <w:tcPr>
            <w:tcW w:w="5600" w:type="dxa"/>
            <w:vAlign w:val="bottom"/>
          </w:tcPr>
          <w:p>
            <w:pPr>
              <w:ind w:left="2960"/>
              <w:spacing w:after="0"/>
              <w:rPr>
                <w:sz w:val="20"/>
                <w:szCs w:val="20"/>
                <w:color w:val="auto"/>
              </w:rPr>
            </w:pPr>
            <w:r>
              <w:rPr>
                <w:rFonts w:ascii="Arial" w:cs="Arial" w:eastAsia="Arial" w:hAnsi="Arial"/>
                <w:sz w:val="18"/>
                <w:szCs w:val="18"/>
                <w:color w:val="auto"/>
              </w:rPr>
              <w:t>Common stock warrants</w:t>
            </w:r>
          </w:p>
        </w:tc>
        <w:tc>
          <w:tcPr>
            <w:tcW w:w="4100" w:type="dxa"/>
            <w:vAlign w:val="bottom"/>
          </w:tcPr>
          <w:p>
            <w:pPr>
              <w:ind w:left="32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6,467</w:t>
            </w:r>
          </w:p>
        </w:tc>
      </w:tr>
      <w:tr>
        <w:trPr>
          <w:trHeight w:val="391"/>
        </w:trPr>
        <w:tc>
          <w:tcPr>
            <w:tcW w:w="56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24"/>
                <w:szCs w:val="24"/>
                <w:color w:val="auto"/>
              </w:rPr>
            </w:pPr>
          </w:p>
        </w:tc>
      </w:tr>
      <w:tr>
        <w:trPr>
          <w:trHeight w:val="226"/>
        </w:trPr>
        <w:tc>
          <w:tcPr>
            <w:tcW w:w="560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 w:name="page9"/>
    <w:bookmarkEnd w:id="8"/>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STOCKHOLDERS’ EQUITY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jc w:val="right"/>
              <w:ind w:right="220"/>
              <w:spacing w:after="0"/>
              <w:rPr>
                <w:sz w:val="20"/>
                <w:szCs w:val="20"/>
                <w:color w:val="auto"/>
              </w:rPr>
            </w:pPr>
            <w:r>
              <w:rPr>
                <w:rFonts w:ascii="Arial" w:cs="Arial" w:eastAsia="Arial" w:hAnsi="Arial"/>
                <w:sz w:val="14"/>
                <w:szCs w:val="14"/>
                <w:color w:val="auto"/>
              </w:rPr>
              <w:t>Accumulated</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jc w:val="right"/>
              <w:ind w:right="220"/>
              <w:spacing w:after="0" w:line="149" w:lineRule="exact"/>
              <w:rPr>
                <w:sz w:val="20"/>
                <w:szCs w:val="20"/>
                <w:color w:val="auto"/>
              </w:rPr>
            </w:pPr>
            <w:r>
              <w:rPr>
                <w:rFonts w:ascii="Arial" w:cs="Arial" w:eastAsia="Arial" w:hAnsi="Arial"/>
                <w:sz w:val="14"/>
                <w:szCs w:val="14"/>
                <w:color w:val="auto"/>
              </w:rPr>
              <w:t>other</w:t>
            </w:r>
          </w:p>
        </w:tc>
        <w:tc>
          <w:tcPr>
            <w:tcW w:w="1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Common</w:t>
            </w:r>
          </w:p>
        </w:tc>
        <w:tc>
          <w:tcPr>
            <w:tcW w:w="118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Additional</w:t>
            </w:r>
          </w:p>
        </w:tc>
        <w:tc>
          <w:tcPr>
            <w:tcW w:w="1120" w:type="dxa"/>
            <w:vAlign w:val="bottom"/>
          </w:tcPr>
          <w:p>
            <w:pPr>
              <w:spacing w:after="0"/>
              <w:rPr>
                <w:sz w:val="12"/>
                <w:szCs w:val="12"/>
                <w:color w:val="auto"/>
              </w:rPr>
            </w:pPr>
          </w:p>
        </w:tc>
        <w:tc>
          <w:tcPr>
            <w:tcW w:w="134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comprehensive</w:t>
            </w:r>
          </w:p>
        </w:tc>
        <w:tc>
          <w:tcPr>
            <w:tcW w:w="1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80" w:type="dxa"/>
            <w:vAlign w:val="bottom"/>
          </w:tcPr>
          <w:p>
            <w:pPr>
              <w:jc w:val="right"/>
              <w:ind w:right="180"/>
              <w:spacing w:after="0" w:line="149" w:lineRule="exact"/>
              <w:rPr>
                <w:sz w:val="20"/>
                <w:szCs w:val="20"/>
                <w:color w:val="auto"/>
              </w:rPr>
            </w:pPr>
            <w:r>
              <w:rPr>
                <w:rFonts w:ascii="Arial" w:cs="Arial" w:eastAsia="Arial" w:hAnsi="Arial"/>
                <w:sz w:val="14"/>
                <w:szCs w:val="14"/>
                <w:color w:val="auto"/>
              </w:rPr>
              <w:t>Preferred</w:t>
            </w:r>
          </w:p>
        </w:tc>
        <w:tc>
          <w:tcPr>
            <w:tcW w:w="108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Common</w:t>
            </w:r>
          </w:p>
        </w:tc>
        <w:tc>
          <w:tcPr>
            <w:tcW w:w="108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stock</w:t>
            </w:r>
          </w:p>
        </w:tc>
        <w:tc>
          <w:tcPr>
            <w:tcW w:w="118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paid-in</w:t>
            </w:r>
          </w:p>
        </w:tc>
        <w:tc>
          <w:tcPr>
            <w:tcW w:w="1120" w:type="dxa"/>
            <w:vAlign w:val="bottom"/>
          </w:tcPr>
          <w:p>
            <w:pPr>
              <w:jc w:val="right"/>
              <w:ind w:right="160"/>
              <w:spacing w:after="0" w:line="149" w:lineRule="exact"/>
              <w:rPr>
                <w:sz w:val="20"/>
                <w:szCs w:val="20"/>
                <w:color w:val="auto"/>
              </w:rPr>
            </w:pPr>
            <w:r>
              <w:rPr>
                <w:rFonts w:ascii="Arial" w:cs="Arial" w:eastAsia="Arial" w:hAnsi="Arial"/>
                <w:sz w:val="14"/>
                <w:szCs w:val="14"/>
                <w:color w:val="auto"/>
              </w:rPr>
              <w:t>Retained</w:t>
            </w:r>
          </w:p>
        </w:tc>
        <w:tc>
          <w:tcPr>
            <w:tcW w:w="1340" w:type="dxa"/>
            <w:vAlign w:val="bottom"/>
          </w:tcPr>
          <w:p>
            <w:pPr>
              <w:jc w:val="right"/>
              <w:ind w:right="220"/>
              <w:spacing w:after="0" w:line="149" w:lineRule="exact"/>
              <w:rPr>
                <w:sz w:val="20"/>
                <w:szCs w:val="20"/>
                <w:color w:val="auto"/>
              </w:rPr>
            </w:pPr>
            <w:r>
              <w:rPr>
                <w:rFonts w:ascii="Arial" w:cs="Arial" w:eastAsia="Arial" w:hAnsi="Arial"/>
                <w:sz w:val="14"/>
                <w:szCs w:val="14"/>
                <w:color w:val="auto"/>
              </w:rPr>
              <w:t>income</w:t>
            </w:r>
          </w:p>
        </w:tc>
        <w:tc>
          <w:tcPr>
            <w:tcW w:w="1360" w:type="dxa"/>
            <w:vAlign w:val="bottom"/>
          </w:tcPr>
          <w:p>
            <w:pPr>
              <w:jc w:val="right"/>
              <w:ind w:right="340"/>
              <w:spacing w:after="0" w:line="149" w:lineRule="exact"/>
              <w:rPr>
                <w:sz w:val="20"/>
                <w:szCs w:val="20"/>
                <w:color w:val="auto"/>
              </w:rPr>
            </w:pPr>
            <w:r>
              <w:rPr>
                <w:rFonts w:ascii="Arial" w:cs="Arial" w:eastAsia="Arial" w:hAnsi="Arial"/>
                <w:sz w:val="14"/>
                <w:szCs w:val="14"/>
                <w:color w:val="auto"/>
              </w:rPr>
              <w:t>Treasury</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1080" w:type="dxa"/>
            <w:vAlign w:val="bottom"/>
          </w:tcPr>
          <w:p>
            <w:pPr>
              <w:jc w:val="right"/>
              <w:ind w:right="180"/>
              <w:spacing w:after="0"/>
              <w:rPr>
                <w:sz w:val="20"/>
                <w:szCs w:val="20"/>
                <w:color w:val="auto"/>
              </w:rPr>
            </w:pPr>
            <w:r>
              <w:rPr>
                <w:rFonts w:ascii="Arial" w:cs="Arial" w:eastAsia="Arial" w:hAnsi="Arial"/>
                <w:sz w:val="14"/>
                <w:szCs w:val="14"/>
                <w:color w:val="auto"/>
              </w:rPr>
              <w:t>stock</w:t>
            </w:r>
          </w:p>
        </w:tc>
        <w:tc>
          <w:tcPr>
            <w:tcW w:w="1080" w:type="dxa"/>
            <w:vAlign w:val="bottom"/>
          </w:tcPr>
          <w:p>
            <w:pPr>
              <w:jc w:val="right"/>
              <w:ind w:right="200"/>
              <w:spacing w:after="0"/>
              <w:rPr>
                <w:sz w:val="20"/>
                <w:szCs w:val="20"/>
                <w:color w:val="auto"/>
              </w:rPr>
            </w:pPr>
            <w:r>
              <w:rPr>
                <w:rFonts w:ascii="Arial" w:cs="Arial" w:eastAsia="Arial" w:hAnsi="Arial"/>
                <w:sz w:val="14"/>
                <w:szCs w:val="14"/>
                <w:color w:val="auto"/>
              </w:rPr>
              <w:t>stock</w:t>
            </w:r>
          </w:p>
        </w:tc>
        <w:tc>
          <w:tcPr>
            <w:tcW w:w="1080" w:type="dxa"/>
            <w:vAlign w:val="bottom"/>
          </w:tcPr>
          <w:p>
            <w:pPr>
              <w:jc w:val="right"/>
              <w:ind w:right="200"/>
              <w:spacing w:after="0"/>
              <w:rPr>
                <w:sz w:val="20"/>
                <w:szCs w:val="20"/>
                <w:color w:val="auto"/>
              </w:rPr>
            </w:pPr>
            <w:r>
              <w:rPr>
                <w:rFonts w:ascii="Arial" w:cs="Arial" w:eastAsia="Arial" w:hAnsi="Arial"/>
                <w:sz w:val="14"/>
                <w:szCs w:val="14"/>
                <w:color w:val="auto"/>
              </w:rPr>
              <w:t>issuable</w:t>
            </w:r>
          </w:p>
        </w:tc>
        <w:tc>
          <w:tcPr>
            <w:tcW w:w="1180" w:type="dxa"/>
            <w:vAlign w:val="bottom"/>
          </w:tcPr>
          <w:p>
            <w:pPr>
              <w:jc w:val="right"/>
              <w:ind w:right="200"/>
              <w:spacing w:after="0"/>
              <w:rPr>
                <w:sz w:val="20"/>
                <w:szCs w:val="20"/>
                <w:color w:val="auto"/>
              </w:rPr>
            </w:pPr>
            <w:r>
              <w:rPr>
                <w:rFonts w:ascii="Arial" w:cs="Arial" w:eastAsia="Arial" w:hAnsi="Arial"/>
                <w:sz w:val="14"/>
                <w:szCs w:val="14"/>
                <w:color w:val="auto"/>
              </w:rPr>
              <w:t>capital</w:t>
            </w:r>
          </w:p>
        </w:tc>
        <w:tc>
          <w:tcPr>
            <w:tcW w:w="1120" w:type="dxa"/>
            <w:vAlign w:val="bottom"/>
          </w:tcPr>
          <w:p>
            <w:pPr>
              <w:jc w:val="right"/>
              <w:ind w:right="160"/>
              <w:spacing w:after="0"/>
              <w:rPr>
                <w:sz w:val="20"/>
                <w:szCs w:val="20"/>
                <w:color w:val="auto"/>
              </w:rPr>
            </w:pPr>
            <w:r>
              <w:rPr>
                <w:rFonts w:ascii="Arial" w:cs="Arial" w:eastAsia="Arial" w:hAnsi="Arial"/>
                <w:sz w:val="14"/>
                <w:szCs w:val="14"/>
                <w:color w:val="auto"/>
              </w:rPr>
              <w:t>earnings</w:t>
            </w:r>
          </w:p>
        </w:tc>
        <w:tc>
          <w:tcPr>
            <w:tcW w:w="1340" w:type="dxa"/>
            <w:vAlign w:val="bottom"/>
          </w:tcPr>
          <w:p>
            <w:pPr>
              <w:jc w:val="right"/>
              <w:ind w:right="220"/>
              <w:spacing w:after="0"/>
              <w:rPr>
                <w:sz w:val="20"/>
                <w:szCs w:val="20"/>
                <w:color w:val="auto"/>
              </w:rPr>
            </w:pPr>
            <w:r>
              <w:rPr>
                <w:rFonts w:ascii="Arial" w:cs="Arial" w:eastAsia="Arial" w:hAnsi="Arial"/>
                <w:sz w:val="14"/>
                <w:szCs w:val="14"/>
                <w:color w:val="auto"/>
              </w:rPr>
              <w:t>(loss), net</w:t>
            </w:r>
          </w:p>
        </w:tc>
        <w:tc>
          <w:tcPr>
            <w:tcW w:w="1360" w:type="dxa"/>
            <w:vAlign w:val="bottom"/>
          </w:tcPr>
          <w:p>
            <w:pPr>
              <w:jc w:val="right"/>
              <w:ind w:right="340"/>
              <w:spacing w:after="0"/>
              <w:rPr>
                <w:sz w:val="20"/>
                <w:szCs w:val="20"/>
                <w:color w:val="auto"/>
              </w:rPr>
            </w:pPr>
            <w:r>
              <w:rPr>
                <w:rFonts w:ascii="Arial" w:cs="Arial" w:eastAsia="Arial" w:hAnsi="Arial"/>
                <w:sz w:val="14"/>
                <w:szCs w:val="14"/>
                <w:color w:val="auto"/>
              </w:rPr>
              <w:t>stock</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2009</w:t>
            </w:r>
          </w:p>
        </w:tc>
        <w:tc>
          <w:tcPr>
            <w:tcW w:w="10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Balance-January 1, 2009</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$ 567,463</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60,198</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4,617</w:t>
            </w: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2,897,907</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5,062,754</w:t>
            </w:r>
          </w:p>
        </w:tc>
        <w:tc>
          <w:tcPr>
            <w:tcW w:w="1340" w:type="dxa"/>
            <w:vAlign w:val="bottom"/>
          </w:tcPr>
          <w:p>
            <w:pPr>
              <w:jc w:val="right"/>
              <w:ind w:right="160"/>
              <w:spacing w:after="0"/>
              <w:rPr>
                <w:sz w:val="20"/>
                <w:szCs w:val="20"/>
                <w:color w:val="auto"/>
              </w:rPr>
            </w:pPr>
            <w:r>
              <w:rPr>
                <w:rFonts w:ascii="Arial" w:cs="Arial" w:eastAsia="Arial" w:hAnsi="Arial"/>
                <w:sz w:val="16"/>
                <w:szCs w:val="16"/>
                <w:color w:val="auto"/>
              </w:rPr>
              <w:t>(736,881)</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(1,071,327)</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6,784,731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243,073</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243,073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Other comprehensive income,</w:t>
            </w: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of tax and</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reclassification</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adjustments:</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ind w:left="600"/>
              <w:spacing w:after="0"/>
              <w:rPr>
                <w:sz w:val="20"/>
                <w:szCs w:val="20"/>
                <w:color w:val="auto"/>
              </w:rPr>
            </w:pPr>
            <w:r>
              <w:rPr>
                <w:rFonts w:ascii="Arial" w:cs="Arial" w:eastAsia="Arial" w:hAnsi="Arial"/>
                <w:sz w:val="16"/>
                <w:szCs w:val="16"/>
                <w:color w:val="auto"/>
              </w:rPr>
              <w:t>Unrealized gains on</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Pr>
          <w:p>
            <w:pPr>
              <w:ind w:left="800"/>
              <w:spacing w:after="0"/>
              <w:rPr>
                <w:sz w:val="20"/>
                <w:szCs w:val="20"/>
                <w:color w:val="auto"/>
              </w:rPr>
            </w:pPr>
            <w:r>
              <w:rPr>
                <w:rFonts w:ascii="Arial" w:cs="Arial" w:eastAsia="Arial" w:hAnsi="Arial"/>
                <w:sz w:val="16"/>
                <w:szCs w:val="16"/>
                <w:color w:val="auto"/>
                <w:w w:val="99"/>
              </w:rPr>
              <w:t>investment securities</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309,150</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309,150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Defined benefit plans</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liability adjustment</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1,818</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ind w:left="600"/>
              <w:spacing w:after="0"/>
              <w:rPr>
                <w:sz w:val="20"/>
                <w:szCs w:val="20"/>
                <w:color w:val="auto"/>
              </w:rPr>
            </w:pPr>
            <w:r>
              <w:rPr>
                <w:rFonts w:ascii="Arial" w:cs="Arial" w:eastAsia="Arial" w:hAnsi="Arial"/>
                <w:sz w:val="16"/>
                <w:szCs w:val="16"/>
                <w:color w:val="auto"/>
              </w:rPr>
              <w:t>Unrealized losses on</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800"/>
              <w:spacing w:after="0"/>
              <w:rPr>
                <w:sz w:val="20"/>
                <w:szCs w:val="20"/>
                <w:color w:val="auto"/>
              </w:rPr>
            </w:pPr>
            <w:r>
              <w:rPr>
                <w:rFonts w:ascii="Arial" w:cs="Arial" w:eastAsia="Arial" w:hAnsi="Arial"/>
                <w:sz w:val="16"/>
                <w:szCs w:val="16"/>
                <w:color w:val="auto"/>
              </w:rPr>
              <w:t>terminated cash flow</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00" w:type="dxa"/>
            <w:vAlign w:val="bottom"/>
          </w:tcPr>
          <w:p>
            <w:pPr>
              <w:ind w:left="800"/>
              <w:spacing w:after="0"/>
              <w:rPr>
                <w:sz w:val="20"/>
                <w:szCs w:val="20"/>
                <w:color w:val="auto"/>
              </w:rPr>
            </w:pPr>
            <w:r>
              <w:rPr>
                <w:rFonts w:ascii="Arial" w:cs="Arial" w:eastAsia="Arial" w:hAnsi="Arial"/>
                <w:sz w:val="16"/>
                <w:szCs w:val="16"/>
                <w:color w:val="auto"/>
              </w:rPr>
              <w:t>hedges</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6,627</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560,668</w:t>
            </w:r>
          </w:p>
        </w:tc>
        <w:tc>
          <w:tcPr>
            <w:tcW w:w="0" w:type="dxa"/>
            <w:vAlign w:val="bottom"/>
          </w:tcPr>
          <w:p>
            <w:pPr>
              <w:spacing w:after="0"/>
              <w:rPr>
                <w:sz w:val="1"/>
                <w:szCs w:val="1"/>
                <w:color w:val="auto"/>
              </w:rPr>
            </w:pPr>
          </w:p>
        </w:tc>
      </w:tr>
      <w:tr>
        <w:trPr>
          <w:trHeight w:val="395"/>
        </w:trPr>
        <w:tc>
          <w:tcPr>
            <w:tcW w:w="2320" w:type="dxa"/>
            <w:vAlign w:val="bottom"/>
            <w:gridSpan w:val="2"/>
          </w:tcPr>
          <w:p>
            <w:pPr>
              <w:spacing w:after="0"/>
              <w:rPr>
                <w:sz w:val="20"/>
                <w:szCs w:val="20"/>
                <w:color w:val="auto"/>
              </w:rPr>
            </w:pPr>
            <w:r>
              <w:rPr>
                <w:rFonts w:ascii="Arial" w:cs="Arial" w:eastAsia="Arial" w:hAnsi="Arial"/>
                <w:sz w:val="16"/>
                <w:szCs w:val="16"/>
                <w:color w:val="auto"/>
              </w:rPr>
              <w:t>Acquisition of Provident</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rPr>
              <w:t>Bankshares Corporation:</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issued</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155,779</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155,779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rPr>
              <w:t>Common stock issued</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(348,080)</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620,904</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272,824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options</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1,367</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rPr>
              <w:t>Common stock warrants</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6,467</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6,467</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to</w:t>
            </w: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defined benefit pension plan</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(51,417)</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95,706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Preferred stock cash dividends</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(21,890)</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(21,890)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preferred stock</w:t>
            </w: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discount</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4,506</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(4,506)</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w w:val="95"/>
              </w:rPr>
              <w:t>Repayment of management stock</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w w:val="97"/>
              </w:rPr>
              <w:t>ownership program receivable</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195</w:t>
            </w: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w w:val="94"/>
              </w:rPr>
              <w:t>Stock-based compensation plans:</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rPr>
              <w:t>Compensation expense</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(31,677)</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74,642</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42,965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Exercises of stock options</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(24,335)</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31,751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rPr>
              <w:t>Directors’ stock plan</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(1,082)</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2,050</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Deferred compensation plans,</w:t>
            </w: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including dividend</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equivalents</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(326)</w:t>
            </w:r>
          </w:p>
        </w:tc>
        <w:tc>
          <w:tcPr>
            <w:tcW w:w="11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(502)</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1,035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Common stock cash dividends</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 $2.10 per share</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(243,471)</w:t>
            </w: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(243,471)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 September 30, 2009</w:t>
            </w:r>
          </w:p>
        </w:tc>
        <w:tc>
          <w:tcPr>
            <w:tcW w:w="10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$ 727,748</w:t>
            </w:r>
          </w:p>
        </w:tc>
        <w:tc>
          <w:tcPr>
            <w:tcW w:w="10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60,198</w:t>
            </w:r>
          </w:p>
        </w:tc>
        <w:tc>
          <w:tcPr>
            <w:tcW w:w="10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4,291</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2,448,843</w:t>
            </w:r>
          </w:p>
        </w:tc>
        <w:tc>
          <w:tcPr>
            <w:tcW w:w="11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5,035,808</w:t>
            </w:r>
          </w:p>
        </w:tc>
        <w:tc>
          <w:tcPr>
            <w:tcW w:w="1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(419,286)</w:t>
            </w:r>
          </w:p>
        </w:tc>
        <w:tc>
          <w:tcPr>
            <w:tcW w:w="13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(245,239)</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7,612,363</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2010</w:t>
            </w:r>
          </w:p>
        </w:tc>
        <w:tc>
          <w:tcPr>
            <w:tcW w:w="10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Balance-January 1, 2010</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$ 730,235</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60,198</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4,342</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2,442,947</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5,076,884</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(335,997)</w:t>
            </w:r>
          </w:p>
        </w:tc>
        <w:tc>
          <w:tcPr>
            <w:tcW w:w="13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(225,702)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7,752,907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Comprehensive income:</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531,719</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531,719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w w:val="97"/>
              </w:rPr>
              <w:t>Other comprehensive income,</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400"/>
              <w:spacing w:after="0"/>
              <w:rPr>
                <w:sz w:val="20"/>
                <w:szCs w:val="20"/>
                <w:color w:val="auto"/>
              </w:rPr>
            </w:pPr>
            <w:r>
              <w:rPr>
                <w:rFonts w:ascii="Arial" w:cs="Arial" w:eastAsia="Arial" w:hAnsi="Arial"/>
                <w:sz w:val="16"/>
                <w:szCs w:val="16"/>
                <w:color w:val="auto"/>
              </w:rPr>
              <w:t>net of tax and</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400"/>
              <w:spacing w:after="0"/>
              <w:rPr>
                <w:sz w:val="20"/>
                <w:szCs w:val="20"/>
                <w:color w:val="auto"/>
              </w:rPr>
            </w:pPr>
            <w:r>
              <w:rPr>
                <w:rFonts w:ascii="Arial" w:cs="Arial" w:eastAsia="Arial" w:hAnsi="Arial"/>
                <w:sz w:val="16"/>
                <w:szCs w:val="16"/>
                <w:color w:val="auto"/>
              </w:rPr>
              <w:t>reclassification</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Pr>
          <w:p>
            <w:pPr>
              <w:ind w:left="400"/>
              <w:spacing w:after="0"/>
              <w:rPr>
                <w:sz w:val="20"/>
                <w:szCs w:val="20"/>
                <w:color w:val="auto"/>
              </w:rPr>
            </w:pPr>
            <w:r>
              <w:rPr>
                <w:rFonts w:ascii="Arial" w:cs="Arial" w:eastAsia="Arial" w:hAnsi="Arial"/>
                <w:sz w:val="16"/>
                <w:szCs w:val="16"/>
                <w:color w:val="auto"/>
              </w:rPr>
              <w:t>adjustments:</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Unrealized gains on</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9"/>
              </w:rPr>
              <w:t>investment securities</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140,392</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140,392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ind w:left="600"/>
              <w:spacing w:after="0"/>
              <w:rPr>
                <w:sz w:val="20"/>
                <w:szCs w:val="20"/>
                <w:color w:val="auto"/>
              </w:rPr>
            </w:pPr>
            <w:r>
              <w:rPr>
                <w:rFonts w:ascii="Arial" w:cs="Arial" w:eastAsia="Arial" w:hAnsi="Arial"/>
                <w:sz w:val="16"/>
                <w:szCs w:val="16"/>
                <w:color w:val="auto"/>
              </w:rPr>
              <w:t>Defined benefit plans</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Pr>
          <w:p>
            <w:pPr>
              <w:ind w:left="800"/>
              <w:spacing w:after="0"/>
              <w:rPr>
                <w:sz w:val="20"/>
                <w:szCs w:val="20"/>
                <w:color w:val="auto"/>
              </w:rPr>
            </w:pPr>
            <w:r>
              <w:rPr>
                <w:rFonts w:ascii="Arial" w:cs="Arial" w:eastAsia="Arial" w:hAnsi="Arial"/>
                <w:sz w:val="16"/>
                <w:szCs w:val="16"/>
                <w:color w:val="auto"/>
              </w:rPr>
              <w:t>liability adjustment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3,262</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Unrealized gain on</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terminated cash flow</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hedge</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(211)</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675,162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cash dividends</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(30,169)</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(30,169)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Amortization of preferred stock</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rPr>
              <w:t>discount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7,744</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(7,744)</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w w:val="95"/>
              </w:rPr>
              <w:t>Repayment of management stock</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ownership program receivable</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2,686</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6"/>
                <w:szCs w:val="16"/>
                <w:color w:val="auto"/>
                <w:w w:val="94"/>
              </w:rPr>
              <w:t>Stock-based compensation plans:</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expense</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(3,545)</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46,697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rPr>
              <w:t>Exercises of stock options</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(25,639)</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58,892</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33,253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purchase plan</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(8,482)</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17,480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200"/>
              <w:spacing w:after="0"/>
              <w:rPr>
                <w:sz w:val="20"/>
                <w:szCs w:val="20"/>
                <w:color w:val="auto"/>
              </w:rPr>
            </w:pPr>
            <w:r>
              <w:rPr>
                <w:rFonts w:ascii="Arial" w:cs="Arial" w:eastAsia="Arial" w:hAnsi="Arial"/>
                <w:sz w:val="16"/>
                <w:szCs w:val="16"/>
                <w:color w:val="auto"/>
              </w:rPr>
              <w:t>Directors’ stock plan</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(289)</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40"/>
              <w:spacing w:after="0"/>
              <w:rPr>
                <w:sz w:val="20"/>
                <w:szCs w:val="20"/>
                <w:color w:val="auto"/>
              </w:rPr>
            </w:pPr>
            <w:r>
              <w:rPr>
                <w:rFonts w:ascii="Arial" w:cs="Arial" w:eastAsia="Arial" w:hAnsi="Arial"/>
                <w:sz w:val="16"/>
                <w:szCs w:val="16"/>
                <w:color w:val="auto"/>
              </w:rPr>
              <w:t>1,116</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19"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Deferred compensation plans,</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(196)</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(295)</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(147)</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3"/>
        </w:trPr>
        <w:tc>
          <w:tcPr>
            <w:tcW w:w="23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including dividend</w:t>
            </w: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2"/>
        </w:trPr>
        <w:tc>
          <w:tcPr>
            <w:tcW w:w="23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equivalents</w:t>
            </w: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2300" w:type="dxa"/>
            <w:vAlign w:val="bottom"/>
          </w:tcPr>
          <w:p>
            <w:pPr>
              <w:ind w:left="220"/>
              <w:spacing w:after="0"/>
              <w:rPr>
                <w:sz w:val="20"/>
                <w:szCs w:val="20"/>
                <w:color w:val="auto"/>
              </w:rPr>
            </w:pPr>
            <w:r>
              <w:rPr>
                <w:rFonts w:ascii="Arial" w:cs="Arial" w:eastAsia="Arial" w:hAnsi="Arial"/>
                <w:sz w:val="16"/>
                <w:szCs w:val="16"/>
                <w:color w:val="auto"/>
              </w:rPr>
              <w:t>Other</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7"/>
              <w:spacing w:after="0"/>
              <w:rPr>
                <w:sz w:val="20"/>
                <w:szCs w:val="20"/>
                <w:color w:val="auto"/>
              </w:rPr>
            </w:pPr>
            <w:r>
              <w:rPr>
                <w:rFonts w:ascii="Arial" w:cs="Arial" w:eastAsia="Arial" w:hAnsi="Arial"/>
                <w:sz w:val="16"/>
                <w:szCs w:val="16"/>
                <w:color w:val="auto"/>
              </w:rPr>
              <w:t>1,354</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(5,025)</w:t>
            </w:r>
          </w:p>
        </w:tc>
        <w:tc>
          <w:tcPr>
            <w:tcW w:w="1000" w:type="dxa"/>
            <w:vAlign w:val="bottom"/>
          </w:tcPr>
          <w:p>
            <w:pPr>
              <w:jc w:val="right"/>
              <w:spacing w:after="0"/>
              <w:rPr>
                <w:sz w:val="20"/>
                <w:szCs w:val="20"/>
                <w:color w:val="auto"/>
              </w:rPr>
            </w:pPr>
            <w:r>
              <w:rPr>
                <w:rFonts w:ascii="Arial" w:cs="Arial" w:eastAsia="Arial" w:hAnsi="Arial"/>
                <w:sz w:val="16"/>
                <w:szCs w:val="16"/>
                <w:color w:val="auto"/>
              </w:rPr>
              <w:t>(3,671)</w:t>
            </w:r>
          </w:p>
        </w:tc>
      </w:tr>
      <w:tr>
        <w:trPr>
          <w:trHeight w:val="193"/>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Common stock cash dividends</w:t>
            </w:r>
          </w:p>
        </w:tc>
        <w:tc>
          <w:tcPr>
            <w:tcW w:w="1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9"/>
        </w:trPr>
        <w:tc>
          <w:tcPr>
            <w:tcW w:w="2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 $2.10 per share</w:t>
            </w: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(251,345)</w:t>
            </w: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(251,345)</w:t>
            </w:r>
          </w:p>
        </w:tc>
      </w:tr>
      <w:tr>
        <w:trPr>
          <w:trHeight w:val="210"/>
        </w:trPr>
        <w:tc>
          <w:tcPr>
            <w:tcW w:w="2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 September 30, 2010</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$ 737,979</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60,198</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4,146</w:t>
            </w: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6"/>
                <w:szCs w:val="16"/>
                <w:color w:val="auto"/>
              </w:rPr>
              <w:t>2,408,737</w:t>
            </w: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5,319,198</w:t>
            </w: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(192,554)</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(105,931)</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8,231,773</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02"/>
        </w:trPr>
        <w:tc>
          <w:tcPr>
            <w:tcW w:w="2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jc w:val="right"/>
              <w:ind w:right="837"/>
              <w:spacing w:after="0"/>
              <w:rPr>
                <w:sz w:val="20"/>
                <w:szCs w:val="20"/>
                <w:color w:val="auto"/>
              </w:rPr>
            </w:pPr>
            <w:r>
              <w:rPr>
                <w:rFonts w:ascii="Arial" w:cs="Arial" w:eastAsia="Arial" w:hAnsi="Arial"/>
                <w:sz w:val="18"/>
                <w:szCs w:val="18"/>
                <w:color w:val="auto"/>
              </w:rPr>
              <w:t>-6-</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23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2009 Annual Report, except as described below. In the opinion of management, all adjustments necessary for a fair presentation have been made and were all of a normal recurring nature.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August 28, 2009, M&amp;T Bank, M&amp;T’s principal banking subsidiary, entered into a purchase and assumption agreement with the Federal Deposit Insurance Corporation (“FDIC”) to assume all of the deposits and acquire certain assets of Bradford Bank (“Bradford”), based in Baltimore, Maryland. As part of the transaction, M&amp;T Bank entered into a loss-share arrangement with the FDIC whereby M&amp;T Bank will be reimbursed by the FDIC for most losses it incurs on the acquired loan portfolio. The transaction has been accounted for using the acquisition method of accounting and, accordingly, assets acquired and liabilities assumed were recorded at estimated fair value on the acquisition date. Assets acquired totaled approximately $469 million, including $302 million of loans, and liabilities assumed aggregated $440 million, including $361 million of deposits. In accordance with GAAP, M&amp;T Bank recorded an after-tax gain on the transaction of $18 million ($29 million before taxes) during the third quarter of 2009. There was no goodwill or other intangible assets recorded in connection with this transaction. The Bradford acquisition transaction did not have a material impact on the Company’s consolidated statement of position or results of operations.</w:t>
      </w:r>
    </w:p>
    <w:p>
      <w:pPr>
        <w:spacing w:after="0" w:line="8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stockholders’ equity.</w:t>
      </w:r>
    </w:p>
    <w:p>
      <w:pPr>
        <w:spacing w:after="0" w:line="70"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Provident transaction has been accounted for using the acquisition method of accounting and, accordingly, assets acquired, liabilities assumed and consideration exchanged were recorded at estimated fair value on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stockholders’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expanded the Company’s presence in the Mid-Atlantic area, gave the Company the second largest deposit share in Maryland, and tripled the Company’s presence in Virginia.</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these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and other factors, such as prepayments. In accordance with GAAP, there was no carry-over of Provident’s previously established allowance for credit losses. Subsequent decreases in the expected cash flows require the Company to evaluate the need for additions to the Company’s allowance for credit losses. Subsequent improvements in expected cash flows generally result in the recognition of additional interest income over the then remaining lives of the loans.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conjunction with the Provident acquisition, the acquired loan portfolio was accounted for at fair value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May 23, 2009</w:t>
            </w:r>
          </w:p>
        </w:tc>
      </w:tr>
      <w:tr>
        <w:trPr>
          <w:trHeight w:val="142"/>
        </w:trPr>
        <w:tc>
          <w:tcPr>
            <w:tcW w:w="20" w:type="dxa"/>
            <w:vAlign w:val="bottom"/>
          </w:tcPr>
          <w:p>
            <w:pPr>
              <w:spacing w:after="0"/>
              <w:rPr>
                <w:sz w:val="12"/>
                <w:szCs w:val="12"/>
                <w:color w:val="auto"/>
              </w:rPr>
            </w:pPr>
          </w:p>
        </w:tc>
        <w:tc>
          <w:tcPr>
            <w:tcW w:w="104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principal and interest at acquisition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$ 5,465,167</w:t>
            </w: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Contractual cash flows not expected to be collected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(832,115)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 at acquisition</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4,633,052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(595,685)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Basis in acquired loans at acquisition – estimated fair value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$ 4,037,367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Interest income on acquired loans for the three and nine months ended September 30, 2010 was approximately $43 million and $121 million, respectively, and for the third quarter of 2009 and for the period from the date of acquisition to September 30, 2009 was approximately $44 million and $63 million, respectively. The outstanding principal balance and the carrying amount of these loans that is included in the consolidated balance sheet at September 30, 2010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Arial" w:cs="Arial" w:eastAsia="Arial" w:hAnsi="Arial"/>
                <w:sz w:val="14"/>
                <w:szCs w:val="14"/>
                <w:color w:val="auto"/>
              </w:rPr>
              <w:t>(in thousands)</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4920" w:type="dxa"/>
            <w:vAlign w:val="bottom"/>
          </w:tcPr>
          <w:p>
            <w:pPr>
              <w:jc w:val="right"/>
              <w:spacing w:after="0"/>
              <w:rPr>
                <w:sz w:val="20"/>
                <w:szCs w:val="20"/>
                <w:color w:val="auto"/>
              </w:rPr>
            </w:pPr>
            <w:r>
              <w:rPr>
                <w:rFonts w:ascii="Arial" w:cs="Arial" w:eastAsia="Arial" w:hAnsi="Arial"/>
                <w:sz w:val="18"/>
                <w:szCs w:val="18"/>
                <w:color w:val="auto"/>
              </w:rPr>
              <w:t>$3,330,133</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Carrying amount</w:t>
            </w:r>
          </w:p>
        </w:tc>
        <w:tc>
          <w:tcPr>
            <w:tcW w:w="4920" w:type="dxa"/>
            <w:vAlign w:val="bottom"/>
          </w:tcPr>
          <w:p>
            <w:pPr>
              <w:jc w:val="right"/>
              <w:spacing w:after="0"/>
              <w:rPr>
                <w:sz w:val="20"/>
                <w:szCs w:val="20"/>
                <w:color w:val="auto"/>
              </w:rPr>
            </w:pPr>
            <w:r>
              <w:rPr>
                <w:rFonts w:ascii="Arial" w:cs="Arial" w:eastAsia="Arial" w:hAnsi="Arial"/>
                <w:sz w:val="18"/>
                <w:szCs w:val="18"/>
                <w:color w:val="auto"/>
              </w:rPr>
              <w:t>3,142,319</w:t>
            </w:r>
          </w:p>
        </w:tc>
      </w:tr>
    </w:tbl>
    <w:p>
      <w:pPr>
        <w:spacing w:after="0" w:line="94"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Receivables (including loans and investment securities) obtained in the acquisition of Provident for which there was specific evidence of credit deterioration as of the acquisition date and for which it was probable that the Company would be unable to collect all contractually required principal and interest payments represent less than .25% of the Company’s assets and, accordingly, are not considered material.</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connection with the Provident and Bradford acquisition transactions, the Company incurred merger-related expenses for professional services and other temporary help fees associated with the conversion of systems and/or integration of operations; costs related to branch and office consolidations; costs related to termination of existing contractual arrangements for various services; initial marketing and promotion expenses designed to introduce M&amp;T Bank to its new customers;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severance (for former Provident employees) and incentive compensation costs; travel costs; and printing, supplies and other costs of commencing operations in new markets and offices. A summary of merger-related expenses included in the consolidated statement of income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Nine months ended</w:t>
            </w:r>
          </w:p>
        </w:tc>
      </w:tr>
      <w:tr>
        <w:trPr>
          <w:trHeight w:val="167"/>
        </w:trPr>
        <w:tc>
          <w:tcPr>
            <w:tcW w:w="836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color w:val="auto"/>
              </w:rPr>
              <w:t>September 30, 2009</w:t>
            </w:r>
          </w:p>
        </w:tc>
        <w:tc>
          <w:tcPr>
            <w:tcW w:w="1260" w:type="dxa"/>
            <w:vAlign w:val="bottom"/>
            <w:gridSpan w:val="2"/>
          </w:tcPr>
          <w:p>
            <w:pPr>
              <w:spacing w:after="0"/>
              <w:rPr>
                <w:sz w:val="20"/>
                <w:szCs w:val="20"/>
                <w:color w:val="auto"/>
              </w:rPr>
            </w:pPr>
            <w:r>
              <w:rPr>
                <w:rFonts w:ascii="Arial" w:cs="Arial" w:eastAsia="Arial" w:hAnsi="Arial"/>
                <w:sz w:val="14"/>
                <w:szCs w:val="14"/>
                <w:color w:val="auto"/>
                <w:w w:val="97"/>
              </w:rPr>
              <w:t>September 30, 2009</w:t>
            </w:r>
          </w:p>
        </w:tc>
      </w:tr>
      <w:tr>
        <w:trPr>
          <w:trHeight w:val="20"/>
        </w:trPr>
        <w:tc>
          <w:tcPr>
            <w:tcW w:w="8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80" w:type="dxa"/>
            <w:vAlign w:val="bottom"/>
            <w:gridSpan w:val="4"/>
          </w:tcPr>
          <w:p>
            <w:pPr>
              <w:ind w:left="700"/>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1,845</w:t>
            </w:r>
          </w:p>
        </w:tc>
        <w:tc>
          <w:tcPr>
            <w:tcW w:w="6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3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10,666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67,370</w:t>
            </w:r>
          </w:p>
        </w:tc>
      </w:tr>
      <w:tr>
        <w:trPr>
          <w:trHeight w:val="27"/>
        </w:trPr>
        <w:tc>
          <w:tcPr>
            <w:tcW w:w="8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14,010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82,893</w:t>
            </w:r>
          </w:p>
        </w:tc>
      </w:tr>
      <w:tr>
        <w:trPr>
          <w:trHeight w:val="20"/>
        </w:trPr>
        <w:tc>
          <w:tcPr>
            <w:tcW w:w="8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84" w:lineRule="auto"/>
        <w:rPr>
          <w:sz w:val="20"/>
          <w:szCs w:val="20"/>
          <w:color w:val="auto"/>
        </w:rPr>
      </w:pPr>
      <w:r>
        <w:rPr>
          <w:rFonts w:ascii="Arial" w:cs="Arial" w:eastAsia="Arial" w:hAnsi="Arial"/>
          <w:sz w:val="16"/>
          <w:szCs w:val="16"/>
          <w:color w:val="auto"/>
        </w:rPr>
        <w:t>The following table discloses the impact of Provident (excluding the impact of merger-related expenses) since the acquisition on May 23, 2009 through the end of the third quarter of 2009. The table also presents certain pro forma information for the nine-month period ended September 30, 2009 as if Provident had been acquired on January 1, 2009. These results combine the historical results of Provident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January 1, 2009. In particular, no adjustments have been made to eliminate the amount of Provident’s provision for credit losses of $42 million or the impact of other-than-temporary impairment losses recognized by Provident of</w:t>
      </w:r>
    </w:p>
    <w:p>
      <w:pPr>
        <w:spacing w:after="0" w:line="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$87 million in 2009 that would not have been necessary had the acquired loans and investment securities been recorded at fair value as of the beginning of 2009. Furthermore, expenses related to systems conversions and other costs of integration are included in the 2009 periods in which such costs were incurred.</w:t>
      </w:r>
    </w:p>
    <w:p>
      <w:pPr>
        <w:spacing w:after="0" w:line="31"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Additionally, the Company expects to achieve further operating cost savings and other business synergies as a result of the acquisition which are not reflected in the pro forma amounts that follow.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00" w:type="dxa"/>
            <w:vAlign w:val="bottom"/>
          </w:tcPr>
          <w:p>
            <w:pPr>
              <w:jc w:val="center"/>
              <w:ind w:left="88"/>
              <w:spacing w:after="0"/>
              <w:rPr>
                <w:sz w:val="20"/>
                <w:szCs w:val="20"/>
                <w:color w:val="auto"/>
              </w:rPr>
            </w:pPr>
            <w:r>
              <w:rPr>
                <w:rFonts w:ascii="Arial" w:cs="Arial" w:eastAsia="Arial" w:hAnsi="Arial"/>
                <w:sz w:val="14"/>
                <w:szCs w:val="14"/>
                <w:color w:val="auto"/>
                <w:w w:val="95"/>
              </w:rPr>
              <w:t>Actual since</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49"/>
        </w:trPr>
        <w:tc>
          <w:tcPr>
            <w:tcW w:w="33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6"/>
              </w:rPr>
              <w:t>acquisition</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4"/>
              </w:rPr>
              <w:t>Pro forma</w:t>
            </w:r>
          </w:p>
        </w:tc>
      </w:tr>
      <w:tr>
        <w:trPr>
          <w:trHeight w:val="149"/>
        </w:trPr>
        <w:tc>
          <w:tcPr>
            <w:tcW w:w="33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2"/>
              </w:rPr>
              <w:t>through</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Nine months ended</w:t>
            </w:r>
          </w:p>
        </w:tc>
      </w:tr>
      <w:tr>
        <w:trPr>
          <w:trHeight w:val="167"/>
        </w:trPr>
        <w:tc>
          <w:tcPr>
            <w:tcW w:w="3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1"/>
              </w:rPr>
              <w:t>September 30, 2009</w:t>
            </w:r>
          </w:p>
        </w:tc>
        <w:tc>
          <w:tcPr>
            <w:tcW w:w="1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September 30, 2009</w:t>
            </w:r>
          </w:p>
        </w:tc>
      </w:tr>
      <w:tr>
        <w:trPr>
          <w:trHeight w:val="128"/>
        </w:trPr>
        <w:tc>
          <w:tcPr>
            <w:tcW w:w="33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ind w:left="40"/>
              <w:spacing w:after="0" w:line="128" w:lineRule="exact"/>
              <w:rPr>
                <w:sz w:val="20"/>
                <w:szCs w:val="20"/>
                <w:color w:val="auto"/>
              </w:rPr>
            </w:pPr>
            <w:r>
              <w:rPr>
                <w:rFonts w:ascii="Arial" w:cs="Arial" w:eastAsia="Arial" w:hAnsi="Arial"/>
                <w:sz w:val="12"/>
                <w:szCs w:val="12"/>
                <w:color w:val="auto"/>
                <w:w w:val="74"/>
              </w:rPr>
              <w:t>(in</w:t>
            </w:r>
          </w:p>
        </w:tc>
        <w:tc>
          <w:tcPr>
            <w:tcW w:w="2120" w:type="dxa"/>
            <w:vAlign w:val="bottom"/>
            <w:gridSpan w:val="2"/>
          </w:tcPr>
          <w:p>
            <w:pPr>
              <w:jc w:val="right"/>
              <w:ind w:right="1348"/>
              <w:spacing w:after="0" w:line="128" w:lineRule="exact"/>
              <w:rPr>
                <w:sz w:val="20"/>
                <w:szCs w:val="20"/>
                <w:color w:val="auto"/>
              </w:rPr>
            </w:pPr>
            <w:r>
              <w:rPr>
                <w:rFonts w:ascii="Arial" w:cs="Arial" w:eastAsia="Arial" w:hAnsi="Arial"/>
                <w:sz w:val="14"/>
                <w:szCs w:val="14"/>
                <w:color w:val="auto"/>
                <w:w w:val="98"/>
              </w:rPr>
              <w:t>thousands)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Total revenues</w:t>
            </w:r>
          </w:p>
        </w:tc>
        <w:tc>
          <w:tcPr>
            <w:tcW w:w="5820" w:type="dxa"/>
            <w:vAlign w:val="bottom"/>
            <w:gridSpan w:val="2"/>
          </w:tcPr>
          <w:p>
            <w:pPr>
              <w:jc w:val="right"/>
              <w:ind w:right="248"/>
              <w:spacing w:after="0"/>
              <w:rPr>
                <w:sz w:val="20"/>
                <w:szCs w:val="20"/>
                <w:color w:val="auto"/>
              </w:rPr>
            </w:pPr>
            <w:r>
              <w:rPr>
                <w:rFonts w:ascii="Arial" w:cs="Arial" w:eastAsia="Arial" w:hAnsi="Arial"/>
                <w:sz w:val="18"/>
                <w:szCs w:val="18"/>
                <w:color w:val="auto"/>
              </w:rPr>
              <w:t>$116,016</w:t>
            </w:r>
          </w:p>
        </w:tc>
        <w:tc>
          <w:tcPr>
            <w:tcW w:w="2280" w:type="dxa"/>
            <w:vAlign w:val="bottom"/>
            <w:gridSpan w:val="3"/>
          </w:tcPr>
          <w:p>
            <w:pPr>
              <w:jc w:val="right"/>
              <w:ind w:right="408"/>
              <w:spacing w:after="0"/>
              <w:rPr>
                <w:sz w:val="20"/>
                <w:szCs w:val="20"/>
                <w:color w:val="auto"/>
              </w:rPr>
            </w:pPr>
            <w:r>
              <w:rPr>
                <w:rFonts w:ascii="Arial" w:cs="Arial" w:eastAsia="Arial" w:hAnsi="Arial"/>
                <w:sz w:val="18"/>
                <w:szCs w:val="18"/>
                <w:color w:val="auto"/>
              </w:rPr>
              <w:t>2,864,760</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5820" w:type="dxa"/>
            <w:vAlign w:val="bottom"/>
            <w:gridSpan w:val="2"/>
          </w:tcPr>
          <w:p>
            <w:pPr>
              <w:jc w:val="right"/>
              <w:ind w:right="248"/>
              <w:spacing w:after="0"/>
              <w:rPr>
                <w:sz w:val="20"/>
                <w:szCs w:val="20"/>
                <w:color w:val="auto"/>
              </w:rPr>
            </w:pPr>
            <w:r>
              <w:rPr>
                <w:rFonts w:ascii="Arial" w:cs="Arial" w:eastAsia="Arial" w:hAnsi="Arial"/>
                <w:sz w:val="18"/>
                <w:szCs w:val="18"/>
                <w:color w:val="auto"/>
              </w:rPr>
              <w:t>18,583</w:t>
            </w:r>
          </w:p>
        </w:tc>
        <w:tc>
          <w:tcPr>
            <w:tcW w:w="2280" w:type="dxa"/>
            <w:vAlign w:val="bottom"/>
            <w:gridSpan w:val="3"/>
          </w:tcPr>
          <w:p>
            <w:pPr>
              <w:jc w:val="right"/>
              <w:ind w:right="408"/>
              <w:spacing w:after="0"/>
              <w:rPr>
                <w:sz w:val="20"/>
                <w:szCs w:val="20"/>
                <w:color w:val="auto"/>
              </w:rPr>
            </w:pPr>
            <w:r>
              <w:rPr>
                <w:rFonts w:ascii="Arial" w:cs="Arial" w:eastAsia="Arial" w:hAnsi="Arial"/>
                <w:sz w:val="18"/>
                <w:szCs w:val="18"/>
                <w:color w:val="auto"/>
              </w:rPr>
              <w:t>157,653</w:t>
            </w:r>
          </w:p>
        </w:tc>
      </w:tr>
      <w:tr>
        <w:trPr>
          <w:trHeight w:val="405"/>
        </w:trPr>
        <w:tc>
          <w:tcPr>
            <w:tcW w:w="3320" w:type="dxa"/>
            <w:vAlign w:val="bottom"/>
          </w:tcPr>
          <w:p>
            <w:pPr>
              <w:spacing w:after="0"/>
              <w:rPr>
                <w:sz w:val="24"/>
                <w:szCs w:val="24"/>
                <w:color w:val="auto"/>
              </w:rPr>
            </w:pPr>
          </w:p>
        </w:tc>
        <w:tc>
          <w:tcPr>
            <w:tcW w:w="4420" w:type="dxa"/>
            <w:vAlign w:val="bottom"/>
          </w:tcPr>
          <w:p>
            <w:pPr>
              <w:jc w:val="right"/>
              <w:ind w:right="1790"/>
              <w:spacing w:after="0"/>
              <w:rPr>
                <w:sz w:val="20"/>
                <w:szCs w:val="20"/>
                <w:color w:val="auto"/>
              </w:rPr>
            </w:pPr>
            <w:r>
              <w:rPr>
                <w:rFonts w:ascii="Arial" w:cs="Arial" w:eastAsia="Arial" w:hAnsi="Arial"/>
                <w:sz w:val="18"/>
                <w:szCs w:val="18"/>
                <w:color w:val="auto"/>
              </w:rPr>
              <w:t>- 9 -</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6"/>
        </w:trPr>
        <w:tc>
          <w:tcPr>
            <w:tcW w:w="332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color w:val="auto"/>
                <w:w w:val="90"/>
              </w:rPr>
              <w:t>Gross</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w w:val="98"/>
              </w:rPr>
              <w:t>Amortized</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unrealized</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gains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losses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4"/>
          </w:tcPr>
          <w:p>
            <w:pPr>
              <w:ind w:left="6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73,395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63,528</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866</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3,391,427</w:t>
            </w:r>
          </w:p>
        </w:tc>
        <w:tc>
          <w:tcPr>
            <w:tcW w:w="700" w:type="dxa"/>
            <w:vAlign w:val="bottom"/>
          </w:tcPr>
          <w:p>
            <w:pPr>
              <w:jc w:val="right"/>
              <w:spacing w:after="0"/>
              <w:rPr>
                <w:sz w:val="20"/>
                <w:szCs w:val="20"/>
                <w:color w:val="auto"/>
              </w:rPr>
            </w:pPr>
            <w:r>
              <w:rPr>
                <w:rFonts w:ascii="Arial" w:cs="Arial" w:eastAsia="Arial" w:hAnsi="Arial"/>
                <w:sz w:val="18"/>
                <w:szCs w:val="18"/>
                <w:color w:val="auto"/>
              </w:rPr>
              <w:t>183,529</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3,574,898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1,769,795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12,736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259,163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28,116</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96,130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22,972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309,095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27,325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42,456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120,828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5,852,314</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255,077</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323,895</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5,783,496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204,599</w:t>
            </w:r>
          </w:p>
        </w:tc>
        <w:tc>
          <w:tcPr>
            <w:tcW w:w="700" w:type="dxa"/>
            <w:vAlign w:val="bottom"/>
          </w:tcPr>
          <w:p>
            <w:pPr>
              <w:jc w:val="right"/>
              <w:spacing w:after="0"/>
              <w:rPr>
                <w:sz w:val="20"/>
                <w:szCs w:val="20"/>
                <w:color w:val="auto"/>
              </w:rPr>
            </w:pPr>
            <w:r>
              <w:rPr>
                <w:rFonts w:ascii="Arial" w:cs="Arial" w:eastAsia="Arial" w:hAnsi="Arial"/>
                <w:sz w:val="18"/>
                <w:szCs w:val="18"/>
                <w:color w:val="auto"/>
              </w:rPr>
              <w:t>6,856</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884,445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27,531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324,513</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122,027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12,160</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1,425,717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34,387</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122,060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1,338,044</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453,502</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7,731,533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289,464</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445,955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7,575,042</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December 31, 2009</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102,755</w:t>
            </w:r>
          </w:p>
        </w:tc>
        <w:tc>
          <w:tcPr>
            <w:tcW w:w="700" w:type="dxa"/>
            <w:vAlign w:val="bottom"/>
          </w:tcPr>
          <w:p>
            <w:pPr>
              <w:jc w:val="right"/>
              <w:spacing w:after="0"/>
              <w:rPr>
                <w:sz w:val="20"/>
                <w:szCs w:val="20"/>
                <w:color w:val="auto"/>
              </w:rPr>
            </w:pPr>
            <w:r>
              <w:rPr>
                <w:rFonts w:ascii="Arial" w:cs="Arial" w:eastAsia="Arial" w:hAnsi="Arial"/>
                <w:sz w:val="18"/>
                <w:szCs w:val="18"/>
                <w:color w:val="auto"/>
              </w:rPr>
              <w:t>1,988</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61,468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3,777,642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131,407</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3,902,282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2,438,353</w:t>
            </w:r>
          </w:p>
        </w:tc>
        <w:tc>
          <w:tcPr>
            <w:tcW w:w="700" w:type="dxa"/>
            <w:vAlign w:val="bottom"/>
          </w:tcPr>
          <w:p>
            <w:pPr>
              <w:jc w:val="right"/>
              <w:spacing w:after="0"/>
              <w:rPr>
                <w:sz w:val="20"/>
                <w:szCs w:val="20"/>
                <w:color w:val="auto"/>
              </w:rPr>
            </w:pPr>
            <w:r>
              <w:rPr>
                <w:rFonts w:ascii="Arial" w:cs="Arial" w:eastAsia="Arial" w:hAnsi="Arial"/>
                <w:sz w:val="18"/>
                <w:szCs w:val="18"/>
                <w:color w:val="auto"/>
              </w:rPr>
              <w:t>9,630</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383,079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2,064,904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33,133</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103,159</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23,389</w:t>
            </w:r>
          </w:p>
        </w:tc>
        <w:tc>
          <w:tcPr>
            <w:tcW w:w="700" w:type="dxa"/>
            <w:vAlign w:val="bottom"/>
          </w:tcPr>
          <w:p>
            <w:pPr>
              <w:jc w:val="right"/>
              <w:spacing w:after="0"/>
              <w:rPr>
                <w:sz w:val="20"/>
                <w:szCs w:val="20"/>
                <w:color w:val="auto"/>
              </w:rPr>
            </w:pPr>
            <w:r>
              <w:rPr>
                <w:rFonts w:ascii="Arial" w:cs="Arial" w:eastAsia="Arial" w:hAnsi="Arial"/>
                <w:sz w:val="18"/>
                <w:szCs w:val="18"/>
                <w:color w:val="auto"/>
              </w:rPr>
              <w:t>11,202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309,514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16,851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170,985</w:t>
            </w:r>
          </w:p>
        </w:tc>
        <w:tc>
          <w:tcPr>
            <w:tcW w:w="700" w:type="dxa"/>
            <w:vAlign w:val="bottom"/>
          </w:tcPr>
          <w:p>
            <w:pPr>
              <w:jc w:val="right"/>
              <w:spacing w:after="0"/>
              <w:rPr>
                <w:sz w:val="20"/>
                <w:szCs w:val="20"/>
                <w:color w:val="auto"/>
              </w:rPr>
            </w:pPr>
            <w:r>
              <w:rPr>
                <w:rFonts w:ascii="Arial" w:cs="Arial" w:eastAsia="Arial" w:hAnsi="Arial"/>
                <w:sz w:val="18"/>
                <w:szCs w:val="18"/>
                <w:color w:val="auto"/>
              </w:rPr>
              <w:t>5,590</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15,705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6,997,009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190,438</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483,069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6,704,378</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203,825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352,195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150,993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11,587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567,607</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152,543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508,624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8,073,240</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191,857</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635,612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7,629,485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0" w:type="dxa"/>
            <w:vAlign w:val="bottom"/>
            <w:vMerge w:val="restart"/>
          </w:tcPr>
          <w:p>
            <w:pPr>
              <w:jc w:val="right"/>
              <w:ind w:right="250"/>
              <w:spacing w:after="0"/>
              <w:rPr>
                <w:sz w:val="20"/>
                <w:szCs w:val="20"/>
                <w:color w:val="auto"/>
              </w:rPr>
            </w:pPr>
            <w:r>
              <w:rPr>
                <w:rFonts w:ascii="Arial" w:cs="Arial" w:eastAsia="Arial" w:hAnsi="Arial"/>
                <w:sz w:val="18"/>
                <w:szCs w:val="18"/>
                <w:color w:val="auto"/>
              </w:rPr>
              <w:t>- 10 -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Gross realized gains and losses from sales of investment securities were not significant during the three- and nine-month periods ended September 30, 2010 and 2009. The Company recognized $10 million and $59 million of pre-tax other-than-temporary impairment losses during the three and nine months ended September 30, 2010, respectively. Approximately $12 million of the losses recognized in the second quarter of 2010 related to American Depositary Shares (“ADSs”) of Allied Irish Banks, p.l.c. (“AIB”) which were obtained in M&amp;T’s acquisition of Allfirst Financial Inc. in 2003. The remaining losses in 2010 related to certain privately issued residential mortgage-backed securities and collateralized debt obligations backed by pooled trust preferred securities. The impairment charges related to the AIB ADSs were recognized due to mounting credit and other losses incurred by AIB and significant dilution of AIB common shareholders based on the Irish government’s significant ownership position. Other-than-temporary impairment losses on investment securities of $47 million and $104 million (pre-tax) were recognized by the Company for the three and nine months ended September 30, 2009 and related primarily to privately issued residential mortgage-backed securities. The impairment charges related to the privately issued residential mortgage-backed securities in the 2010 and 2009 periods were recognized in light of deterioration of housing values in the residential real estate market and a rise in delinquencies and charge-offs of underlying mortgage loans collateralizing those securities. The impairment charges related to the collateralized debt obligations in the 2010 periods were recognized after evaluating the expected repayment performance of financial institutions where trust preferred securities were within the collateralized debt obligations obtained in acquisitions. The other-than-temporary impairment losses represent management’s estimate of credit losses inherent in the securities considering projected cash flows using assumptions of delinquency rates, loss severities, and other estimates of future collateral performance. The following table displays changes in credit losses for debt securities recognized in earnings for the three and nine months ended September 30, 2010 and 2009.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color w:val="auto"/>
                <w:w w:val="91"/>
              </w:rPr>
              <w:t>Three months ended 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60" w:type="dxa"/>
            <w:vAlign w:val="bottom"/>
            <w:gridSpan w:val="3"/>
          </w:tcPr>
          <w:p>
            <w:pPr>
              <w:jc w:val="center"/>
              <w:ind w:left="528"/>
              <w:spacing w:after="0" w:line="142" w:lineRule="exact"/>
              <w:rPr>
                <w:sz w:val="20"/>
                <w:szCs w:val="20"/>
                <w:color w:val="auto"/>
              </w:rPr>
            </w:pPr>
            <w:r>
              <w:rPr>
                <w:rFonts w:ascii="Arial" w:cs="Arial" w:eastAsia="Arial" w:hAnsi="Arial"/>
                <w:sz w:val="14"/>
                <w:szCs w:val="14"/>
                <w:color w:val="auto"/>
                <w:w w:val="92"/>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$ 314,263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5940" w:type="dxa"/>
            <w:vAlign w:val="bottom"/>
            <w:gridSpan w:val="3"/>
          </w:tcPr>
          <w:p>
            <w:pPr>
              <w:jc w:val="right"/>
              <w:ind w:right="660"/>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5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5940" w:type="dxa"/>
            <w:vAlign w:val="bottom"/>
            <w:gridSpan w:val="3"/>
          </w:tcPr>
          <w:p>
            <w:pPr>
              <w:jc w:val="right"/>
              <w:ind w:right="600"/>
              <w:spacing w:after="0"/>
              <w:rPr>
                <w:sz w:val="20"/>
                <w:szCs w:val="20"/>
                <w:color w:val="auto"/>
              </w:rPr>
            </w:pPr>
            <w:r>
              <w:rPr>
                <w:rFonts w:ascii="Arial" w:cs="Arial" w:eastAsia="Arial" w:hAnsi="Arial"/>
                <w:sz w:val="18"/>
                <w:szCs w:val="18"/>
                <w:color w:val="auto"/>
              </w:rPr>
              <w:t>(11,812)</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$ 311,875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252,272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color w:val="auto"/>
                <w:w w:val="90"/>
              </w:rPr>
              <w:t>Nine months ended 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60" w:type="dxa"/>
            <w:vAlign w:val="bottom"/>
            <w:gridSpan w:val="3"/>
          </w:tcPr>
          <w:p>
            <w:pPr>
              <w:jc w:val="center"/>
              <w:ind w:left="528"/>
              <w:spacing w:after="0" w:line="142" w:lineRule="exact"/>
              <w:rPr>
                <w:sz w:val="20"/>
                <w:szCs w:val="20"/>
                <w:color w:val="auto"/>
              </w:rPr>
            </w:pPr>
            <w:r>
              <w:rPr>
                <w:rFonts w:ascii="Arial" w:cs="Arial" w:eastAsia="Arial" w:hAnsi="Arial"/>
                <w:sz w:val="14"/>
                <w:szCs w:val="14"/>
                <w:color w:val="auto"/>
                <w:w w:val="92"/>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$ 284,513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5940" w:type="dxa"/>
            <w:vAlign w:val="bottom"/>
            <w:gridSpan w:val="3"/>
          </w:tcPr>
          <w:p>
            <w:pPr>
              <w:jc w:val="right"/>
              <w:ind w:right="660"/>
              <w:spacing w:after="0"/>
              <w:rPr>
                <w:sz w:val="20"/>
                <w:szCs w:val="20"/>
                <w:color w:val="auto"/>
              </w:rPr>
            </w:pPr>
            <w:r>
              <w:rPr>
                <w:rFonts w:ascii="Arial" w:cs="Arial" w:eastAsia="Arial" w:hAnsi="Arial"/>
                <w:sz w:val="18"/>
                <w:szCs w:val="18"/>
                <w:color w:val="auto"/>
              </w:rPr>
              <w:t>46,721</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5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5940" w:type="dxa"/>
            <w:vAlign w:val="bottom"/>
            <w:gridSpan w:val="3"/>
          </w:tcPr>
          <w:p>
            <w:pPr>
              <w:jc w:val="right"/>
              <w:ind w:right="600"/>
              <w:spacing w:after="0"/>
              <w:rPr>
                <w:sz w:val="20"/>
                <w:szCs w:val="20"/>
                <w:color w:val="auto"/>
              </w:rPr>
            </w:pPr>
            <w:r>
              <w:rPr>
                <w:rFonts w:ascii="Arial" w:cs="Arial" w:eastAsia="Arial" w:hAnsi="Arial"/>
                <w:sz w:val="18"/>
                <w:szCs w:val="18"/>
                <w:color w:val="auto"/>
              </w:rPr>
              <w:t>(18,909)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$ 311,875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252,272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580" w:type="dxa"/>
            <w:vAlign w:val="bottom"/>
            <w:vMerge w:val="restart"/>
          </w:tcPr>
          <w:p>
            <w:pPr>
              <w:jc w:val="right"/>
              <w:ind w:right="3250"/>
              <w:spacing w:after="0"/>
              <w:rPr>
                <w:sz w:val="20"/>
                <w:szCs w:val="20"/>
                <w:color w:val="auto"/>
              </w:rPr>
            </w:pPr>
            <w:r>
              <w:rPr>
                <w:rFonts w:ascii="Arial" w:cs="Arial" w:eastAsia="Arial" w:hAnsi="Arial"/>
                <w:sz w:val="18"/>
                <w:szCs w:val="18"/>
                <w:color w:val="auto"/>
              </w:rPr>
              <w:t>- 11 -</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September 30, 2010, the amortized cost and estimated fair value of debt securities by contractual maturity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Amortized</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Estimated</w:t>
            </w:r>
          </w:p>
        </w:tc>
      </w:tr>
      <w:tr>
        <w:trPr>
          <w:trHeight w:val="167"/>
        </w:trPr>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r>
      <w:tr>
        <w:trPr>
          <w:trHeight w:val="142"/>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660"/>
              <w:spacing w:after="0" w:line="142" w:lineRule="exact"/>
              <w:rPr>
                <w:sz w:val="20"/>
                <w:szCs w:val="20"/>
                <w:color w:val="auto"/>
              </w:rPr>
            </w:pPr>
            <w:r>
              <w:rPr>
                <w:rFonts w:ascii="Arial" w:cs="Arial" w:eastAsia="Arial" w:hAnsi="Arial"/>
                <w:sz w:val="14"/>
                <w:szCs w:val="14"/>
                <w:color w:val="auto"/>
                <w:w w:val="92"/>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48,926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49,213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55,277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57,558</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27,647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30,012</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410,298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406,440</w:t>
            </w:r>
          </w:p>
        </w:tc>
      </w:tr>
      <w:tr>
        <w:trPr>
          <w:trHeight w:val="223"/>
        </w:trPr>
        <w:tc>
          <w:tcPr>
            <w:tcW w:w="8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542,148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543,223</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5,189,338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5,121,746</w:t>
            </w:r>
          </w:p>
        </w:tc>
      </w:tr>
      <w:tr>
        <w:trPr>
          <w:trHeight w:val="223"/>
        </w:trPr>
        <w:tc>
          <w:tcPr>
            <w:tcW w:w="8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5,731,486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5,664,969</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40,961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41,191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130,978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136,206</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33,956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34,768</w:t>
            </w:r>
          </w:p>
        </w:tc>
      </w:tr>
      <w:tr>
        <w:trPr>
          <w:trHeight w:val="223"/>
        </w:trPr>
        <w:tc>
          <w:tcPr>
            <w:tcW w:w="8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216,759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223,582</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1,208,958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1,114,462</w:t>
            </w:r>
          </w:p>
        </w:tc>
      </w:tr>
      <w:tr>
        <w:trPr>
          <w:trHeight w:val="223"/>
        </w:trPr>
        <w:tc>
          <w:tcPr>
            <w:tcW w:w="8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1,425,717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1,338,044</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 summary of investment securities that as of September 30, 2010 and December 31, 2009 had been in a continuous unrealized loss position for less than twelve months and those that had been in a continuous unrealized loss position for twelve months or longer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4"/>
          </w:tcPr>
          <w:p>
            <w:pPr>
              <w:jc w:val="right"/>
              <w:ind w:right="1028"/>
              <w:spacing w:after="0"/>
              <w:rPr>
                <w:sz w:val="20"/>
                <w:szCs w:val="20"/>
                <w:color w:val="auto"/>
              </w:rPr>
            </w:pPr>
            <w:r>
              <w:rPr>
                <w:rFonts w:ascii="Arial" w:cs="Arial" w:eastAsia="Arial" w:hAnsi="Arial"/>
                <w:sz w:val="14"/>
                <w:szCs w:val="14"/>
                <w:color w:val="auto"/>
              </w:rPr>
              <w:t>Less than 12 months</w:t>
            </w:r>
          </w:p>
        </w:tc>
        <w:tc>
          <w:tcPr>
            <w:tcW w:w="2360" w:type="dxa"/>
            <w:vAlign w:val="bottom"/>
            <w:gridSpan w:val="4"/>
          </w:tcPr>
          <w:p>
            <w:pPr>
              <w:jc w:val="right"/>
              <w:ind w:right="7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losses</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ind w:right="572"/>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2,017</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2,057</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3,210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4,028</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(34)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2,581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162,633</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(1,981)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1,143,110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23,480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19,532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(9,464)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3,593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924</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86,574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5,488</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(3,559)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196,679</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(15,092)</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1,263,767</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(308,803)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1,741</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202,486</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1,741</w:t>
            </w:r>
          </w:p>
        </w:tc>
        <w:tc>
          <w:tcPr>
            <w:tcW w:w="660" w:type="dxa"/>
            <w:vAlign w:val="bottom"/>
            <w:vMerge w:val="continue"/>
          </w:tcPr>
          <w:p>
            <w:pPr>
              <w:spacing w:after="0"/>
              <w:rPr>
                <w:sz w:val="19"/>
                <w:szCs w:val="19"/>
                <w:color w:val="auto"/>
              </w:rPr>
            </w:pP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w:t>
            </w:r>
          </w:p>
        </w:tc>
        <w:tc>
          <w:tcPr>
            <w:tcW w:w="840" w:type="dxa"/>
            <w:vAlign w:val="bottom"/>
          </w:tcPr>
          <w:p>
            <w:pPr>
              <w:jc w:val="right"/>
              <w:spacing w:after="0"/>
              <w:rPr>
                <w:sz w:val="20"/>
                <w:szCs w:val="20"/>
                <w:color w:val="auto"/>
              </w:rPr>
            </w:pPr>
            <w:r>
              <w:rPr>
                <w:rFonts w:ascii="Arial" w:cs="Arial" w:eastAsia="Arial" w:hAnsi="Arial"/>
                <w:sz w:val="18"/>
                <w:szCs w:val="18"/>
                <w:color w:val="auto"/>
              </w:rPr>
              <w:t>203,186</w:t>
            </w:r>
          </w:p>
        </w:tc>
        <w:tc>
          <w:tcPr>
            <w:tcW w:w="66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(122,054)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198,420</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(15,098)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1,466,953</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20" w:type="dxa"/>
            <w:vAlign w:val="bottom"/>
            <w:vMerge w:val="restart"/>
          </w:tcPr>
          <w:p>
            <w:pPr>
              <w:jc w:val="right"/>
              <w:ind w:right="370"/>
              <w:spacing w:after="0"/>
              <w:rPr>
                <w:sz w:val="20"/>
                <w:szCs w:val="20"/>
                <w:color w:val="auto"/>
              </w:rPr>
            </w:pPr>
            <w:r>
              <w:rPr>
                <w:rFonts w:ascii="Arial" w:cs="Arial" w:eastAsia="Arial" w:hAnsi="Arial"/>
                <w:sz w:val="18"/>
                <w:szCs w:val="18"/>
                <w:color w:val="auto"/>
              </w:rPr>
              <w:t>- 12 -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4"/>
          </w:tcPr>
          <w:p>
            <w:pPr>
              <w:jc w:val="right"/>
              <w:ind w:right="1028"/>
              <w:spacing w:after="0"/>
              <w:rPr>
                <w:sz w:val="20"/>
                <w:szCs w:val="20"/>
                <w:color w:val="auto"/>
              </w:rPr>
            </w:pPr>
            <w:r>
              <w:rPr>
                <w:rFonts w:ascii="Arial" w:cs="Arial" w:eastAsia="Arial" w:hAnsi="Arial"/>
                <w:sz w:val="14"/>
                <w:szCs w:val="14"/>
                <w:color w:val="auto"/>
              </w:rPr>
              <w:t>Less than 12 months</w:t>
            </w:r>
          </w:p>
        </w:tc>
        <w:tc>
          <w:tcPr>
            <w:tcW w:w="2360" w:type="dxa"/>
            <w:vAlign w:val="bottom"/>
            <w:gridSpan w:val="4"/>
          </w:tcPr>
          <w:p>
            <w:pPr>
              <w:jc w:val="right"/>
              <w:ind w:right="7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losses</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ind w:right="572"/>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6,265</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9,540</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(83)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3,578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685,319</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(6,460)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19,379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98,312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(2,871)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1,504,020</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25,166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13,046</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(10,218)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3,598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5,786</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(174)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138,705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7,449</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(1,728)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23,159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825,717</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(21,587)</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1,718,177</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(461,482)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136,032</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(1,492)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626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201,202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136,032</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201,828</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961,749</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(23,079)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1,920,005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40" w:firstLine="222"/>
        <w:spacing w:after="0" w:line="253" w:lineRule="auto"/>
        <w:rPr>
          <w:sz w:val="20"/>
          <w:szCs w:val="20"/>
          <w:color w:val="auto"/>
        </w:rPr>
      </w:pPr>
      <w:r>
        <w:rPr>
          <w:rFonts w:ascii="Arial" w:cs="Arial" w:eastAsia="Arial" w:hAnsi="Arial"/>
          <w:sz w:val="18"/>
          <w:szCs w:val="18"/>
          <w:color w:val="auto"/>
        </w:rPr>
        <w:t>The Company owned 327 individual investment securities with aggregate gross unrealized losses of $446 million at September 30, 2010. Approximately $381 million of the unrealized losses pertained to privately issued residential mortgage-backed securities with a cost basis of $1.9 billion. The Company also had $52 million of unrealized losses on trust preferred securities issued by financial institutions and securities backed by trust preferred securities issued by financial institutions and other entities having a cost basis of $156 million. Based on a review of each of the securities in the investment securities portfolio at September 30, 2010, with the exception of the aforementioned securities for which other-than-temporary impairment losses were recognized, the Company concluded that it expected to recover the amortized cost basis of its investment. As of September 30, 2010, the Company does not intend to sell nor is it anticipated that it would be required to sell any of its impaired investment securities. At September 30, 2010, the Company has not identified events or changes in circumstances which may have a significant adverse effect on the fair value of the $454 million of cost method investment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Allowance for credit losses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gridSpan w:val="6"/>
          </w:tcPr>
          <w:p>
            <w:pPr>
              <w:jc w:val="center"/>
              <w:ind w:right="78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color w:val="auto"/>
                <w:w w:val="92"/>
              </w:rPr>
              <w:t>Nine months ended</w:t>
            </w:r>
          </w:p>
        </w:tc>
      </w:tr>
      <w:tr>
        <w:trPr>
          <w:trHeight w:val="167"/>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color w:val="auto"/>
                <w:w w:val="88"/>
              </w:rPr>
              <w:t>September 30</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color w:val="auto"/>
                <w:w w:val="90"/>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ind w:left="600"/>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$ 894,667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878,022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787,904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93,000</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154,000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283,000</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459,000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charge-offs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Charge-offs</w:t>
            </w: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(101,782)</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(150,150)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(313,167)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(409,169)</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8,835</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44,113</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30,139</w:t>
            </w: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charge-offs</w:t>
            </w: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(92,947)</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(141,491)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(269,054)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(379,030)</w:t>
            </w: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300" w:type="dxa"/>
            <w:vAlign w:val="bottom"/>
          </w:tcPr>
          <w:p>
            <w:pPr>
              <w:spacing w:after="0"/>
              <w:rPr>
                <w:sz w:val="20"/>
                <w:szCs w:val="20"/>
                <w:color w:val="auto"/>
              </w:rPr>
            </w:pPr>
            <w:r>
              <w:rPr>
                <w:rFonts w:ascii="Arial" w:cs="Arial" w:eastAsia="Arial" w:hAnsi="Arial"/>
                <w:sz w:val="18"/>
                <w:szCs w:val="18"/>
                <w:color w:val="auto"/>
              </w:rPr>
              <w:t>Ending balance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$ 894,720</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867,874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894,720</w:t>
            </w: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867,874</w:t>
            </w: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Except for consumer and residential mortgage loans that are considered smaller balance homogenous loans and are evaluated collectively and purchased-impaired loans,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Purchased-impaired loans are considered impaired under GAAP when it is probable that the Company will be unable to collect all cash flows expected at acquisition plus additional cash flows expected to be collected arising from changes in estimates after acquisition. Regardless of loan type, the Company considers a loan to be impaired if it qualifies as a troubled debt restructuring. Impaired loans are classified as either nonaccrual or as loans renegotiated at below market rates, with the exception of purchased-impaired loans which continue to accrete income in accordance with GAAP.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 collateral if the loan is collateral dependent.</w:t>
      </w:r>
    </w:p>
    <w:p>
      <w:pPr>
        <w:spacing w:after="0" w:line="70"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The recorded investment in loans considered impaired for purposes of applying GAAP was $1.1 billion and $1.3 billion at September 30, 2010 and December 31, 2009, respectively. The recorded investment in loans considered impaired for which there was a related valuation allowance for impairment included in the allowance for credit losses and the amount of such impairment allowance were $827 million and $214 million, respectively, at September 30, 2010 and $1.1 billion and $244 million, respectively, at December 31, 2009. The recorded investment in loans considered impaired for which there was no related valuation allowance for impairment was $300 million and $234 million at September 30, 2010 and December 31, 2009,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had $1.2 billion of fixed and floating rate junior subordinated deferrable interest debentures (“Junior Subordinated Debentures”) outstanding at September 30, 2010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 continued</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Federal Reserve Board’s current risk-based capital guidelines, the Capital Securities are includable in M&amp;T’s Tier 1 capital. The Dodd-Frank Wall Street Reform and Consumer Protection Act of 2010 was signed into law on July 21, 2010. One of its provisions is for a three-year phase-in related to the exclusion of trust preferred capital securities from Tier 1 capital for large financial institutions, including M&amp;T. That phase-in period begins on January 1, 2013.</w:t>
      </w:r>
    </w:p>
    <w:p>
      <w:pPr>
        <w:spacing w:after="0" w:line="79"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61"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6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various trusts, the Junior Subordinated Debentures associated with Capital Securities had financial statement carrying values of $1.2 billion at each of September 30, 2010 and December 31, 2009.</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Shares</w:t>
            </w:r>
          </w:p>
        </w:tc>
        <w:tc>
          <w:tcPr>
            <w:tcW w:w="4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Carrying</w:t>
            </w:r>
          </w:p>
        </w:tc>
        <w:tc>
          <w:tcPr>
            <w:tcW w:w="4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8"/>
              </w:rPr>
              <w:t>issued and</w:t>
            </w:r>
          </w:p>
        </w:tc>
        <w:tc>
          <w:tcPr>
            <w:tcW w:w="4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44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September 30, 2010</w:t>
            </w:r>
          </w:p>
        </w:tc>
        <w:tc>
          <w:tcPr>
            <w:tcW w:w="4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December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Arial" w:cs="Arial" w:eastAsia="Arial" w:hAnsi="Arial"/>
                <w:sz w:val="14"/>
                <w:szCs w:val="14"/>
                <w:color w:val="auto"/>
              </w:rPr>
              <w:t>(dollars</w:t>
            </w:r>
          </w:p>
        </w:tc>
        <w:tc>
          <w:tcPr>
            <w:tcW w:w="2020" w:type="dxa"/>
            <w:vAlign w:val="bottom"/>
            <w:gridSpan w:val="2"/>
          </w:tcPr>
          <w:p>
            <w:pPr>
              <w:jc w:val="right"/>
              <w:ind w:right="1088"/>
              <w:spacing w:after="0" w:line="142" w:lineRule="exact"/>
              <w:rPr>
                <w:sz w:val="20"/>
                <w:szCs w:val="20"/>
                <w:color w:val="auto"/>
              </w:rPr>
            </w:pPr>
            <w:r>
              <w:rPr>
                <w:rFonts w:ascii="Arial" w:cs="Arial" w:eastAsia="Arial" w:hAnsi="Arial"/>
                <w:sz w:val="14"/>
                <w:szCs w:val="14"/>
                <w:color w:val="auto"/>
                <w:w w:val="99"/>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line="201" w:lineRule="exact"/>
              <w:rPr>
                <w:sz w:val="20"/>
                <w:szCs w:val="20"/>
                <w:color w:val="auto"/>
              </w:rPr>
            </w:pPr>
            <w:r>
              <w:rPr>
                <w:rFonts w:ascii="Arial" w:cs="Arial" w:eastAsia="Arial" w:hAnsi="Arial"/>
                <w:sz w:val="18"/>
                <w:szCs w:val="18"/>
                <w:color w:val="auto"/>
                <w:w w:val="99"/>
              </w:rPr>
              <w:t>Fixed Rate Cumulative Perpetual Preferred Stock, Series A, $1,000 liquidation</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preference per share, 600,000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600,000</w:t>
            </w:r>
          </w:p>
        </w:tc>
        <w:tc>
          <w:tcPr>
            <w:tcW w:w="2000" w:type="dxa"/>
            <w:vAlign w:val="bottom"/>
            <w:gridSpan w:val="2"/>
          </w:tcPr>
          <w:p>
            <w:pPr>
              <w:jc w:val="right"/>
              <w:ind w:right="408"/>
              <w:spacing w:after="0"/>
              <w:rPr>
                <w:sz w:val="20"/>
                <w:szCs w:val="20"/>
                <w:color w:val="auto"/>
              </w:rPr>
            </w:pPr>
            <w:r>
              <w:rPr>
                <w:rFonts w:ascii="Arial" w:cs="Arial" w:eastAsia="Arial" w:hAnsi="Arial"/>
                <w:sz w:val="18"/>
                <w:szCs w:val="18"/>
                <w:color w:val="auto"/>
              </w:rPr>
              <w:t>$577,082</w:t>
            </w:r>
          </w:p>
        </w:tc>
        <w:tc>
          <w:tcPr>
            <w:tcW w:w="2020" w:type="dxa"/>
            <w:vAlign w:val="bottom"/>
            <w:gridSpan w:val="2"/>
          </w:tcPr>
          <w:p>
            <w:pPr>
              <w:jc w:val="right"/>
              <w:ind w:right="408"/>
              <w:spacing w:after="0"/>
              <w:rPr>
                <w:sz w:val="20"/>
                <w:szCs w:val="20"/>
                <w:color w:val="auto"/>
              </w:rPr>
            </w:pPr>
            <w:r>
              <w:rPr>
                <w:rFonts w:ascii="Arial" w:cs="Arial" w:eastAsia="Arial" w:hAnsi="Arial"/>
                <w:sz w:val="18"/>
                <w:szCs w:val="18"/>
                <w:color w:val="auto"/>
              </w:rPr>
              <w:t>572,580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Series B (b)</w:t>
            </w: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line="201" w:lineRule="exact"/>
              <w:rPr>
                <w:sz w:val="20"/>
                <w:szCs w:val="20"/>
                <w:color w:val="auto"/>
              </w:rPr>
            </w:pPr>
            <w:r>
              <w:rPr>
                <w:rFonts w:ascii="Arial" w:cs="Arial" w:eastAsia="Arial" w:hAnsi="Arial"/>
                <w:sz w:val="18"/>
                <w:szCs w:val="18"/>
                <w:color w:val="auto"/>
              </w:rPr>
              <w:t>Series B Mandatory Convertible Non-cumulative Preferred Stock, $1,000</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liquidation preference per share, 26,500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26,500</w:t>
            </w:r>
          </w:p>
        </w:tc>
        <w:tc>
          <w:tcPr>
            <w:tcW w:w="2000" w:type="dxa"/>
            <w:vAlign w:val="bottom"/>
            <w:gridSpan w:val="2"/>
          </w:tcPr>
          <w:p>
            <w:pPr>
              <w:jc w:val="right"/>
              <w:ind w:right="408"/>
              <w:spacing w:after="0"/>
              <w:rPr>
                <w:sz w:val="20"/>
                <w:szCs w:val="20"/>
                <w:color w:val="auto"/>
              </w:rPr>
            </w:pPr>
            <w:r>
              <w:rPr>
                <w:rFonts w:ascii="Arial" w:cs="Arial" w:eastAsia="Arial" w:hAnsi="Arial"/>
                <w:sz w:val="18"/>
                <w:szCs w:val="18"/>
                <w:color w:val="auto"/>
              </w:rPr>
              <w:t>26,500</w:t>
            </w:r>
          </w:p>
        </w:tc>
        <w:tc>
          <w:tcPr>
            <w:tcW w:w="2020" w:type="dxa"/>
            <w:vAlign w:val="bottom"/>
            <w:gridSpan w:val="2"/>
          </w:tcPr>
          <w:p>
            <w:pPr>
              <w:jc w:val="right"/>
              <w:ind w:right="408"/>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line="201" w:lineRule="exact"/>
              <w:rPr>
                <w:sz w:val="20"/>
                <w:szCs w:val="20"/>
                <w:color w:val="auto"/>
              </w:rPr>
            </w:pPr>
            <w:r>
              <w:rPr>
                <w:rFonts w:ascii="Arial" w:cs="Arial" w:eastAsia="Arial" w:hAnsi="Arial"/>
                <w:sz w:val="18"/>
                <w:szCs w:val="18"/>
                <w:color w:val="auto"/>
                <w:w w:val="99"/>
              </w:rPr>
              <w:t>Fixed Rate Cumulative Perpetual Preferred Stock, Series C, $1,000 liquidation</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preference per share, 151,500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151,500</w:t>
            </w:r>
          </w:p>
        </w:tc>
        <w:tc>
          <w:tcPr>
            <w:tcW w:w="2000" w:type="dxa"/>
            <w:vAlign w:val="bottom"/>
            <w:gridSpan w:val="2"/>
          </w:tcPr>
          <w:p>
            <w:pPr>
              <w:jc w:val="right"/>
              <w:ind w:right="408"/>
              <w:spacing w:after="0"/>
              <w:rPr>
                <w:sz w:val="20"/>
                <w:szCs w:val="20"/>
                <w:color w:val="auto"/>
              </w:rPr>
            </w:pPr>
            <w:r>
              <w:rPr>
                <w:rFonts w:ascii="Arial" w:cs="Arial" w:eastAsia="Arial" w:hAnsi="Arial"/>
                <w:sz w:val="18"/>
                <w:szCs w:val="18"/>
                <w:color w:val="auto"/>
              </w:rPr>
              <w:t>134,397</w:t>
            </w:r>
          </w:p>
        </w:tc>
        <w:tc>
          <w:tcPr>
            <w:tcW w:w="2020" w:type="dxa"/>
            <w:vAlign w:val="bottom"/>
            <w:gridSpan w:val="2"/>
          </w:tcPr>
          <w:p>
            <w:pPr>
              <w:jc w:val="right"/>
              <w:ind w:right="408"/>
              <w:spacing w:after="0"/>
              <w:rPr>
                <w:sz w:val="20"/>
                <w:szCs w:val="20"/>
                <w:color w:val="auto"/>
              </w:rPr>
            </w:pPr>
            <w:r>
              <w:rPr>
                <w:rFonts w:ascii="Arial" w:cs="Arial" w:eastAsia="Arial" w:hAnsi="Arial"/>
                <w:sz w:val="18"/>
                <w:szCs w:val="18"/>
                <w:color w:val="auto"/>
              </w:rPr>
              <w:t>131,155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255"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40" w:lineRule="exact"/>
        <w:rPr>
          <w:rFonts w:ascii="Arial" w:cs="Arial" w:eastAsia="Arial" w:hAnsi="Arial"/>
          <w:sz w:val="18"/>
          <w:szCs w:val="18"/>
          <w:i w:val="1"/>
          <w:iCs w:val="1"/>
          <w:color w:val="auto"/>
        </w:rPr>
      </w:pPr>
    </w:p>
    <w:p>
      <w:pPr>
        <w:ind w:left="460" w:right="360" w:hanging="452"/>
        <w:spacing w:after="0" w:line="311"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assumed in the Provident acquisition and a new Series B Preferred Stock was designated. In the aggregate, the shares of Series B Preferred Stock will automatically convert into 433,148 shares of M&amp;T common stock on April 1, 2011, but shareholders may elect to convert their preferred shares at any time prior to that date. Dividends, if declared, are payable quarterly in arrears at a rate of 10% per year.</w:t>
      </w: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the Provident acquisition and a new Series C Preferred Stock was designated.</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Pension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benefits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0"/>
              </w:rPr>
              <w:t>Three months</w:t>
            </w:r>
          </w:p>
        </w:tc>
        <w:tc>
          <w:tcPr>
            <w:tcW w:w="2160" w:type="dxa"/>
            <w:vAlign w:val="bottom"/>
            <w:gridSpan w:val="5"/>
          </w:tcPr>
          <w:p>
            <w:pPr>
              <w:ind w:left="120"/>
              <w:spacing w:after="0" w:line="123" w:lineRule="exact"/>
              <w:rPr>
                <w:sz w:val="20"/>
                <w:szCs w:val="20"/>
                <w:color w:val="auto"/>
              </w:rPr>
            </w:pPr>
            <w:r>
              <w:rPr>
                <w:rFonts w:ascii="Arial" w:cs="Arial" w:eastAsia="Arial" w:hAnsi="Arial"/>
                <w:sz w:val="14"/>
                <w:szCs w:val="14"/>
                <w:color w:val="auto"/>
              </w:rPr>
              <w:t>ended September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2009</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ind w:left="580"/>
              <w:spacing w:after="0" w:line="142" w:lineRule="exact"/>
              <w:rPr>
                <w:sz w:val="20"/>
                <w:szCs w:val="20"/>
                <w:color w:val="auto"/>
              </w:rPr>
            </w:pPr>
            <w:r>
              <w:rPr>
                <w:rFonts w:ascii="Arial" w:cs="Arial" w:eastAsia="Arial" w:hAnsi="Arial"/>
                <w:sz w:val="14"/>
                <w:szCs w:val="14"/>
                <w:color w:val="auto"/>
                <w:w w:val="96"/>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6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4,935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12,031</w:t>
            </w:r>
          </w:p>
        </w:tc>
        <w:tc>
          <w:tcPr>
            <w:tcW w:w="620" w:type="dxa"/>
            <w:vAlign w:val="bottom"/>
          </w:tcPr>
          <w:p>
            <w:pPr>
              <w:spacing w:after="0"/>
              <w:rPr>
                <w:sz w:val="18"/>
                <w:szCs w:val="18"/>
                <w:color w:val="auto"/>
              </w:rPr>
            </w:pPr>
          </w:p>
        </w:tc>
        <w:tc>
          <w:tcPr>
            <w:tcW w:w="1420" w:type="dxa"/>
            <w:vAlign w:val="bottom"/>
            <w:gridSpan w:val="3"/>
          </w:tcPr>
          <w:p>
            <w:pPr>
              <w:jc w:val="right"/>
              <w:ind w:right="588"/>
              <w:spacing w:after="0"/>
              <w:rPr>
                <w:sz w:val="20"/>
                <w:szCs w:val="20"/>
                <w:color w:val="auto"/>
              </w:rPr>
            </w:pPr>
            <w:r>
              <w:rPr>
                <w:rFonts w:ascii="Arial" w:cs="Arial" w:eastAsia="Arial" w:hAnsi="Arial"/>
                <w:sz w:val="18"/>
                <w:szCs w:val="18"/>
                <w:color w:val="auto"/>
              </w:rPr>
              <w:t>11,910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5"/>
              </w:rPr>
              <w:t>(12,722)</w:t>
            </w: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(11,963)</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1220" w:type="dxa"/>
            <w:vAlign w:val="bottom"/>
            <w:gridSpan w:val="2"/>
          </w:tcPr>
          <w:p>
            <w:pPr>
              <w:jc w:val="right"/>
              <w:ind w:right="488"/>
              <w:spacing w:after="0"/>
              <w:rPr>
                <w:sz w:val="20"/>
                <w:szCs w:val="20"/>
                <w:color w:val="auto"/>
              </w:rPr>
            </w:pPr>
            <w:r>
              <w:rPr>
                <w:rFonts w:ascii="Arial" w:cs="Arial" w:eastAsia="Arial" w:hAnsi="Arial"/>
                <w:sz w:val="18"/>
                <w:szCs w:val="18"/>
                <w:color w:val="auto"/>
              </w:rPr>
              <w:t>(1,640)</w:t>
            </w:r>
          </w:p>
        </w:tc>
        <w:tc>
          <w:tcPr>
            <w:tcW w:w="1420" w:type="dxa"/>
            <w:vAlign w:val="bottom"/>
            <w:gridSpan w:val="3"/>
          </w:tcPr>
          <w:p>
            <w:pPr>
              <w:jc w:val="right"/>
              <w:ind w:right="528"/>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5,975</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5,666</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Pension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benefits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6"/>
              </w:rPr>
              <w:t>Nine months</w:t>
            </w:r>
          </w:p>
        </w:tc>
        <w:tc>
          <w:tcPr>
            <w:tcW w:w="2160" w:type="dxa"/>
            <w:vAlign w:val="bottom"/>
            <w:gridSpan w:val="5"/>
          </w:tcPr>
          <w:p>
            <w:pPr>
              <w:ind w:left="100"/>
              <w:spacing w:after="0" w:line="123" w:lineRule="exact"/>
              <w:rPr>
                <w:sz w:val="20"/>
                <w:szCs w:val="20"/>
                <w:color w:val="auto"/>
              </w:rPr>
            </w:pPr>
            <w:r>
              <w:rPr>
                <w:rFonts w:ascii="Arial" w:cs="Arial" w:eastAsia="Arial" w:hAnsi="Arial"/>
                <w:sz w:val="14"/>
                <w:szCs w:val="14"/>
                <w:color w:val="auto"/>
              </w:rPr>
              <w:t>ended September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2009</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ind w:left="580"/>
              <w:spacing w:after="0" w:line="142" w:lineRule="exact"/>
              <w:rPr>
                <w:sz w:val="20"/>
                <w:szCs w:val="20"/>
                <w:color w:val="auto"/>
              </w:rPr>
            </w:pPr>
            <w:r>
              <w:rPr>
                <w:rFonts w:ascii="Arial" w:cs="Arial" w:eastAsia="Arial" w:hAnsi="Arial"/>
                <w:sz w:val="14"/>
                <w:szCs w:val="14"/>
                <w:color w:val="auto"/>
                <w:w w:val="96"/>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6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14,548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36,092</w:t>
            </w:r>
          </w:p>
        </w:tc>
        <w:tc>
          <w:tcPr>
            <w:tcW w:w="620" w:type="dxa"/>
            <w:vAlign w:val="bottom"/>
          </w:tcPr>
          <w:p>
            <w:pPr>
              <w:spacing w:after="0"/>
              <w:rPr>
                <w:sz w:val="18"/>
                <w:szCs w:val="18"/>
                <w:color w:val="auto"/>
              </w:rPr>
            </w:pPr>
          </w:p>
        </w:tc>
        <w:tc>
          <w:tcPr>
            <w:tcW w:w="1420" w:type="dxa"/>
            <w:vAlign w:val="bottom"/>
            <w:gridSpan w:val="3"/>
          </w:tcPr>
          <w:p>
            <w:pPr>
              <w:jc w:val="right"/>
              <w:ind w:right="588"/>
              <w:spacing w:after="0"/>
              <w:rPr>
                <w:sz w:val="20"/>
                <w:szCs w:val="20"/>
                <w:color w:val="auto"/>
              </w:rPr>
            </w:pPr>
            <w:r>
              <w:rPr>
                <w:rFonts w:ascii="Arial" w:cs="Arial" w:eastAsia="Arial" w:hAnsi="Arial"/>
                <w:sz w:val="18"/>
                <w:szCs w:val="18"/>
                <w:color w:val="auto"/>
              </w:rPr>
              <w:t>34,189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2,347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5"/>
              </w:rPr>
              <w:t>(38,165)</w:t>
            </w: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(35,014)</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1220" w:type="dxa"/>
            <w:vAlign w:val="bottom"/>
            <w:gridSpan w:val="2"/>
          </w:tcPr>
          <w:p>
            <w:pPr>
              <w:jc w:val="right"/>
              <w:ind w:right="488"/>
              <w:spacing w:after="0"/>
              <w:rPr>
                <w:sz w:val="20"/>
                <w:szCs w:val="20"/>
                <w:color w:val="auto"/>
              </w:rPr>
            </w:pPr>
            <w:r>
              <w:rPr>
                <w:rFonts w:ascii="Arial" w:cs="Arial" w:eastAsia="Arial" w:hAnsi="Arial"/>
                <w:sz w:val="18"/>
                <w:szCs w:val="18"/>
                <w:color w:val="auto"/>
              </w:rPr>
              <w:t>(4,919)</w:t>
            </w:r>
          </w:p>
        </w:tc>
        <w:tc>
          <w:tcPr>
            <w:tcW w:w="1420" w:type="dxa"/>
            <w:vAlign w:val="bottom"/>
            <w:gridSpan w:val="3"/>
          </w:tcPr>
          <w:p>
            <w:pPr>
              <w:jc w:val="right"/>
              <w:ind w:right="528"/>
              <w:spacing w:after="0"/>
              <w:rPr>
                <w:sz w:val="20"/>
                <w:szCs w:val="20"/>
                <w:color w:val="auto"/>
              </w:rPr>
            </w:pPr>
            <w:r>
              <w:rPr>
                <w:rFonts w:ascii="Arial" w:cs="Arial" w:eastAsia="Arial" w:hAnsi="Arial"/>
                <w:sz w:val="18"/>
                <w:szCs w:val="18"/>
                <w:color w:val="auto"/>
              </w:rPr>
              <w:t>(4,919)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17,925</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16,077</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2,775</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2,907</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$9,461,000 and $8,061,000 for the three months ended September 30, 2010 and 2009, respectively, and $29,926,000 and $27,166,000 for the nine months ended September 30, 2010 and 2009,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80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left="434"/>
              <w:spacing w:after="0" w:line="149" w:lineRule="exact"/>
              <w:rPr>
                <w:sz w:val="20"/>
                <w:szCs w:val="20"/>
                <w:color w:val="auto"/>
              </w:rPr>
            </w:pPr>
            <w:r>
              <w:rPr>
                <w:rFonts w:ascii="Arial" w:cs="Arial" w:eastAsia="Arial" w:hAnsi="Arial"/>
                <w:sz w:val="14"/>
                <w:szCs w:val="14"/>
                <w:color w:val="auto"/>
                <w:w w:val="90"/>
              </w:rPr>
              <w:t>September 30</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514"/>
              <w:spacing w:after="0" w:line="149" w:lineRule="exact"/>
              <w:rPr>
                <w:sz w:val="20"/>
                <w:szCs w:val="20"/>
                <w:color w:val="auto"/>
              </w:rPr>
            </w:pPr>
            <w:r>
              <w:rPr>
                <w:rFonts w:ascii="Arial" w:cs="Arial" w:eastAsia="Arial" w:hAnsi="Arial"/>
                <w:sz w:val="14"/>
                <w:szCs w:val="14"/>
                <w:color w:val="auto"/>
                <w:w w:val="88"/>
              </w:rPr>
              <w:t>September 30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5"/>
          </w:tcPr>
          <w:p>
            <w:pPr>
              <w:ind w:left="40"/>
              <w:spacing w:after="0" w:line="142" w:lineRule="exact"/>
              <w:rPr>
                <w:sz w:val="20"/>
                <w:szCs w:val="20"/>
                <w:color w:val="auto"/>
              </w:rPr>
            </w:pPr>
            <w:r>
              <w:rPr>
                <w:rFonts w:ascii="Arial" w:cs="Arial" w:eastAsia="Arial" w:hAnsi="Arial"/>
                <w:sz w:val="14"/>
                <w:szCs w:val="14"/>
                <w:color w:val="auto"/>
              </w:rPr>
              <w:t>(in thousands, except per share)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192,015</w:t>
            </w:r>
          </w:p>
        </w:tc>
        <w:tc>
          <w:tcPr>
            <w:tcW w:w="8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127,664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531,719</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(10,056)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(10,056)</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(30,169)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600"/>
              <w:spacing w:after="0"/>
              <w:rPr>
                <w:sz w:val="20"/>
                <w:szCs w:val="20"/>
                <w:color w:val="auto"/>
              </w:rPr>
            </w:pPr>
            <w:r>
              <w:rPr>
                <w:rFonts w:ascii="Arial" w:cs="Arial" w:eastAsia="Arial" w:hAnsi="Arial"/>
                <w:sz w:val="18"/>
                <w:szCs w:val="18"/>
                <w:color w:val="auto"/>
              </w:rPr>
              <w:t>Amortization of preferred stock discount(a)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(2,653)</w:t>
            </w:r>
          </w:p>
        </w:tc>
        <w:tc>
          <w:tcPr>
            <w:tcW w:w="8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(2,465)</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available to common equity</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179,306</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115,143</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493,735</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211,429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(1,249)</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176,780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113,894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486,811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209,062</w:t>
            </w:r>
          </w:p>
        </w:tc>
        <w:tc>
          <w:tcPr>
            <w:tcW w:w="0" w:type="dxa"/>
            <w:vAlign w:val="bottom"/>
          </w:tcPr>
          <w:p>
            <w:pPr>
              <w:spacing w:after="0"/>
              <w:rPr>
                <w:sz w:val="1"/>
                <w:szCs w:val="1"/>
                <w:color w:val="auto"/>
              </w:rPr>
            </w:pPr>
          </w:p>
        </w:tc>
      </w:tr>
      <w:tr>
        <w:trPr>
          <w:trHeight w:val="432"/>
        </w:trPr>
        <w:tc>
          <w:tcPr>
            <w:tcW w:w="61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shares outstanding (including common stock issuable) and unvested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 awards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120,010</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118,663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119,705</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(1,690)</w:t>
            </w:r>
          </w:p>
        </w:tc>
        <w:tc>
          <w:tcPr>
            <w:tcW w:w="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(1,293)</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118,320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117,370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118,048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113,701</w:t>
            </w:r>
          </w:p>
        </w:tc>
        <w:tc>
          <w:tcPr>
            <w:tcW w:w="0" w:type="dxa"/>
            <w:vAlign w:val="bottom"/>
          </w:tcPr>
          <w:p>
            <w:pPr>
              <w:spacing w:after="0"/>
              <w:rPr>
                <w:sz w:val="1"/>
                <w:szCs w:val="1"/>
                <w:color w:val="auto"/>
              </w:rPr>
            </w:pPr>
          </w:p>
        </w:tc>
      </w:tr>
      <w:tr>
        <w:trPr>
          <w:trHeight w:val="432"/>
        </w:trPr>
        <w:tc>
          <w:tcPr>
            <w:tcW w:w="61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.97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78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left="395"/>
              <w:spacing w:after="0" w:line="149" w:lineRule="exact"/>
              <w:rPr>
                <w:sz w:val="20"/>
                <w:szCs w:val="20"/>
                <w:color w:val="auto"/>
              </w:rPr>
            </w:pPr>
            <w:r>
              <w:rPr>
                <w:rFonts w:ascii="Arial" w:cs="Arial" w:eastAsia="Arial" w:hAnsi="Arial"/>
                <w:sz w:val="14"/>
                <w:szCs w:val="14"/>
                <w:color w:val="auto"/>
                <w:w w:val="90"/>
              </w:rPr>
              <w:t>September 30</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515"/>
              <w:spacing w:after="0" w:line="149" w:lineRule="exact"/>
              <w:rPr>
                <w:sz w:val="20"/>
                <w:szCs w:val="20"/>
                <w:color w:val="auto"/>
              </w:rPr>
            </w:pPr>
            <w:r>
              <w:rPr>
                <w:rFonts w:ascii="Arial" w:cs="Arial" w:eastAsia="Arial" w:hAnsi="Arial"/>
                <w:sz w:val="14"/>
                <w:szCs w:val="14"/>
                <w:color w:val="auto"/>
                <w:w w:val="88"/>
              </w:rPr>
              <w:t>September 30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5"/>
          </w:tcPr>
          <w:p>
            <w:pPr>
              <w:ind w:left="20"/>
              <w:spacing w:after="0" w:line="142" w:lineRule="exact"/>
              <w:rPr>
                <w:sz w:val="20"/>
                <w:szCs w:val="20"/>
                <w:color w:val="auto"/>
              </w:rPr>
            </w:pPr>
            <w:r>
              <w:rPr>
                <w:rFonts w:ascii="Arial" w:cs="Arial" w:eastAsia="Arial" w:hAnsi="Arial"/>
                <w:sz w:val="14"/>
                <w:szCs w:val="14"/>
                <w:color w:val="auto"/>
              </w:rPr>
              <w:t>(in thousands, except per share)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179,306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115,143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493,735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211,429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0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(1,249)</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(6,904)</w:t>
            </w: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176,789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113,894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486,831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209,062</w:t>
            </w: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118,663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119,705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(1,293)</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Plus: Incremental shares from assumed conversion of stock- based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compensation awards and convertible preferred stock</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50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119,155</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117,547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118,766</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113,800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.97</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During the nine-month periods ended September 30, 2010 and 2009, the Company issued stock-based compensation awards in the form of restricted stock and restricted stock units, which, in accordance with GAAP, are considered participating securities.</w:t>
      </w:r>
    </w:p>
    <w:p>
      <w:pPr>
        <w:spacing w:after="0" w:line="79" w:lineRule="exact"/>
        <w:rPr>
          <w:sz w:val="20"/>
          <w:szCs w:val="20"/>
          <w:color w:val="auto"/>
        </w:rPr>
      </w:pPr>
    </w:p>
    <w:p>
      <w:pPr>
        <w:ind w:right="260" w:firstLine="225"/>
        <w:spacing w:after="0" w:line="291" w:lineRule="auto"/>
        <w:rPr>
          <w:sz w:val="20"/>
          <w:szCs w:val="20"/>
          <w:color w:val="auto"/>
        </w:rPr>
      </w:pPr>
      <w:r>
        <w:rPr>
          <w:rFonts w:ascii="Arial" w:cs="Arial" w:eastAsia="Arial" w:hAnsi="Arial"/>
          <w:sz w:val="16"/>
          <w:szCs w:val="16"/>
          <w:color w:val="auto"/>
        </w:rPr>
        <w:t>Stock-based compensation awards, warrants to purchase common stock of M&amp;T and preferred stock convertible into shares of M&amp;T stock representing approximately 10.7 million and 15.1 million common shares during the three-month periods ended September 30, 2010 and 2009, respectively, and</w:t>
      </w:r>
    </w:p>
    <w:p>
      <w:pPr>
        <w:ind w:right="460"/>
        <w:spacing w:after="0" w:line="261" w:lineRule="auto"/>
        <w:rPr>
          <w:sz w:val="20"/>
          <w:szCs w:val="20"/>
          <w:color w:val="auto"/>
        </w:rPr>
      </w:pPr>
      <w:r>
        <w:rPr>
          <w:rFonts w:ascii="Arial" w:cs="Arial" w:eastAsia="Arial" w:hAnsi="Arial"/>
          <w:sz w:val="18"/>
          <w:szCs w:val="18"/>
          <w:color w:val="auto"/>
        </w:rPr>
        <w:t>11.1 million and 15.1 million common shares during the nine-month periods ended September 30, 2010 and 2009, respectively, were not included in the computations of diluted earnings per common share because the effect on those periods would have been antidilutive.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21"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Nine months ended September 30, 2010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w w:val="99"/>
              </w:rPr>
              <w:t>Before-tax</w:t>
            </w:r>
          </w:p>
        </w:tc>
        <w:tc>
          <w:tcPr>
            <w:tcW w:w="3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780"/>
              <w:spacing w:after="0" w:line="123" w:lineRule="exact"/>
              <w:rPr>
                <w:sz w:val="20"/>
                <w:szCs w:val="20"/>
                <w:color w:val="auto"/>
              </w:rPr>
            </w:pPr>
            <w:r>
              <w:rPr>
                <w:rFonts w:ascii="Arial" w:cs="Arial" w:eastAsia="Arial" w:hAnsi="Arial"/>
                <w:sz w:val="14"/>
                <w:szCs w:val="14"/>
                <w:color w:val="auto"/>
              </w:rPr>
              <w:t>Income</w:t>
            </w: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rPr>
              <w:t>Available for sale (“AFS”) investment securities with other-than-temporary impairment (“OTTI”):</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with OTTI charges during the period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 (67,052)</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26,074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(58,714)</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22,758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losses on investment securities with OTTI</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(8,338)</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3,316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166,122</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(64,944)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Less: Reclassification adjustment for gains recognized in net income</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1,023</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(392)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Securities with OTTI charges during the period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(67,052)</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26,074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232,151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(90,626)</w:t>
            </w:r>
          </w:p>
        </w:tc>
        <w:tc>
          <w:tcPr>
            <w:tcW w:w="6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unrealized holding losses to income during period on investment securities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previously transferred from AFS to held to maturity (“HTM”)</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6,400</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(2,511)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0"/>
        </w:trPr>
        <w:tc>
          <w:tcPr>
            <w:tcW w:w="78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230,213</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(89,821)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for amortization of gains on terminated cash flow hedges to income</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rPr>
              <w:t>Defined benefit plans liability adjustment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5,370</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(2,108)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$ 235,247</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(91,804)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143,443</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5520"/>
              <w:spacing w:after="0"/>
              <w:rPr>
                <w:sz w:val="20"/>
                <w:szCs w:val="20"/>
                <w:color w:val="auto"/>
              </w:rPr>
            </w:pPr>
            <w:r>
              <w:rPr>
                <w:rFonts w:ascii="Arial" w:cs="Arial" w:eastAsia="Arial" w:hAnsi="Arial"/>
                <w:sz w:val="18"/>
                <w:szCs w:val="18"/>
                <w:color w:val="auto"/>
              </w:rPr>
              <w:t>- 20 -</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96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4"/>
                <w:szCs w:val="14"/>
                <w:color w:val="auto"/>
                <w:w w:val="91"/>
              </w:rPr>
              <w:t>Nine months ended September 30, 2009</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100" w:type="dxa"/>
            <w:vAlign w:val="bottom"/>
            <w:gridSpan w:val="2"/>
          </w:tcPr>
          <w:p>
            <w:pPr>
              <w:jc w:val="right"/>
              <w:ind w:right="420"/>
              <w:spacing w:after="0" w:line="123" w:lineRule="exact"/>
              <w:rPr>
                <w:sz w:val="20"/>
                <w:szCs w:val="20"/>
                <w:color w:val="auto"/>
              </w:rPr>
            </w:pPr>
            <w:r>
              <w:rPr>
                <w:rFonts w:ascii="Arial" w:cs="Arial" w:eastAsia="Arial" w:hAnsi="Arial"/>
                <w:sz w:val="14"/>
                <w:szCs w:val="14"/>
                <w:color w:val="auto"/>
              </w:rPr>
              <w:t>Before-tax</w:t>
            </w:r>
          </w:p>
        </w:tc>
        <w:tc>
          <w:tcPr>
            <w:tcW w:w="320" w:type="dxa"/>
            <w:vAlign w:val="bottom"/>
          </w:tcPr>
          <w:p>
            <w:pPr>
              <w:spacing w:after="0"/>
              <w:rPr>
                <w:sz w:val="10"/>
                <w:szCs w:val="10"/>
                <w:color w:val="auto"/>
              </w:rPr>
            </w:pPr>
          </w:p>
        </w:tc>
        <w:tc>
          <w:tcPr>
            <w:tcW w:w="1540" w:type="dxa"/>
            <w:vAlign w:val="bottom"/>
            <w:gridSpan w:val="3"/>
          </w:tcPr>
          <w:p>
            <w:pPr>
              <w:jc w:val="center"/>
              <w:ind w:right="780"/>
              <w:spacing w:after="0" w:line="123" w:lineRule="exact"/>
              <w:rPr>
                <w:sz w:val="20"/>
                <w:szCs w:val="20"/>
                <w:color w:val="auto"/>
              </w:rPr>
            </w:pPr>
            <w:r>
              <w:rPr>
                <w:rFonts w:ascii="Arial" w:cs="Arial" w:eastAsia="Arial" w:hAnsi="Arial"/>
                <w:sz w:val="14"/>
                <w:szCs w:val="14"/>
                <w:color w:val="auto"/>
                <w:w w:val="95"/>
              </w:rPr>
              <w:t>Income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1540" w:type="dxa"/>
            <w:vAlign w:val="bottom"/>
            <w:gridSpan w:val="3"/>
          </w:tcPr>
          <w:p>
            <w:pPr>
              <w:jc w:val="center"/>
              <w:ind w:right="760"/>
              <w:spacing w:after="0"/>
              <w:rPr>
                <w:sz w:val="20"/>
                <w:szCs w:val="20"/>
                <w:color w:val="auto"/>
              </w:rPr>
            </w:pPr>
            <w:r>
              <w:rPr>
                <w:rFonts w:ascii="Arial" w:cs="Arial" w:eastAsia="Arial" w:hAnsi="Arial"/>
                <w:sz w:val="14"/>
                <w:szCs w:val="14"/>
                <w:color w:val="auto"/>
                <w:w w:val="89"/>
              </w:rPr>
              <w:t>taxes</w:t>
            </w:r>
          </w:p>
        </w:tc>
        <w:tc>
          <w:tcPr>
            <w:tcW w:w="7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AFS investment securities with OTTI:</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with OTTI charges during the period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(202,737)</w:t>
            </w: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79,296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(104,001)</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40,662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losses on investment securities with OTTI</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(98,736)</w:t>
            </w: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38,634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(60,102)</w:t>
            </w:r>
          </w:p>
        </w:tc>
        <w:tc>
          <w:tcPr>
            <w:tcW w:w="0" w:type="dxa"/>
            <w:vAlign w:val="bottom"/>
          </w:tcPr>
          <w:p>
            <w:pPr>
              <w:spacing w:after="0"/>
              <w:rPr>
                <w:sz w:val="1"/>
                <w:szCs w:val="1"/>
                <w:color w:val="auto"/>
              </w:rPr>
            </w:pPr>
          </w:p>
        </w:tc>
      </w:tr>
      <w:tr>
        <w:trPr>
          <w:trHeight w:val="439"/>
        </w:trPr>
        <w:tc>
          <w:tcPr>
            <w:tcW w:w="770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389,609</w:t>
            </w:r>
          </w:p>
        </w:tc>
        <w:tc>
          <w:tcPr>
            <w:tcW w:w="3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(149,651)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239,958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Less: Reclassification adjustment for losses realized in net income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Securities with OTTI charges during the period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(202,737)</w:t>
            </w: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79,296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(123,441)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592,481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(229,001)</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363,480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unrealized holding losses to income during period on investment securities</w:t>
            </w: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previously transferred from AFS to HTM</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0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501,700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(192,550)</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309,150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for amortization of losses on terminated cash flow hedges to income</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10,873</w:t>
            </w: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Defined benefit plans liability adjustment</w:t>
            </w:r>
          </w:p>
        </w:tc>
        <w:tc>
          <w:tcPr>
            <w:tcW w:w="740" w:type="dxa"/>
            <w:vAlign w:val="bottom"/>
          </w:tcPr>
          <w:p>
            <w:pPr>
              <w:jc w:val="right"/>
              <w:spacing w:after="0"/>
              <w:rPr>
                <w:sz w:val="20"/>
                <w:szCs w:val="20"/>
                <w:color w:val="auto"/>
              </w:rPr>
            </w:pPr>
            <w:r>
              <w:rPr>
                <w:rFonts w:ascii="Arial" w:cs="Arial" w:eastAsia="Arial" w:hAnsi="Arial"/>
                <w:sz w:val="18"/>
                <w:szCs w:val="18"/>
                <w:color w:val="auto"/>
              </w:rPr>
              <w:t>2,521</w:t>
            </w:r>
          </w:p>
        </w:tc>
        <w:tc>
          <w:tcPr>
            <w:tcW w:w="360" w:type="dxa"/>
            <w:vAlign w:val="bottom"/>
          </w:tcPr>
          <w:p>
            <w:pPr>
              <w:spacing w:after="0"/>
              <w:rPr>
                <w:sz w:val="24"/>
                <w:szCs w:val="24"/>
                <w:color w:val="auto"/>
              </w:rPr>
            </w:pP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$ 515,094</w:t>
            </w:r>
          </w:p>
        </w:tc>
        <w:tc>
          <w:tcPr>
            <w:tcW w:w="3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(197,499)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317,595</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5520"/>
              <w:spacing w:after="0"/>
              <w:rPr>
                <w:sz w:val="20"/>
                <w:szCs w:val="20"/>
                <w:color w:val="auto"/>
              </w:rPr>
            </w:pPr>
            <w:r>
              <w:rPr>
                <w:rFonts w:ascii="Arial" w:cs="Arial" w:eastAsia="Arial" w:hAnsi="Arial"/>
                <w:sz w:val="18"/>
                <w:szCs w:val="18"/>
                <w:color w:val="auto"/>
              </w:rPr>
              <w:t>- 21 -</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vMerge w:val="restart"/>
          </w:tcPr>
          <w:p>
            <w:pPr>
              <w:jc w:val="right"/>
              <w:ind w:right="780"/>
              <w:spacing w:after="0"/>
              <w:rPr>
                <w:sz w:val="20"/>
                <w:szCs w:val="20"/>
                <w:color w:val="auto"/>
              </w:rPr>
            </w:pPr>
            <w:r>
              <w:rPr>
                <w:rFonts w:ascii="Arial" w:cs="Arial" w:eastAsia="Arial" w:hAnsi="Arial"/>
                <w:sz w:val="14"/>
                <w:szCs w:val="14"/>
                <w:color w:val="auto"/>
              </w:rPr>
              <w:t>Investment securities</w:t>
            </w:r>
          </w:p>
        </w:tc>
        <w:tc>
          <w:tcPr>
            <w:tcW w:w="32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Cash</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Defined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rPr>
              <w:t>flow</w:t>
            </w:r>
          </w:p>
        </w:tc>
        <w:tc>
          <w:tcPr>
            <w:tcW w:w="14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5"/>
              </w:rPr>
              <w:t>benefit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With OTTI</w:t>
            </w:r>
          </w:p>
        </w:tc>
        <w:tc>
          <w:tcPr>
            <w:tcW w:w="7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All other</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7"/>
              </w:rPr>
              <w:t>hedges</w:t>
            </w:r>
          </w:p>
        </w:tc>
        <w:tc>
          <w:tcPr>
            <w:tcW w:w="14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9"/>
              </w:rPr>
              <w:t>plans</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4"/>
              </w:rPr>
              <w:t>(in thousands)</w:t>
            </w: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(76,772)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(142,853)</w:t>
            </w: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674</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(117,046)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(335,997)</w:t>
            </w:r>
          </w:p>
        </w:tc>
        <w:tc>
          <w:tcPr>
            <w:tcW w:w="0" w:type="dxa"/>
            <w:vAlign w:val="bottom"/>
          </w:tcPr>
          <w:p>
            <w:pPr>
              <w:spacing w:after="0"/>
              <w:rPr>
                <w:sz w:val="1"/>
                <w:szCs w:val="1"/>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(5,022)</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145,414</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(211)</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3,262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143,443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(81,794)</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2,561</w:t>
            </w: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463</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(113,784)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(192,554)</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20" w:type="dxa"/>
            <w:vAlign w:val="bottom"/>
            <w:gridSpan w:val="2"/>
          </w:tcPr>
          <w:p>
            <w:pPr>
              <w:spacing w:after="0"/>
              <w:rPr>
                <w:sz w:val="20"/>
                <w:szCs w:val="20"/>
                <w:color w:val="auto"/>
              </w:rPr>
            </w:pPr>
            <w:r>
              <w:rPr>
                <w:rFonts w:ascii="Arial" w:cs="Arial" w:eastAsia="Arial" w:hAnsi="Arial"/>
                <w:sz w:val="18"/>
                <w:szCs w:val="18"/>
                <w:color w:val="auto"/>
              </w:rPr>
              <w:t>Balance — January 1, 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(556,668)</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(5,883)</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(174,330)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(736,881)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(60,102)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369,252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317,595</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20" w:type="dxa"/>
            <w:vAlign w:val="bottom"/>
            <w:gridSpan w:val="2"/>
          </w:tcPr>
          <w:p>
            <w:pPr>
              <w:spacing w:after="0"/>
              <w:rPr>
                <w:sz w:val="20"/>
                <w:szCs w:val="20"/>
                <w:color w:val="auto"/>
              </w:rPr>
            </w:pPr>
            <w:r>
              <w:rPr>
                <w:rFonts w:ascii="Arial" w:cs="Arial" w:eastAsia="Arial" w:hAnsi="Arial"/>
                <w:sz w:val="18"/>
                <w:szCs w:val="18"/>
                <w:color w:val="auto"/>
              </w:rPr>
              <w:t>Balance — September 30, 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(60,102)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(187,416)</w:t>
            </w: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744</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(172,512)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(419,286)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September 30, 2010.</w:t>
      </w:r>
    </w:p>
    <w:p>
      <w:pPr>
        <w:spacing w:after="0" w:line="85"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net effect of interest rate swap agreements was to increase net interest income by $10 million for each of the three-month periods ended September 30, 2010 and 2009, and $32 million and $27 million for the nine months ended September 30, 2010 and 2009, respectively. Information about interest rate swap agreements entered into for interest rate risk management purposes summarized by type of financial instrument the swap agreements were intended to hedge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Weighted-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760"/>
              <w:spacing w:after="0"/>
              <w:rPr>
                <w:sz w:val="20"/>
                <w:szCs w:val="20"/>
                <w:color w:val="auto"/>
              </w:rPr>
            </w:pPr>
            <w:r>
              <w:rPr>
                <w:rFonts w:ascii="Arial" w:cs="Arial" w:eastAsia="Arial" w:hAnsi="Arial"/>
                <w:sz w:val="14"/>
                <w:szCs w:val="14"/>
                <w:color w:val="auto"/>
              </w:rPr>
              <w:t>Notional</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Average</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average rate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760"/>
              <w:spacing w:after="0" w:line="142" w:lineRule="exact"/>
              <w:rPr>
                <w:sz w:val="20"/>
                <w:szCs w:val="20"/>
                <w:color w:val="auto"/>
              </w:rPr>
            </w:pPr>
            <w:r>
              <w:rPr>
                <w:rFonts w:ascii="Arial" w:cs="Arial" w:eastAsia="Arial" w:hAnsi="Arial"/>
                <w:sz w:val="14"/>
                <w:szCs w:val="14"/>
                <w:color w:val="auto"/>
                <w:w w:val="94"/>
              </w:rPr>
              <w:t>amount</w:t>
            </w: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maturity</w:t>
            </w: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Fixed</w:t>
            </w:r>
          </w:p>
        </w:tc>
        <w:tc>
          <w:tcPr>
            <w:tcW w:w="680" w:type="dxa"/>
            <w:vAlign w:val="bottom"/>
          </w:tcPr>
          <w:p>
            <w:pPr>
              <w:ind w:left="100"/>
              <w:spacing w:after="0" w:line="142"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(in thousands)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(in years)</w:t>
            </w: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1,037,241</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6.33%</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2.18%</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December 31,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64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5.30%</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0.34%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5"/>
              </w:rPr>
              <w:t>6.33</w:t>
            </w:r>
          </w:p>
        </w:tc>
        <w:tc>
          <w:tcPr>
            <w:tcW w:w="7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5"/>
              </w:rPr>
              <w:t>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1,062,241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9"/>
                <w:szCs w:val="19"/>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6.30%</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2.07%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21"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5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$12.6 billion and $13.9 billion at September 30, 2010 and December 31, 2009, respectively. The notional amounts of foreign currency and other option and futures contracts entered into for trading purposes aggregated $622 million and $608 million at September 30, 2010 and December 31, 2009, respectively.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5"/>
          </w:tcPr>
          <w:p>
            <w:pPr>
              <w:jc w:val="right"/>
              <w:ind w:right="1280"/>
              <w:spacing w:after="0"/>
              <w:rPr>
                <w:sz w:val="20"/>
                <w:szCs w:val="20"/>
                <w:color w:val="auto"/>
              </w:rPr>
            </w:pPr>
            <w:r>
              <w:rPr>
                <w:rFonts w:ascii="Arial" w:cs="Arial" w:eastAsia="Arial" w:hAnsi="Arial"/>
                <w:sz w:val="14"/>
                <w:szCs w:val="14"/>
                <w:color w:val="auto"/>
              </w:rPr>
              <w:t>Asset derivatives</w:t>
            </w:r>
          </w:p>
        </w:tc>
        <w:tc>
          <w:tcPr>
            <w:tcW w:w="180" w:type="dxa"/>
            <w:vAlign w:val="bottom"/>
          </w:tcPr>
          <w:p>
            <w:pPr>
              <w:spacing w:after="0"/>
              <w:rPr>
                <w:sz w:val="14"/>
                <w:szCs w:val="14"/>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84"/>
              <w:spacing w:after="0" w:line="142" w:lineRule="exact"/>
              <w:rPr>
                <w:sz w:val="20"/>
                <w:szCs w:val="20"/>
                <w:color w:val="auto"/>
              </w:rPr>
            </w:pPr>
            <w:r>
              <w:rPr>
                <w:rFonts w:ascii="Arial" w:cs="Arial" w:eastAsia="Arial" w:hAnsi="Arial"/>
                <w:sz w:val="14"/>
                <w:szCs w:val="14"/>
                <w:color w:val="auto"/>
                <w:w w:val="91"/>
              </w:rPr>
              <w:t>Fair value</w:t>
            </w:r>
          </w:p>
        </w:tc>
        <w:tc>
          <w:tcPr>
            <w:tcW w:w="6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79"/>
              <w:spacing w:after="0" w:line="142" w:lineRule="exact"/>
              <w:rPr>
                <w:sz w:val="20"/>
                <w:szCs w:val="20"/>
                <w:color w:val="auto"/>
              </w:rPr>
            </w:pPr>
            <w:r>
              <w:rPr>
                <w:rFonts w:ascii="Arial" w:cs="Arial" w:eastAsia="Arial" w:hAnsi="Arial"/>
                <w:sz w:val="14"/>
                <w:szCs w:val="14"/>
                <w:color w:val="auto"/>
                <w:w w:val="91"/>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w w:val="89"/>
              </w:rPr>
              <w:t>September 30,</w:t>
            </w:r>
          </w:p>
        </w:tc>
        <w:tc>
          <w:tcPr>
            <w:tcW w:w="6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640" w:type="dxa"/>
            <w:vAlign w:val="bottom"/>
          </w:tcPr>
          <w:p>
            <w:pPr>
              <w:spacing w:after="0"/>
              <w:rPr>
                <w:sz w:val="10"/>
                <w:szCs w:val="10"/>
                <w:color w:val="auto"/>
              </w:rPr>
            </w:pPr>
          </w:p>
        </w:tc>
        <w:tc>
          <w:tcPr>
            <w:tcW w:w="860" w:type="dxa"/>
            <w:vAlign w:val="bottom"/>
            <w:gridSpan w:val="3"/>
          </w:tcPr>
          <w:p>
            <w:pPr>
              <w:spacing w:after="0" w:line="123" w:lineRule="exact"/>
              <w:rPr>
                <w:sz w:val="20"/>
                <w:szCs w:val="20"/>
                <w:color w:val="auto"/>
              </w:rPr>
            </w:pPr>
            <w:r>
              <w:rPr>
                <w:rFonts w:ascii="Arial" w:cs="Arial" w:eastAsia="Arial" w:hAnsi="Arial"/>
                <w:sz w:val="14"/>
                <w:szCs w:val="14"/>
                <w:color w:val="auto"/>
                <w:w w:val="91"/>
              </w:rPr>
              <w:t>September 30,</w:t>
            </w:r>
          </w:p>
        </w:tc>
        <w:tc>
          <w:tcPr>
            <w:tcW w:w="62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2009</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Fair value hedges: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139,718</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54,486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6,009</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2,945</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140,124</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60,495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2,945</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w w:val="99"/>
              </w:rPr>
              <w:t>Derivatives not designated and qualifying as hedging instruments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8"/>
              </w:rPr>
              <w:t>Mortgage-related commitments to originate real estate loans for sale (a)</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26,554</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4,428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721</w:t>
            </w: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13,293</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8,906</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Interest rate contracts (b)</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439,386</w:t>
            </w: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317,651</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415,741</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290,104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 (b)</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8,582</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11,908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9,343</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475,243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347,280</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434,127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615,367</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407,775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437,072</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color w:val="auto"/>
                <w:w w:val="94"/>
              </w:rPr>
              <w:t>Amount of unrealized gain (loss) recognized</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gridSpan w:val="5"/>
          </w:tcPr>
          <w:p>
            <w:pPr>
              <w:jc w:val="center"/>
              <w:ind w:right="840"/>
              <w:spacing w:after="0" w:line="123" w:lineRule="exact"/>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0"/>
                <w:szCs w:val="10"/>
                <w:color w:val="auto"/>
              </w:rPr>
            </w:pPr>
          </w:p>
        </w:tc>
        <w:tc>
          <w:tcPr>
            <w:tcW w:w="1980" w:type="dxa"/>
            <w:vAlign w:val="bottom"/>
            <w:gridSpan w:val="4"/>
          </w:tcPr>
          <w:p>
            <w:pPr>
              <w:jc w:val="center"/>
              <w:ind w:right="48"/>
              <w:spacing w:after="0" w:line="123" w:lineRule="exact"/>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820"/>
              <w:spacing w:after="0"/>
              <w:rPr>
                <w:sz w:val="20"/>
                <w:szCs w:val="20"/>
                <w:color w:val="auto"/>
              </w:rPr>
            </w:pPr>
            <w:r>
              <w:rPr>
                <w:rFonts w:ascii="Arial" w:cs="Arial" w:eastAsia="Arial" w:hAnsi="Arial"/>
                <w:sz w:val="14"/>
                <w:szCs w:val="14"/>
                <w:color w:val="auto"/>
                <w:w w:val="91"/>
              </w:rPr>
              <w:t>September 30, 2010</w:t>
            </w:r>
          </w:p>
        </w:tc>
        <w:tc>
          <w:tcPr>
            <w:tcW w:w="10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color w:val="auto"/>
                <w:w w:val="89"/>
              </w:rPr>
              <w:t>September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3"/>
          </w:tcPr>
          <w:p>
            <w:pPr>
              <w:jc w:val="center"/>
              <w:ind w:left="544"/>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28,281</w:t>
            </w:r>
          </w:p>
        </w:tc>
        <w:tc>
          <w:tcPr>
            <w:tcW w:w="26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(27,166)</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19,265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(18,349)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$ 28,281</w:t>
            </w:r>
          </w:p>
        </w:tc>
        <w:tc>
          <w:tcPr>
            <w:tcW w:w="2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(27,166)</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$ 19,132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(18,216)</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(1,421)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(1,532)</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(719)</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color w:val="auto"/>
                <w:w w:val="94"/>
              </w:rPr>
              <w:t>Amount of unrealized gain (loss) recognized</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gridSpan w:val="5"/>
          </w:tcPr>
          <w:p>
            <w:pPr>
              <w:jc w:val="center"/>
              <w:ind w:right="820"/>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1980" w:type="dxa"/>
            <w:vAlign w:val="bottom"/>
            <w:gridSpan w:val="4"/>
          </w:tcPr>
          <w:p>
            <w:pPr>
              <w:jc w:val="center"/>
              <w:ind w:right="28"/>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820"/>
              <w:spacing w:after="0"/>
              <w:rPr>
                <w:sz w:val="20"/>
                <w:szCs w:val="20"/>
                <w:color w:val="auto"/>
              </w:rPr>
            </w:pPr>
            <w:r>
              <w:rPr>
                <w:rFonts w:ascii="Arial" w:cs="Arial" w:eastAsia="Arial" w:hAnsi="Arial"/>
                <w:sz w:val="14"/>
                <w:szCs w:val="14"/>
                <w:color w:val="auto"/>
                <w:w w:val="91"/>
              </w:rPr>
              <w:t>September 30, 2010</w:t>
            </w:r>
          </w:p>
        </w:tc>
        <w:tc>
          <w:tcPr>
            <w:tcW w:w="10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color w:val="auto"/>
                <w:w w:val="89"/>
              </w:rPr>
              <w:t>September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3"/>
          </w:tcPr>
          <w:p>
            <w:pPr>
              <w:jc w:val="center"/>
              <w:ind w:left="544"/>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84,708</w:t>
            </w:r>
          </w:p>
        </w:tc>
        <w:tc>
          <w:tcPr>
            <w:tcW w:w="26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(80,827)</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(62,452)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58,476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84,205</w:t>
            </w:r>
          </w:p>
        </w:tc>
        <w:tc>
          <w:tcPr>
            <w:tcW w:w="2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(80,324)</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5"/>
              </w:rPr>
              <w:t>$ (63,979)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59,996</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(2,778)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1,536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(880)</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(1,242)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$34 million and $20 million at September 30, 2010 and December 31, 2009, respectively. Changes in unrealized gains and losses are included in mortgage banking revenues and, in general, are realized in subsequent periods as the related loans are sold and commitments satisfied.</w:t>
      </w:r>
    </w:p>
    <w:p>
      <w:pPr>
        <w:spacing w:after="0" w:line="8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aggregate fair value of derivative financial instruments in a net liability position at September 30, 2010 for which the Company was required to post collateral was $302 million. The fair value of collateral posted for such instruments was $298 million.</w:t>
      </w:r>
    </w:p>
    <w:p>
      <w:pPr>
        <w:spacing w:after="0" w:line="62"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Company’s credit exposure with respect to the estimated fair value as of September 30, 2010 of interest rate swap agreements used for managing interest rate risk has been substantially mitigated through master netting arrangements with trading account interest rate contracts with the same counterparties as well as counterparty postings of $80 million of collateral with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Effective January 1, 2010, the Financial Accounting Standards Board (“FASB”) amended accounting guidance relating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w:t>
      </w:r>
    </w:p>
    <w:p>
      <w:pPr>
        <w:spacing w:after="0" w:line="57" w:lineRule="exact"/>
        <w:rPr>
          <w:sz w:val="20"/>
          <w:szCs w:val="20"/>
          <w:color w:val="auto"/>
        </w:rPr>
      </w:pPr>
    </w:p>
    <w:p>
      <w:pPr>
        <w:ind w:right="20" w:firstLine="215"/>
        <w:spacing w:after="0" w:line="293" w:lineRule="auto"/>
        <w:rPr>
          <w:sz w:val="20"/>
          <w:szCs w:val="20"/>
          <w:color w:val="auto"/>
        </w:rPr>
      </w:pPr>
      <w:r>
        <w:rPr>
          <w:rFonts w:ascii="Arial" w:cs="Arial" w:eastAsia="Arial" w:hAnsi="Arial"/>
          <w:sz w:val="16"/>
          <w:szCs w:val="16"/>
          <w:color w:val="auto"/>
        </w:rPr>
        <w:t>Also effective January 1, 2010, the FASB amended accounting guidance relating to accounting for transfers of financial assets to eliminate the exceptions for qualifying special-purpose entities from the consolidation guidance and the exception that permitted sale accounting for certain mortgage securitizations when a transferor has not surrendered control over the transferred assets. The recognition and measurement provisions of the amended guidance were required to be applied prospectively. Additionally, beginning January 1, 2010, the concept of a qualifying special-purpose entity is no longer relevant for accounting purposes. Therefore, formerly qualifying special-purpose entities had to be re-evaluated for consolidation in accordance with applicable consolidation guidance, including the new accounting guidance relating to the consolidation of variable interest entities discussed in the previous paragraph.</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2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2002 and 2003, the Company transferred approximately $1.9 billion of one-to-four family residential mortgage loans to qualified special-purpose trusts in two non-recourse securitization transactions. In exchange for the loans, the Company received cash, no more than 88% of the resulting securities, and the servicing rights to the loans. Through December 31, 2009, all of the retained securities were classified as investment securities available for sale as the qualified special-purpose trusts were not included in the Company’s consolidated financial statements. Effective January 1, 2010, the Company determined that it was the primary beneficiary of both securitization trusts under the amended consolidation rules considering its role as servicer and its retained subordinated interests in the trusts. As a result, beginning January 1, 2010, the Company included the one-to-four family residential mortgage loans that were included in the two non-recourse securitization transactions in its consolidated financial statements. The effect of that consolidation on January 1, 2010 was to increase loans receivable by $424 million, decrease the amortized cost of available-for-sale investment securities by $360 million (fair value of $355 million), and increase borrowings by $65 million. The transition adjustment at January 1, 2010 as a result of the Company’s adoption of the new accounting requirements was not significant. In the second quarter of 2010, the 2002 securitization trust was terminated as the Company exercised its right to purchase the underlying mortgage loans pursuant to the clean-up call provisions of the qualified special-purpose trust. At September 30, 2010, the carrying value of the loans in the remaining securitization trust was $283 million. The outstanding principal amount of mortgage-backed securities issued by the qualified special purpose trust was $290 million at September 30, 2010 and the principal amount of such securities held by the Company was $247 million. The remainder of the outstanding mortgage-backed securities were held by parties unrelated to M&amp;T. Because the transaction was non-recourse, the Company’s maximum exposure to loss as a result of its association with the trust at September 30, 2010 is limited to realizing the carrying value of the loans less the $43 million carrying value of the mortgage-backed securities outstanding to third parties.</w:t>
      </w:r>
    </w:p>
    <w:p>
      <w:pPr>
        <w:spacing w:after="0" w:line="7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the first quarter of 2009, the Company securitized approximately $141 million of one-to-four family residential mortgage loans in guaranteed mortgage securitizations with Fannie Mae. The Company recognized no gain or loss on the transactions as it retained all of the resulting securities. Such securities were classified as investment securities available for sale. The Company expects no material credit-related losses on the retained securities as a result of the guarantees by Fannie Mae.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variable interest entities in which the Company holds a variable interest are described below.</w:t>
      </w:r>
    </w:p>
    <w:p>
      <w:pPr>
        <w:spacing w:after="0" w:line="117"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M&amp;T has a variable interest in a trust that holds AIB ADSs for the purpose of satisfying options to purchase such shares for certain employees. The trust purchased the AIB ADSs with the proceeds of a loan from an entity subsequently acquired by M&amp;T. Proceeds from option exercises and any dividends and other earnings on the trust assets are used to repay the loan plus interest. Option holders have no preferential right with respect to the trust assets and the trust assets are subject to the claims of M&amp;T’s creditors. The trust has been included in the Company’s consolidated financial statements. As a result, included in investment securities available for sale were 591,813 AIB ADSs with a carrying value of approximately $1 million and $2 million at September 30, 2010 and December 31, 2009, respectively. Outstanding options granted to employees who have continued service with M&amp;T totaled 138,800 and 189,450 at September 30, 2010 and December 31, 2009, respectively. All outstanding options were fully vested and exercisable at both September 30, 2010 and December 31, 2009. The options expire at various dates through October 2011. The AIB ADSs are included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available for sale investment securities and have a fair value and an amortized cost of $1 million at September 30, 2010. An other-than-temporary impairment charge of $12 million was recognized during the second quarter of 2010 on the AIB ADSs due to adverse developments impacting AIB, including significant dilution of AIB common shareholders and further deterioration of AIB’s financial condition.</w:t>
      </w:r>
    </w:p>
    <w:p>
      <w:pPr>
        <w:spacing w:after="0" w:line="73" w:lineRule="exact"/>
        <w:rPr>
          <w:sz w:val="20"/>
          <w:szCs w:val="20"/>
          <w:color w:val="auto"/>
        </w:rPr>
      </w:pPr>
    </w:p>
    <w:p>
      <w:pPr>
        <w:ind w:right="40" w:firstLine="215"/>
        <w:spacing w:after="0" w:line="273" w:lineRule="auto"/>
        <w:rPr>
          <w:sz w:val="20"/>
          <w:szCs w:val="20"/>
          <w:color w:val="auto"/>
        </w:rPr>
      </w:pPr>
      <w:r>
        <w:rPr>
          <w:rFonts w:ascii="Arial" w:cs="Arial" w:eastAsia="Arial" w:hAnsi="Arial"/>
          <w:sz w:val="17"/>
          <w:szCs w:val="17"/>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September 30, 2010 and December 31, 2009,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Capital Securities described in note 5.</w:t>
      </w:r>
    </w:p>
    <w:p>
      <w:pPr>
        <w:spacing w:after="0" w:line="70"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 has invested as a limited partner in various real estate partnerships that collectively had total assets of approximately $1.0 billion at each of September 30, 2010 and December 31, 2009.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$246 million, including $75 million of unfunded commitments, at September 30, 2010 and $246 million, including $89 million of unfunded commitments, at December 31, 2009. The Company has not provided financial or other support to the partnerships that was not contractually required. Management currently estimates that no material losses are probable as a result of the Company’s involvement with such entities. In accordance with the accounting provisions for variable interest entities, the Company, in its position as limited partner, does not direct the activities that most significantly impact the economic performance of the partnerships and therefore, the partnership entities are not included in the Company’s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September 30, 2010.</w:t>
      </w:r>
    </w:p>
    <w:p>
      <w:pPr>
        <w:spacing w:after="0" w:line="6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660" w:right="640" w:hanging="436"/>
        <w:spacing w:after="0" w:line="342" w:lineRule="auto"/>
        <w:tabs>
          <w:tab w:leader="none" w:pos="660"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b w:val="1"/>
          <w:bCs w:val="1"/>
          <w:color w:val="auto"/>
        </w:rPr>
      </w:pPr>
    </w:p>
    <w:p>
      <w:pPr>
        <w:ind w:left="660" w:right="300" w:hanging="436"/>
        <w:spacing w:after="0" w:line="308" w:lineRule="auto"/>
        <w:tabs>
          <w:tab w:leader="none" w:pos="660" w:val="left"/>
        </w:tabs>
        <w:numPr>
          <w:ilvl w:val="1"/>
          <w:numId w:val="6"/>
        </w:numPr>
        <w:rPr>
          <w:rFonts w:ascii="Arial" w:cs="Arial" w:eastAsia="Arial" w:hAnsi="Arial"/>
          <w:sz w:val="17"/>
          <w:szCs w:val="17"/>
          <w:b w:val="1"/>
          <w:bCs w:val="1"/>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38" w:lineRule="exact"/>
        <w:rPr>
          <w:sz w:val="20"/>
          <w:szCs w:val="20"/>
          <w:color w:val="auto"/>
        </w:rPr>
      </w:pPr>
    </w:p>
    <w:p>
      <w:pPr>
        <w:ind w:right="160" w:firstLine="447"/>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3" w:lineRule="exact"/>
        <w:rPr>
          <w:sz w:val="20"/>
          <w:szCs w:val="20"/>
          <w:color w:val="auto"/>
        </w:rPr>
      </w:pPr>
    </w:p>
    <w:p>
      <w:pPr>
        <w:ind w:firstLine="447"/>
        <w:spacing w:after="0" w:line="276" w:lineRule="auto"/>
        <w:rPr>
          <w:sz w:val="20"/>
          <w:szCs w:val="20"/>
          <w:color w:val="auto"/>
        </w:rPr>
      </w:pPr>
      <w:r>
        <w:rPr>
          <w:rFonts w:ascii="Arial" w:cs="Arial" w:eastAsia="Arial" w:hAnsi="Arial"/>
          <w:sz w:val="17"/>
          <w:szCs w:val="17"/>
          <w:color w:val="auto"/>
        </w:rPr>
        <w:t>Trading activity in privately issued mortgage-backed securities has been limited. The markets for such securities were generally characterized by a sharp reduction of non-agency mortgage-backed securities issuances, a significant reduction in trading volumes and extremely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were difficult to observe at the individual bond level. Because of the inactivity in the markets and the lack of observable valuation inputs, the Company has classified the valuation of privately issued mortgage-backed securities as Level 3.</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April 2009, the FASB issued new accounting rules that provided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Therefore, the Company supplemented its determination of fair value for many of its privately issued mortgage-backed securities by obtaining pricing indications from two independent sources at September 30, 2010.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144 of its privately issued residential mortgage-backed securities with an amortized cost basis of $1.6 billion at September 30, 2010.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and loss rates, including assumptions for further home price depreciation. Differences between internal model valuations and external pricing indications were generally 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under current market conditions for each of the 144 bonds, the Company computed values based on judgmentally applied weightings of the internal model valuations and the indications obtained from the average of the two independent pricing sources. Weightings applied to internal model valuations generally ranged from zero to 40% depending on bond structure and collateral type, with prices for bonds in non-senior tranches generally receiving lower weightings on the internal model results and senior bonds receiving a higher model weighting. Weighted-average reliance on internal model pricing for the bonds modeled was 37% with a 63% average weighting placed on the values provided by the independent sources. The Company concluded its estimate of fair value for the $1.6 billion of privately issued residential mortgage-backed securities to approximate $1.4 billion, which implies a weighted-average market yield based on reasonably likely cash flows of 8.5%. Other valuations of privately issued residential mortgage-backed securities were determined by reference to independent pricing sources without adjustment.</w:t>
      </w:r>
    </w:p>
    <w:p>
      <w:pPr>
        <w:spacing w:after="0" w:line="60" w:lineRule="exact"/>
        <w:rPr>
          <w:sz w:val="20"/>
          <w:szCs w:val="20"/>
          <w:color w:val="auto"/>
        </w:rPr>
      </w:pPr>
    </w:p>
    <w:p>
      <w:pPr>
        <w:ind w:right="160" w:firstLine="225"/>
        <w:spacing w:after="0" w:line="290"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Given the severe disruption in the credit markets and lack of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September 30, 2010. The modeling techniques included discounting estimated cash flows using bond-specific assumptions about defaults, deferrals and prepayments of the trust preferred securities underlying each bond. The estimation of cash flows included assumptions as to future collateral defaults and related loss severities. The resulting cash flows were then discounted by reference to market yields observed in the single-name trust preferred securities market. At September 30, 2010, the total amortized cost and fair value of securities backed by trust preferred securities issued by financial institutions and other entities was $96 million and $109 million, respectively.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Privately issued mortgage-backed securities and securities backed by trust preferred securities issued by financial institutions and other entities constituted all of the available-for-sale investment securities classified as Level 3 valuations as of September 30,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tables present assets and liabilities at September 30, 2010 and December 31, 2009 measured at estimated fair value on a recurring basis: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1"/>
              </w:rPr>
              <w:t>September 30,</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2010</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1(a)</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6"/>
              </w:rPr>
              <w:t>Level 2(a)</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536,702</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49,528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487,174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75,565</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75,565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64,352</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64,352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3,574,898</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3,574,898</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1,523,368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23,480</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109,342</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293,964</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293,964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118,527</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108,373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10,154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5,783,496</w:t>
            </w:r>
          </w:p>
        </w:tc>
        <w:tc>
          <w:tcPr>
            <w:tcW w:w="6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108,373</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4,018,933</w:t>
            </w:r>
          </w:p>
        </w:tc>
        <w:tc>
          <w:tcPr>
            <w:tcW w:w="6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656,888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656,888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assets(b)</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167,399</w:t>
            </w:r>
          </w:p>
        </w:tc>
        <w:tc>
          <w:tcPr>
            <w:tcW w:w="62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140,845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7,144,485</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157,901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5,303,840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1,682,744</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425,084</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425,084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liabilities(b)</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11,988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437,072</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436,935</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- 31 -</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jc w:val="center"/>
              <w:ind w:right="640"/>
              <w:spacing w:after="0" w:line="149" w:lineRule="exact"/>
              <w:rPr>
                <w:sz w:val="20"/>
                <w:szCs w:val="20"/>
                <w:color w:val="auto"/>
              </w:rPr>
            </w:pPr>
            <w:r>
              <w:rPr>
                <w:rFonts w:ascii="Arial" w:cs="Arial" w:eastAsia="Arial" w:hAnsi="Arial"/>
                <w:sz w:val="14"/>
                <w:szCs w:val="14"/>
                <w:color w:val="auto"/>
                <w:w w:val="90"/>
              </w:rPr>
              <w:t>December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2009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386,984</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40,836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346,148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104,686</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104,686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62,923</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62,923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3,902,282</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3,902,282</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2,064,904</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25,166</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115,346</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268,201</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267,781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160,870</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145,817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6,704,378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145,817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4,352,725</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652,761</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652,761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 (b)</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78,216</w:t>
            </w:r>
          </w:p>
        </w:tc>
        <w:tc>
          <w:tcPr>
            <w:tcW w:w="620" w:type="dxa"/>
            <w:vAlign w:val="bottom"/>
            <w:gridSpan w:val="2"/>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73,788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7,822,339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186,653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5,425,422</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2,210,264</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302,198</w:t>
            </w:r>
          </w:p>
        </w:tc>
        <w:tc>
          <w:tcPr>
            <w:tcW w:w="60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296,621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6,039</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308,237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298,152</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There were no significant transfers between Level 1 and Level 2 of the fair value hierarchy during the three and nine months ended September 30, 2010.</w:t>
      </w:r>
    </w:p>
    <w:p>
      <w:pPr>
        <w:spacing w:after="0" w:line="99" w:lineRule="exact"/>
        <w:rPr>
          <w:rFonts w:ascii="Arial" w:cs="Arial" w:eastAsia="Arial" w:hAnsi="Arial"/>
          <w:sz w:val="16"/>
          <w:szCs w:val="16"/>
          <w:i w:val="1"/>
          <w:iCs w:val="1"/>
          <w:color w:val="auto"/>
        </w:rPr>
      </w:pPr>
    </w:p>
    <w:p>
      <w:pPr>
        <w:ind w:left="460" w:right="440" w:hanging="452"/>
        <w:spacing w:after="0" w:line="277"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9" w:lineRule="exact"/>
        <w:rPr>
          <w:rFonts w:ascii="Arial" w:cs="Arial" w:eastAsia="Arial" w:hAnsi="Arial"/>
          <w:sz w:val="18"/>
          <w:szCs w:val="18"/>
          <w:i w:val="1"/>
          <w:iCs w:val="1"/>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gains (losses)</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80" w:type="dxa"/>
            <w:vAlign w:val="bottom"/>
            <w:gridSpan w:val="5"/>
          </w:tcPr>
          <w:p>
            <w:pPr>
              <w:jc w:val="right"/>
              <w:ind w:right="740"/>
              <w:spacing w:after="0" w:line="149" w:lineRule="exact"/>
              <w:rPr>
                <w:sz w:val="20"/>
                <w:szCs w:val="20"/>
                <w:color w:val="auto"/>
              </w:rPr>
            </w:pPr>
            <w:r>
              <w:rPr>
                <w:rFonts w:ascii="Arial" w:cs="Arial" w:eastAsia="Arial" w:hAnsi="Arial"/>
                <w:sz w:val="14"/>
                <w:szCs w:val="14"/>
                <w:color w:val="auto"/>
              </w:rPr>
              <w:t>Total gains (losses)</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color w:val="auto"/>
              </w:rPr>
              <w:t>realized/unrealized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related to</w:t>
            </w:r>
          </w:p>
        </w:tc>
      </w:tr>
      <w:tr>
        <w:trPr>
          <w:trHeight w:val="123"/>
        </w:trPr>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Included in</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1"/>
              </w:rPr>
              <w:t>Transfer</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assets still</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Balance-</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other</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in and/or</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Balance-</w:t>
            </w: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9"/>
              </w:rPr>
              <w:t>June 30,</w:t>
            </w: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Included</w:t>
            </w: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comprehensive</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out of</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September 30,</w:t>
            </w: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2010</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in earnings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income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Settlements</w:t>
            </w:r>
          </w:p>
        </w:tc>
        <w:tc>
          <w:tcPr>
            <w:tcW w:w="4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Level 3(c)</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2010 .</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280" w:type="dxa"/>
            <w:vAlign w:val="bottom"/>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Investment securities available</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w w:val="98"/>
              </w:rPr>
              <w:t>mortgage-backed securities</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$ 1,598,033</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(6,675)(a)</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37,634</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(105,624)</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1,523,368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(6,675)(a)</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commercial</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mortgage-backed securities</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26,643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(1,369)</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(1,794)</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23,480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9"/>
              </w:rPr>
              <w:t>Collateralized debt obligations</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118,040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(2,857)(a)</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(5,592)</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(249)</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109,342</w:t>
            </w: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(2,857)(a)</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1,742,716</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30,673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(107,667)</w:t>
            </w:r>
          </w:p>
        </w:tc>
        <w:tc>
          <w:tcPr>
            <w:tcW w:w="480" w:type="dxa"/>
            <w:vAlign w:val="bottom"/>
          </w:tcPr>
          <w:p>
            <w:pPr>
              <w:spacing w:after="0"/>
              <w:rPr>
                <w:sz w:val="19"/>
                <w:szCs w:val="19"/>
                <w:color w:val="auto"/>
              </w:rPr>
            </w:pP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1,656,190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(9,532)</w:t>
            </w:r>
          </w:p>
        </w:tc>
        <w:tc>
          <w:tcPr>
            <w:tcW w:w="280" w:type="dxa"/>
            <w:vAlign w:val="bottom"/>
          </w:tcPr>
          <w:p>
            <w:pPr>
              <w:spacing w:after="0"/>
              <w:rPr>
                <w:sz w:val="19"/>
                <w:szCs w:val="19"/>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20,843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38,399(b)</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(32,825)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26,417</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23,910(b)</w:t>
            </w:r>
          </w:p>
        </w:tc>
      </w:tr>
      <w:tr>
        <w:trPr>
          <w:trHeight w:val="405"/>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8"/>
                <w:szCs w:val="18"/>
                <w:color w:val="auto"/>
              </w:rPr>
              <w:t>- 33 -</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2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gains (losses)</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60" w:type="dxa"/>
            <w:vAlign w:val="bottom"/>
            <w:gridSpan w:val="5"/>
          </w:tcPr>
          <w:p>
            <w:pPr>
              <w:ind w:left="540"/>
              <w:spacing w:after="0" w:line="149" w:lineRule="exact"/>
              <w:rPr>
                <w:sz w:val="20"/>
                <w:szCs w:val="20"/>
                <w:color w:val="auto"/>
              </w:rPr>
            </w:pPr>
            <w:r>
              <w:rPr>
                <w:rFonts w:ascii="Arial" w:cs="Arial" w:eastAsia="Arial" w:hAnsi="Arial"/>
                <w:sz w:val="14"/>
                <w:szCs w:val="14"/>
                <w:color w:val="auto"/>
              </w:rPr>
              <w:t>Total gains (losses)</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5"/>
          </w:tcPr>
          <w:p>
            <w:pPr>
              <w:ind w:left="540"/>
              <w:spacing w:after="0"/>
              <w:rPr>
                <w:sz w:val="20"/>
                <w:szCs w:val="20"/>
                <w:color w:val="auto"/>
              </w:rPr>
            </w:pPr>
            <w:r>
              <w:rPr>
                <w:rFonts w:ascii="Arial" w:cs="Arial" w:eastAsia="Arial" w:hAnsi="Arial"/>
                <w:sz w:val="14"/>
                <w:szCs w:val="14"/>
                <w:color w:val="auto"/>
              </w:rPr>
              <w:t>realized/unrealized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related to</w:t>
            </w:r>
          </w:p>
        </w:tc>
      </w:tr>
      <w:tr>
        <w:trPr>
          <w:trHeight w:val="123"/>
        </w:trPr>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Included in</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85"/>
              </w:rPr>
              <w:t>Purchases,</w:t>
            </w:r>
          </w:p>
        </w:tc>
        <w:tc>
          <w:tcPr>
            <w:tcW w:w="116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1"/>
              </w:rPr>
              <w:t>Transfer</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assets still</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0"/>
              </w:rPr>
              <w:t>Balance-</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other</w:t>
            </w:r>
          </w:p>
        </w:tc>
        <w:tc>
          <w:tcPr>
            <w:tcW w:w="2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sales,</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in and/or</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Balance-</w:t>
            </w: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9"/>
              </w:rPr>
              <w:t>June 30,</w:t>
            </w: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Included</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comprehensive</w:t>
            </w:r>
          </w:p>
        </w:tc>
        <w:tc>
          <w:tcPr>
            <w:tcW w:w="2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issuances &amp;</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out of</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September 30,</w:t>
            </w: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6"/>
              </w:rPr>
              <w:t>2009</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in earnings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income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settlements</w:t>
            </w:r>
          </w:p>
        </w:tc>
        <w:tc>
          <w:tcPr>
            <w:tcW w:w="4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Level 3(c)</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Investment securities available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Obligations of states and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political subdivisions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12,203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12,335</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mortgage-backed securities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2,241,758</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(44,278)(a)</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161,308</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(174,551)</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2,184,237</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(44,278)(a)</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Privately issued commercial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w w:val="98"/>
              </w:rPr>
              <w:t>mortgage-backed securities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23,018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23,541</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9"/>
              </w:rPr>
              <w:t>Collateralized debt obligations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112,372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(2,502)(a)</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19,205</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2,262</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131,337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(2,502)(a)</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765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(450)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2,392,445</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(46,780)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181,239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(172,301)</w:t>
            </w: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5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2,354,153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(46,780)</w:t>
            </w:r>
          </w:p>
        </w:tc>
        <w:tc>
          <w:tcPr>
            <w:tcW w:w="280" w:type="dxa"/>
            <w:vAlign w:val="bottom"/>
          </w:tcPr>
          <w:p>
            <w:pPr>
              <w:spacing w:after="0"/>
              <w:rPr>
                <w:sz w:val="19"/>
                <w:szCs w:val="19"/>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9,676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16,195(b)</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(11,951)</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13,148(b)</w:t>
            </w:r>
          </w:p>
        </w:tc>
      </w:tr>
      <w:tr>
        <w:trPr>
          <w:trHeight w:val="405"/>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- 34 -</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2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r>
      <w:tr>
        <w:trPr>
          <w:trHeight w:val="149"/>
        </w:trPr>
        <w:tc>
          <w:tcPr>
            <w:tcW w:w="2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gains (losses)</w:t>
            </w:r>
          </w:p>
        </w:tc>
      </w:tr>
      <w:tr>
        <w:trPr>
          <w:trHeight w:val="149"/>
        </w:trPr>
        <w:tc>
          <w:tcPr>
            <w:tcW w:w="2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80" w:type="dxa"/>
            <w:vAlign w:val="bottom"/>
            <w:gridSpan w:val="5"/>
          </w:tcPr>
          <w:p>
            <w:pPr>
              <w:jc w:val="right"/>
              <w:ind w:right="740"/>
              <w:spacing w:after="0" w:line="149" w:lineRule="exact"/>
              <w:rPr>
                <w:sz w:val="20"/>
                <w:szCs w:val="20"/>
                <w:color w:val="auto"/>
              </w:rPr>
            </w:pPr>
            <w:r>
              <w:rPr>
                <w:rFonts w:ascii="Arial" w:cs="Arial" w:eastAsia="Arial" w:hAnsi="Arial"/>
                <w:sz w:val="14"/>
                <w:szCs w:val="14"/>
                <w:color w:val="auto"/>
              </w:rPr>
              <w:t>Total gains (losses)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r>
      <w:tr>
        <w:trPr>
          <w:trHeight w:val="167"/>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color w:val="auto"/>
              </w:rPr>
              <w:t>realized/unrealized</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related to</w:t>
            </w:r>
          </w:p>
        </w:tc>
      </w:tr>
      <w:tr>
        <w:trPr>
          <w:trHeight w:val="123"/>
        </w:trPr>
        <w:tc>
          <w:tcPr>
            <w:tcW w:w="2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Included in</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6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1"/>
              </w:rPr>
              <w:t>Transfer</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assets still</w:t>
            </w:r>
          </w:p>
        </w:tc>
      </w:tr>
      <w:tr>
        <w:trPr>
          <w:trHeight w:val="149"/>
        </w:trPr>
        <w:tc>
          <w:tcPr>
            <w:tcW w:w="25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Balance-</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in and/or</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w:t>
            </w:r>
          </w:p>
        </w:tc>
        <w:tc>
          <w:tcPr>
            <w:tcW w:w="2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r>
      <w:tr>
        <w:trPr>
          <w:trHeight w:val="149"/>
        </w:trPr>
        <w:tc>
          <w:tcPr>
            <w:tcW w:w="25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January 1,</w:t>
            </w: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Included</w:t>
            </w: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comprehensive</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6"/>
              </w:rPr>
              <w:t>out of</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September 30,</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25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4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w w:val="93"/>
              </w:rPr>
              <w:t>in earnings</w:t>
            </w:r>
          </w:p>
        </w:tc>
        <w:tc>
          <w:tcPr>
            <w:tcW w:w="1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income</w:t>
            </w:r>
          </w:p>
        </w:tc>
        <w:tc>
          <w:tcPr>
            <w:tcW w:w="2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color w:val="auto"/>
                <w:w w:val="91"/>
              </w:rPr>
              <w:t>Settlements</w:t>
            </w: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color w:val="auto"/>
                <w:w w:val="97"/>
              </w:rPr>
              <w:t>Level 3(c)</w:t>
            </w: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220" w:type="dxa"/>
            <w:vAlign w:val="bottom"/>
          </w:tcPr>
          <w:p>
            <w:pPr>
              <w:spacing w:after="0"/>
              <w:rPr>
                <w:sz w:val="14"/>
                <w:szCs w:val="14"/>
                <w:color w:val="auto"/>
              </w:rPr>
            </w:pPr>
          </w:p>
        </w:tc>
        <w:tc>
          <w:tcPr>
            <w:tcW w:w="104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2010</w:t>
            </w:r>
          </w:p>
        </w:tc>
        <w:tc>
          <w:tcPr>
            <w:tcW w:w="280" w:type="dxa"/>
            <w:vAlign w:val="bottom"/>
          </w:tcPr>
          <w:p>
            <w:pPr>
              <w:spacing w:after="0"/>
              <w:rPr>
                <w:sz w:val="14"/>
                <w:szCs w:val="14"/>
                <w:color w:val="auto"/>
              </w:rPr>
            </w:pPr>
          </w:p>
        </w:tc>
      </w:tr>
      <w:tr>
        <w:trPr>
          <w:trHeight w:val="142"/>
        </w:trPr>
        <w:tc>
          <w:tcPr>
            <w:tcW w:w="25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1"/>
              </w:rPr>
              <w:t>(in thousands)</w:t>
            </w: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02"/>
        </w:trPr>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 for sale:</w:t>
            </w: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56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$ 2,064,904</w:t>
            </w:r>
          </w:p>
        </w:tc>
        <w:tc>
          <w:tcPr>
            <w:tcW w:w="4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(41,018)(a)</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152,882</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(298,152)</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(355,248)(d)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1,523,368</w:t>
            </w:r>
          </w:p>
        </w:tc>
        <w:tc>
          <w:tcPr>
            <w:tcW w:w="2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(41,018)(a)</w:t>
            </w:r>
          </w:p>
        </w:tc>
      </w:tr>
      <w:tr>
        <w:trPr>
          <w:trHeight w:val="202"/>
        </w:trPr>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commercial</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25,166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4,725</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(6,411)</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23,480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115,346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(5,703)(a)</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215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(516)</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109,342</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(5,703)(a)</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5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2,205,836</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(46,721)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(305,079)</w:t>
            </w:r>
          </w:p>
        </w:tc>
        <w:tc>
          <w:tcPr>
            <w:tcW w:w="4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(355,703)</w:t>
            </w:r>
          </w:p>
        </w:tc>
        <w:tc>
          <w:tcPr>
            <w:tcW w:w="6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1,656,190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(46,721)</w:t>
            </w:r>
          </w:p>
        </w:tc>
        <w:tc>
          <w:tcPr>
            <w:tcW w:w="280" w:type="dxa"/>
            <w:vAlign w:val="bottom"/>
          </w:tcPr>
          <w:p>
            <w:pPr>
              <w:spacing w:after="0"/>
              <w:rPr>
                <w:sz w:val="19"/>
                <w:szCs w:val="19"/>
                <w:color w:val="auto"/>
              </w:rPr>
            </w:pPr>
          </w:p>
        </w:tc>
      </w:tr>
      <w:tr>
        <w:trPr>
          <w:trHeight w:val="202"/>
        </w:trPr>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86,249(b)</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(59,752)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26,417</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26,326(b)</w:t>
            </w:r>
          </w:p>
        </w:tc>
      </w:tr>
      <w:tr>
        <w:trPr>
          <w:trHeight w:val="405"/>
        </w:trPr>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- 35 -</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25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gains (losses)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included in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gridSpan w:val="5"/>
          </w:tcPr>
          <w:p>
            <w:pPr>
              <w:jc w:val="right"/>
              <w:ind w:right="760"/>
              <w:spacing w:after="0" w:line="149" w:lineRule="exact"/>
              <w:rPr>
                <w:sz w:val="20"/>
                <w:szCs w:val="20"/>
                <w:color w:val="auto"/>
              </w:rPr>
            </w:pPr>
            <w:r>
              <w:rPr>
                <w:rFonts w:ascii="Arial" w:cs="Arial" w:eastAsia="Arial" w:hAnsi="Arial"/>
                <w:sz w:val="14"/>
                <w:szCs w:val="14"/>
                <w:color w:val="auto"/>
              </w:rPr>
              <w:t>Total gains (losses)</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gridSpan w:val="5"/>
          </w:tcPr>
          <w:p>
            <w:pPr>
              <w:jc w:val="right"/>
              <w:ind w:right="780"/>
              <w:spacing w:after="0"/>
              <w:rPr>
                <w:sz w:val="20"/>
                <w:szCs w:val="20"/>
                <w:color w:val="auto"/>
              </w:rPr>
            </w:pPr>
            <w:r>
              <w:rPr>
                <w:rFonts w:ascii="Arial" w:cs="Arial" w:eastAsia="Arial" w:hAnsi="Arial"/>
                <w:sz w:val="14"/>
                <w:szCs w:val="14"/>
                <w:color w:val="auto"/>
              </w:rPr>
              <w:t>realized/unrealized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related to</w:t>
            </w:r>
          </w:p>
        </w:tc>
        <w:tc>
          <w:tcPr>
            <w:tcW w:w="0" w:type="dxa"/>
            <w:vAlign w:val="bottom"/>
          </w:tcPr>
          <w:p>
            <w:pPr>
              <w:spacing w:after="0"/>
              <w:rPr>
                <w:sz w:val="1"/>
                <w:szCs w:val="1"/>
                <w:color w:val="auto"/>
              </w:rPr>
            </w:pPr>
          </w:p>
        </w:tc>
      </w:tr>
      <w:tr>
        <w:trPr>
          <w:trHeight w:val="123"/>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Included in</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88"/>
              </w:rPr>
              <w:t>Purchases,</w:t>
            </w:r>
          </w:p>
        </w:tc>
        <w:tc>
          <w:tcPr>
            <w:tcW w:w="114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w w:val="91"/>
              </w:rPr>
              <w:t>Transfer</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assets still</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Balance-</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other</w:t>
            </w:r>
          </w:p>
        </w:tc>
        <w:tc>
          <w:tcPr>
            <w:tcW w:w="2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1"/>
              </w:rPr>
              <w:t>sales,</w:t>
            </w: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in and/or</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Balance-</w:t>
            </w: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January 1,</w:t>
            </w: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Included</w:t>
            </w:r>
          </w:p>
        </w:tc>
        <w:tc>
          <w:tcPr>
            <w:tcW w:w="12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0"/>
              </w:rPr>
              <w:t>comprehensive</w:t>
            </w:r>
          </w:p>
        </w:tc>
        <w:tc>
          <w:tcPr>
            <w:tcW w:w="2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issuances &amp;</w:t>
            </w: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out of</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September 30,</w:t>
            </w: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color w:val="auto"/>
                <w:w w:val="96"/>
              </w:rPr>
              <w:t>2009</w:t>
            </w:r>
          </w:p>
        </w:tc>
        <w:tc>
          <w:tcPr>
            <w:tcW w:w="4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color w:val="auto"/>
                <w:w w:val="99"/>
              </w:rPr>
              <w:t>in earnings</w:t>
            </w:r>
          </w:p>
        </w:tc>
        <w:tc>
          <w:tcPr>
            <w:tcW w:w="1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income</w:t>
            </w: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w w:val="76"/>
              </w:rPr>
              <w:t>(in</w:t>
            </w: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color w:val="auto"/>
                <w:w w:val="92"/>
              </w:rPr>
              <w:t>settlements</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Level 3(c)</w:t>
            </w: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220" w:type="dxa"/>
            <w:vAlign w:val="bottom"/>
          </w:tcPr>
          <w:p>
            <w:pPr>
              <w:spacing w:after="0"/>
              <w:rPr>
                <w:sz w:val="14"/>
                <w:szCs w:val="14"/>
                <w:color w:val="auto"/>
              </w:rPr>
            </w:pPr>
          </w:p>
        </w:tc>
        <w:tc>
          <w:tcPr>
            <w:tcW w:w="1060" w:type="dxa"/>
            <w:vAlign w:val="bottom"/>
            <w:gridSpan w:val="2"/>
          </w:tcPr>
          <w:p>
            <w:pPr>
              <w:jc w:val="center"/>
              <w:ind w:left="188"/>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thousands)</w:t>
            </w:r>
          </w:p>
        </w:tc>
        <w:tc>
          <w:tcPr>
            <w:tcW w:w="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 available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5,532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(5,532)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12,143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12,335</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20"/>
              <w:spacing w:after="0"/>
              <w:rPr>
                <w:sz w:val="20"/>
                <w:szCs w:val="20"/>
                <w:color w:val="auto"/>
              </w:rPr>
            </w:pPr>
            <w:r>
              <w:rPr>
                <w:rFonts w:ascii="Arial" w:cs="Arial" w:eastAsia="Arial" w:hAnsi="Arial"/>
                <w:sz w:val="18"/>
                <w:szCs w:val="18"/>
                <w:color w:val="auto"/>
              </w:rPr>
              <w:t>guaranteed mortgage-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backed securities</w:t>
            </w: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84,544</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(84,544)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2,326,554</w:t>
            </w: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(98,746)(a)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376,435</w:t>
            </w:r>
          </w:p>
        </w:tc>
        <w:tc>
          <w:tcPr>
            <w:tcW w:w="20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(420,006)</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2,184,237</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(98,746)(a)</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Privately issued commercial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mortgage- backed securities</w:t>
            </w: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41,046</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(8,478)</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(9,027)</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23,541</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(4,055)(a)</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32,917</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99,979</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110</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(450)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2,302</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2,462,512</w:t>
            </w:r>
          </w:p>
        </w:tc>
        <w:tc>
          <w:tcPr>
            <w:tcW w:w="4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(102,801)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401,140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(328,315)</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(78,383)</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2,354,153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8,266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35,685(b)</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(30,031)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16,444(b)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Reported as an other-than-temporary impairment loss in the consolidated statement of income or as gain (loss) on bank investment securities.</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99" w:lineRule="exact"/>
        <w:rPr>
          <w:rFonts w:ascii="Arial" w:cs="Arial" w:eastAsia="Arial" w:hAnsi="Arial"/>
          <w:sz w:val="16"/>
          <w:szCs w:val="16"/>
          <w:i w:val="1"/>
          <w:iCs w:val="1"/>
          <w:color w:val="auto"/>
        </w:rPr>
      </w:pPr>
    </w:p>
    <w:p>
      <w:pPr>
        <w:ind w:left="460" w:right="220" w:hanging="452"/>
        <w:spacing w:after="0" w:line="277"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21" w:lineRule="exact"/>
        <w:rPr>
          <w:rFonts w:ascii="Arial" w:cs="Arial" w:eastAsia="Arial" w:hAnsi="Arial"/>
          <w:sz w:val="18"/>
          <w:szCs w:val="18"/>
          <w:i w:val="1"/>
          <w:iCs w:val="1"/>
          <w:color w:val="auto"/>
        </w:rPr>
      </w:pPr>
    </w:p>
    <w:p>
      <w:pPr>
        <w:ind w:left="460" w:right="240" w:hanging="452"/>
        <w:spacing w:after="0" w:line="264"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As a result of the Company’s adoption of new accounting rules governing the consolidation of variable interest entities, effective January 1, 2010 the Company derecognized $355 million of available-for-sale investment securities previously classified as Level 3 measurements. Further information regarding the Company’s adoption of new accounting requirements is included in note 11.</w:t>
      </w:r>
    </w:p>
    <w:p>
      <w:pPr>
        <w:spacing w:after="0" w:line="14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Estimates of fair value used for other collateral supporting commercial loans generally are based on assumptions not observable in the marketplace and therefore such valuations have been classified as Level 3. Loans subject to nonrecurring fair value measurement were $625 million at September 30, 2010, ($373 million and $252 million of which were classified as Level 2 and Level 3, respectively) and $828 million at September 30, 2009 ($301 million and $527 million of which were classified as Level 2 and Level 3, respectively). Changes in fair value recognized for partial charge-offs of loans and loan impairment reserves on loans held by the Company on September 30, 2010 were decreases of $61 million and $154 million for the three and nine months ended September 30, 2010, respectively, and on loans held by the Company on September 30, 2009 were decreases of $136 million and $292 million for the three months and nine months ended September 30, 2009,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September 30, 2010, $33 million of capitalized servicing rights had a carrying value equal to their fair value. Changes in fair value of capitalized servicing rights recognized for the three and nine months ended September 30, 2010 reflected decreases of $3 million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$6 million, respectively. At September 30, 2009, $28 million of capitalized servicing rights had a carrying value equal to their fair value. Changes in fair value of capitalized servicing rights recognized for the nine months ended September 30, 2009 reflected increases in fair value of $18 million. There were no similar changes during the three months ended September 30,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cost or fair value less costs to sell. The fair value of the real property is generally determined using appraisals or other indications of value based on recent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comparable sales of similar properties or assumptions generally observable in the marketplace, and the related nonrecurring fair value measurement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adjustments have generally been classified as Level 2. Assets taken in foreclosure of defaulted loans subject to nonrecurring fair value measurement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 million and $38 million at September 30, 2010 and September 30, 2009, respectively. Changes in fair value recognized for those foreclosed assets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at September 30, 2010 were $19 million and $34 million for the three and nine months ended September 30, 2010, respectively.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 recognized for those foreclosed assets held by the Company at September 30, 2009 were $4 million and $25 million for the three and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2009, respectively.</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amounts and calculated estimates of fair value for financial instrument assets (liabilities)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ind w:right="1300"/>
              <w:spacing w:after="0"/>
              <w:rPr>
                <w:sz w:val="20"/>
                <w:szCs w:val="20"/>
                <w:color w:val="auto"/>
              </w:rPr>
            </w:pPr>
            <w:r>
              <w:rPr>
                <w:rFonts w:ascii="Arial" w:cs="Arial" w:eastAsia="Arial" w:hAnsi="Arial"/>
                <w:sz w:val="14"/>
                <w:szCs w:val="14"/>
                <w:color w:val="auto"/>
              </w:rPr>
              <w:t>September 30, 2010</w:t>
            </w:r>
          </w:p>
        </w:tc>
        <w:tc>
          <w:tcPr>
            <w:tcW w:w="12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color w:val="auto"/>
              </w:rPr>
              <w:t>December 31, 2009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2"/>
              <w:spacing w:after="0" w:line="123" w:lineRule="exact"/>
              <w:rPr>
                <w:sz w:val="20"/>
                <w:szCs w:val="20"/>
                <w:color w:val="auto"/>
              </w:rPr>
            </w:pPr>
            <w:r>
              <w:rPr>
                <w:rFonts w:ascii="Arial" w:cs="Arial" w:eastAsia="Arial" w:hAnsi="Arial"/>
                <w:sz w:val="14"/>
                <w:szCs w:val="14"/>
                <w:color w:val="auto"/>
              </w:rPr>
              <w:t>Calculated</w:t>
            </w: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1"/>
              <w:spacing w:after="0" w:line="123" w:lineRule="exact"/>
              <w:rPr>
                <w:sz w:val="20"/>
                <w:szCs w:val="20"/>
                <w:color w:val="auto"/>
              </w:rPr>
            </w:pPr>
            <w:r>
              <w:rPr>
                <w:rFonts w:ascii="Arial" w:cs="Arial" w:eastAsia="Arial" w:hAnsi="Arial"/>
                <w:sz w:val="14"/>
                <w:szCs w:val="14"/>
                <w:color w:val="auto"/>
              </w:rPr>
              <w:t>Calculated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estimate</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estimate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1,089,325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1,089,325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1,246,342</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1,246,342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401,624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401,624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Agreements to resell securities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425,000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425,000</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536,702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536,702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7,662,715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7,575,042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7,780,609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7,629,485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Commercial loans and leases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12,788,136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12,494,338</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13,479,447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13,090,206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real estate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20,580,450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20,258,451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20,949,931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20,426,273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Residential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5,754,432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5,556,767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5,463,463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Consumer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11,668,540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11,333,568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12,043,845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11,575,525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Allowance for credit losses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(894,720)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(878,022)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Loans and leases, net</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49,896,838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49,643,124</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51,058,664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50,150,767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224,475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224,475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214,692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214,692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(14,665,603)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(14,665,603)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(13,794,636)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(13,794,636)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 and NOW accounts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(27,215,588)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(27,215,588)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(25,073,269)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(25,073,269)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(6,119,516)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(6,171,627)</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(7,531,495)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(7,592,214)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foreign office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(653,916)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(653,916)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(1,050,438)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(1,211,683)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(1,211,683)</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(2,442,582)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(2,442,582)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(8,991,508)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(9,118,366)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(10,240,016)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(110,013)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(110,013)</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(94,838)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(425,084)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(302,198)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(302,198)</w:t>
            </w: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Other financial instruments: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Commitments to originate real estate loans for sale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26,417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Commitments to sell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(10,724)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(10,724)</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17,771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credit-related commitments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(51,515)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20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management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139,718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139,718</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54,486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54,486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40" w:type="dxa"/>
            <w:vAlign w:val="bottom"/>
            <w:gridSpan w:val="3"/>
          </w:tcPr>
          <w:p>
            <w:pPr>
              <w:jc w:val="right"/>
              <w:ind w:right="592"/>
              <w:spacing w:after="0"/>
              <w:rPr>
                <w:sz w:val="20"/>
                <w:szCs w:val="20"/>
                <w:color w:val="auto"/>
              </w:rPr>
            </w:pPr>
            <w:r>
              <w:rPr>
                <w:rFonts w:ascii="Arial" w:cs="Arial" w:eastAsia="Arial" w:hAnsi="Arial"/>
                <w:sz w:val="18"/>
                <w:szCs w:val="18"/>
                <w:color w:val="auto"/>
              </w:rPr>
              <w:t>- 39 -</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agreements to resell securities, short-term borrowings, accrued interest receivable and accrued interest payable</w:t>
      </w:r>
    </w:p>
    <w:p>
      <w:pPr>
        <w:spacing w:after="0" w:line="6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agreements to resell securities, short-term borrowings, accrued interest receivable and accrued interest payable, the Company estimated that the carrying amount of such instruments approximated estimated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and included appropriate adjustments for expected credit losses.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46"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fair value of interest rate swap agreements used for interest rate risk management represents the amount the Company would have expected to receive or pay to terminate such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5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7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color w:val="auto"/>
              </w:rPr>
              <w:t>2010</w:t>
            </w:r>
          </w:p>
        </w:tc>
        <w:tc>
          <w:tcPr>
            <w:tcW w:w="2080" w:type="dxa"/>
            <w:vAlign w:val="bottom"/>
            <w:gridSpan w:val="3"/>
          </w:tcPr>
          <w:p>
            <w:pPr>
              <w:jc w:val="right"/>
              <w:ind w:right="468"/>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$6,346,123</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6,482,987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157,952</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180,498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1,501,564</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1,360,805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930,160</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631,090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217,352</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127,788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7,731,120</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7,155,188</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3,779,166</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3,828,586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72,191</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66,377</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1,521,275</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1,633,549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1,375,705</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1,239,001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approximately $1.5 billion and $1.3 billion at September 30, 2010 and December 31, 2009, respectively.</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21" w:lineRule="exact"/>
        <w:rPr>
          <w:sz w:val="20"/>
          <w:szCs w:val="20"/>
          <w:color w:val="auto"/>
        </w:rPr>
      </w:pPr>
    </w:p>
    <w:p>
      <w:pPr>
        <w:jc w:val="both"/>
        <w:ind w:right="700" w:firstLine="222"/>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3"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$89 million at September 30, 2010. Assets of subsidiaries providing reinsurance that are available to satisfy claims totaled approximately $74 million at September 30, 2010. The amounts noted above are not necessarily indicative of losses which may ultimately be incurred. Such losses are expected to be substantially less because most loans are repaid by borrowers in accordance with the original loan terms. Management believes any reinsurance losses that may be payable by the Company will not be material to the Company’s consolidated financial position.</w:t>
      </w:r>
    </w:p>
    <w:p>
      <w:pPr>
        <w:spacing w:after="0" w:line="7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Company is contractually obligated to repurchase previously sold residential mortgage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2010, management believes that any remaining liability arising out of the Company’s obligation to loan purchasers is not material to the Company’s consolidated financial position.</w:t>
      </w:r>
    </w:p>
    <w:p>
      <w:pPr>
        <w:spacing w:after="0" w:line="7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reportable segments are Business Banking, Commercial Banking, Commercial Real Estate, Discretionary Portfolio, Residential Mortgage Banking and Retail Banking.</w:t>
      </w:r>
    </w:p>
    <w:p>
      <w:pPr>
        <w:spacing w:after="0" w:line="62"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2009.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2009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color w:val="auto"/>
                <w:w w:val="91"/>
              </w:rPr>
              <w:t>Three months ended September 30</w:t>
            </w: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2010</w:t>
            </w: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2009</w:t>
            </w: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2"/>
          </w:tcPr>
          <w:p>
            <w:pPr>
              <w:jc w:val="center"/>
              <w:ind w:right="680"/>
              <w:spacing w:after="0" w:line="123" w:lineRule="exact"/>
              <w:rPr>
                <w:sz w:val="20"/>
                <w:szCs w:val="20"/>
                <w:color w:val="auto"/>
              </w:rPr>
            </w:pPr>
            <w:r>
              <w:rPr>
                <w:rFonts w:ascii="Arial" w:cs="Arial" w:eastAsia="Arial" w:hAnsi="Arial"/>
                <w:sz w:val="14"/>
                <w:szCs w:val="14"/>
                <w:color w:val="auto"/>
                <w:w w:val="91"/>
              </w:rPr>
              <w:t>Inter-</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segment</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income</w:t>
            </w:r>
          </w:p>
        </w:tc>
        <w:tc>
          <w:tcPr>
            <w:tcW w:w="13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Total</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revenues(a)</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revenues(a)</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60" w:type="dxa"/>
            <w:vAlign w:val="bottom"/>
            <w:gridSpan w:val="4"/>
          </w:tcPr>
          <w:p>
            <w:pPr>
              <w:jc w:val="right"/>
              <w:ind w:right="1300"/>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$ 103,475</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24,295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108,744</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33,707</w:t>
            </w: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199,139</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282</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71,567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183,407</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118,666</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53,727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107,524</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42,229</w:t>
            </w: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12,493</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(2,733)</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(2,759)</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1,346</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(2,894)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(10,496)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73,744</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9,419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9,408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74,336</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11,170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302,656</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2,632</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55,572</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336,049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2,902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49,594</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(9,994)</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(19,795)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14,475</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(11,192)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(54,186)</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$ 859,767</w:t>
            </w:r>
          </w:p>
        </w:tc>
        <w:tc>
          <w:tcPr>
            <w:tcW w:w="68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192,015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825,881</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- 44 -</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color w:val="auto"/>
                <w:w w:val="93"/>
              </w:rPr>
              <w:t>Nine months ended September 30</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2010</w:t>
            </w: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1"/>
              </w:rPr>
              <w:t>Inter-</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1"/>
              </w:rPr>
              <w:t>Inter-</w:t>
            </w:r>
          </w:p>
        </w:tc>
        <w:tc>
          <w:tcPr>
            <w:tcW w:w="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Total</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segment</w:t>
            </w:r>
          </w:p>
        </w:tc>
        <w:tc>
          <w:tcPr>
            <w:tcW w:w="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revenues (a)</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640" w:type="dxa"/>
            <w:vAlign w:val="bottom"/>
          </w:tcPr>
          <w:p>
            <w:pPr>
              <w:spacing w:after="0"/>
              <w:rPr>
                <w:sz w:val="14"/>
                <w:szCs w:val="1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revenues (a)</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gridSpan w:val="4"/>
          </w:tcPr>
          <w:p>
            <w:pPr>
              <w:jc w:val="right"/>
              <w:ind w:right="10"/>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307,881</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290</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305,511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94,518</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586,120</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282</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230,047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535,092</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168,315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338,566</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161</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141,147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297,335</w:t>
            </w:r>
          </w:p>
        </w:tc>
        <w:tc>
          <w:tcPr>
            <w:tcW w:w="17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53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108,669</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5,840</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(7,980)</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(22,994)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29,077</w:t>
            </w:r>
          </w:p>
        </w:tc>
        <w:tc>
          <w:tcPr>
            <w:tcW w:w="1720" w:type="dxa"/>
            <w:vAlign w:val="bottom"/>
            <w:gridSpan w:val="4"/>
          </w:tcPr>
          <w:p>
            <w:pPr>
              <w:jc w:val="right"/>
              <w:ind w:right="580"/>
              <w:spacing w:after="0"/>
              <w:rPr>
                <w:sz w:val="20"/>
                <w:szCs w:val="20"/>
                <w:color w:val="auto"/>
              </w:rPr>
            </w:pPr>
            <w:r>
              <w:rPr>
                <w:rFonts w:ascii="Arial" w:cs="Arial" w:eastAsia="Arial" w:hAnsi="Arial"/>
                <w:sz w:val="18"/>
                <w:szCs w:val="18"/>
                <w:color w:val="auto"/>
              </w:rPr>
              <w:t>(9,671)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(18,864)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202,627</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26,492</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234,363</w:t>
            </w:r>
          </w:p>
        </w:tc>
        <w:tc>
          <w:tcPr>
            <w:tcW w:w="17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38,041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925,769</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8,009</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181,689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933,726</w:t>
            </w:r>
          </w:p>
        </w:tc>
        <w:tc>
          <w:tcPr>
            <w:tcW w:w="1720" w:type="dxa"/>
            <w:vAlign w:val="bottom"/>
            <w:gridSpan w:val="4"/>
          </w:tcPr>
          <w:p>
            <w:pPr>
              <w:jc w:val="right"/>
              <w:ind w:right="640"/>
              <w:spacing w:after="0"/>
              <w:rPr>
                <w:sz w:val="20"/>
                <w:szCs w:val="20"/>
                <w:color w:val="auto"/>
              </w:rPr>
            </w:pPr>
            <w:r>
              <w:rPr>
                <w:rFonts w:ascii="Arial" w:cs="Arial" w:eastAsia="Arial" w:hAnsi="Arial"/>
                <w:sz w:val="18"/>
                <w:szCs w:val="18"/>
                <w:color w:val="auto"/>
              </w:rPr>
              <w:t>8,066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180,590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147,788</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(27,254)</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(55,859)</w:t>
            </w:r>
          </w:p>
        </w:tc>
        <w:tc>
          <w:tcPr>
            <w:tcW w:w="172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(36,489)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(285,987)</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2,514,591</w:t>
            </w:r>
          </w:p>
        </w:tc>
        <w:tc>
          <w:tcPr>
            <w:tcW w:w="6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531,719</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2,279,245</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243,073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color w:val="auto"/>
                <w:w w:val="89"/>
              </w:rPr>
              <w:t>Average total assets</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6"/>
          </w:tcPr>
          <w:p>
            <w:pPr>
              <w:jc w:val="right"/>
              <w:ind w:right="1120"/>
              <w:spacing w:after="0" w:line="123" w:lineRule="exact"/>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6"/>
          </w:tcPr>
          <w:p>
            <w:pPr>
              <w:jc w:val="right"/>
              <w:ind w:right="1280"/>
              <w:spacing w:after="0" w:line="149" w:lineRule="exact"/>
              <w:rPr>
                <w:sz w:val="20"/>
                <w:szCs w:val="20"/>
                <w:color w:val="auto"/>
              </w:rPr>
            </w:pPr>
            <w:r>
              <w:rPr>
                <w:rFonts w:ascii="Arial" w:cs="Arial" w:eastAsia="Arial" w:hAnsi="Arial"/>
                <w:sz w:val="14"/>
                <w:szCs w:val="14"/>
                <w:color w:val="auto"/>
              </w:rPr>
              <w:t>September 30</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4"/>
              <w:spacing w:after="0"/>
              <w:rPr>
                <w:sz w:val="20"/>
                <w:szCs w:val="20"/>
                <w:color w:val="auto"/>
              </w:rPr>
            </w:pPr>
            <w:r>
              <w:rPr>
                <w:rFonts w:ascii="Arial" w:cs="Arial" w:eastAsia="Arial" w:hAnsi="Arial"/>
                <w:sz w:val="14"/>
                <w:szCs w:val="14"/>
                <w:color w:val="auto"/>
                <w:w w:val="89"/>
              </w:rPr>
              <w:t>2010</w:t>
            </w:r>
          </w:p>
        </w:tc>
        <w:tc>
          <w:tcPr>
            <w:tcW w:w="300" w:type="dxa"/>
            <w:vAlign w:val="bottom"/>
          </w:tcPr>
          <w:p>
            <w:pPr>
              <w:spacing w:after="0"/>
              <w:rPr>
                <w:sz w:val="14"/>
                <w:szCs w:val="14"/>
                <w:color w:val="auto"/>
              </w:rPr>
            </w:pPr>
          </w:p>
        </w:tc>
        <w:tc>
          <w:tcPr>
            <w:tcW w:w="1040" w:type="dxa"/>
            <w:vAlign w:val="bottom"/>
            <w:gridSpan w:val="3"/>
          </w:tcPr>
          <w:p>
            <w:pPr>
              <w:ind w:left="560"/>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3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15,460</w:t>
            </w:r>
          </w:p>
        </w:tc>
        <w:tc>
          <w:tcPr>
            <w:tcW w:w="3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15,451</w:t>
            </w:r>
          </w:p>
        </w:tc>
        <w:tc>
          <w:tcPr>
            <w:tcW w:w="6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13,198</w:t>
            </w:r>
          </w:p>
        </w:tc>
        <w:tc>
          <w:tcPr>
            <w:tcW w:w="3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14,658</w:t>
            </w:r>
          </w:p>
        </w:tc>
        <w:tc>
          <w:tcPr>
            <w:tcW w:w="3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13,642</w:t>
            </w:r>
          </w:p>
        </w:tc>
        <w:tc>
          <w:tcPr>
            <w:tcW w:w="6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13,763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3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12,133</w:t>
            </w:r>
          </w:p>
        </w:tc>
        <w:tc>
          <w:tcPr>
            <w:tcW w:w="300" w:type="dxa"/>
            <w:vAlign w:val="bottom"/>
          </w:tcPr>
          <w:p>
            <w:pPr>
              <w:spacing w:after="0"/>
              <w:rPr>
                <w:sz w:val="24"/>
                <w:szCs w:val="24"/>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w w:val="79"/>
              </w:rPr>
              <w:t>11,862</w:t>
            </w:r>
          </w:p>
        </w:tc>
        <w:tc>
          <w:tcPr>
            <w:tcW w:w="6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3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68,339</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66,984</w:t>
            </w:r>
          </w:p>
        </w:tc>
        <w:tc>
          <w:tcPr>
            <w:tcW w:w="6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67,472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302" w:lineRule="auto"/>
        <w:tabs>
          <w:tab w:leader="none" w:pos="4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$5,865,000 and $5,795,000 for the three-month periods ended September 30, 2010 and 2009,</w:t>
      </w:r>
    </w:p>
    <w:p>
      <w:pPr>
        <w:spacing w:after="0" w:line="113" w:lineRule="exact"/>
        <w:rPr>
          <w:rFonts w:ascii="Arial" w:cs="Arial" w:eastAsia="Arial" w:hAnsi="Arial"/>
          <w:sz w:val="16"/>
          <w:szCs w:val="16"/>
          <w:i w:val="1"/>
          <w:iCs w:val="1"/>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21"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i w:val="1"/>
          <w:iCs w:val="1"/>
          <w:color w:val="auto"/>
        </w:rPr>
        <w:t>respectively, and $17,893,000 and $15,942,000 for the nine-month periods ended September 30, 2010 and 2009,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2007 M&amp;T invested $300 million to acquire a 20% minority interest in Bayview Lending Group LLC (“BLG”), a privately-held company that, together with its affiliates, specializes in securitizing and servicing real estate loans and other assets. M&amp;T recognizes income from BLG using the equity method of accounting.</w:t>
      </w:r>
    </w:p>
    <w:p>
      <w:pPr>
        <w:spacing w:after="0" w:line="7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$5.4 billion and $5.5 billion at September 30, 2010 and December 31, 2009, respectively. Amounts recorded as capitalized servicing assets for such loans totaled $29 million at September 30, 2010 and $40 million at December 31, 2009. Capitalized servicing rights at September 30, 2010 and December 31, 2009 also included $11 million and $17 million, respectively, for servicing rights that were purchased from Bayview Financial related to residential mortgage loans with outstanding principal balances of $3.8 billion at September 30, 2010 and $4.1 billion at December 31, 2009. Revenues from servicing residential and small balance commercial mortgage loans purchased from BLG and Bayview Financial were $11 million and $12 million during the quarters ended September 30, 2010 and 2009, respectively, and $35 million and $38 million for the nine months ended September 30, 2010 and 2009, respectively. M&amp;T Bank provided $34 million of credit facilities to Bayview Financial at December 31, 2009, of which $24 million were outstanding. At September 30, 2010, there were no such credit facilities provided. In addition, at September 30, 2010 and December 31, 2009, the Company held $23 million and $25 million, respectively, of collateralized mortgage obligations in its available-for-sale investment securities portfolio that were securitized by Bayview Financial. Finally, the Company held $325 million and $352 million of similar investment securities in its held-to-maturity portfolio at September 30, 2010 and December 31, 2009,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Relationship of M&amp;T and AIB</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AIB received 26,700,000 shares of M&amp;T common stock on April 1, 2003 as a result of M&amp;T’s acquisition of a subsidiary of AIB on that date. Those shares of common stock owned by AIB represented 22.4% of the issued and outstanding shares of M&amp;T common stock on September 30, 2010. In an effort to raise its capital position to meet new Irish government-mandated capital requirements, AIB announced in March 2010 that it planned to sell its ownership interest in M&amp;T by the end of 2010. On October 6, 2010, AIB issued 26.7 million Contingent Mandatorily Exchangeable Notes, each note mandatorily exchangeable into one share of M&amp;T Common Stock. The Notes were sold to institutional and retail investors and will convert to M&amp;T common stock five business days following the approval of the disposition plan by AIB shareholders. AIB convened a special meeting of its shareholders on November 1, 2010 where the disposition of AIB’s stake in M&amp;T and the exchange of the Notes for M&amp;T common stock was approved. AIB announced on November 4, 2010 that it had completed the sale of the 26,700,000 shares of M&amp;T</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Relationship of M&amp;T and AIB, continued</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common stock. As a result, the provisions of the Agreement and Plan of Reorganization between M&amp;T and AIB which include several provisions related to AIB’s rights as a substantial shareholder in the corporate governance of M&amp;T became inoperative, since AIB’s ownership position in M&amp;T will no longer exist.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1, 2010, M&amp;T entered into a definitive agreement with Wilmington Trust Corporation (“Wilmington Trust”), headquartered in Wilmington, Delaware, under which Wilmington Trust will merge with M&amp;T. Pursuant to the terms of the merger agreement, Wilmington Trust common shareholders will receive .051372 shares of M&amp;T common stock in exchange for each share of Wilmington Trust common stock in a stock-for-stock transaction valued at $351 million (with the price and exchange ratio based on M&amp;T’s closing price of $74.75 per share as of October 29, 2010), plus the assumption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$330 million in preferred stock issued as part of the Troubled Asset Relief Program — Capital Purchase Program of the U.S. Department of Treasury.</w:t>
      </w:r>
    </w:p>
    <w:p>
      <w:pPr>
        <w:spacing w:after="0" w:line="114" w:lineRule="exact"/>
        <w:rPr>
          <w:sz w:val="20"/>
          <w:szCs w:val="20"/>
          <w:color w:val="auto"/>
        </w:rPr>
      </w:pPr>
    </w:p>
    <w:p>
      <w:pPr>
        <w:jc w:val="both"/>
        <w:ind w:right="240" w:firstLine="215"/>
        <w:spacing w:after="0" w:line="286" w:lineRule="auto"/>
        <w:rPr>
          <w:sz w:val="20"/>
          <w:szCs w:val="20"/>
          <w:color w:val="auto"/>
        </w:rPr>
      </w:pPr>
      <w:r>
        <w:rPr>
          <w:rFonts w:ascii="Arial" w:cs="Arial" w:eastAsia="Arial" w:hAnsi="Arial"/>
          <w:sz w:val="17"/>
          <w:szCs w:val="17"/>
          <w:color w:val="auto"/>
        </w:rPr>
        <w:t>At September 30, 2010, Wilmington Trust had approximately $10.4 billion of assets, including $8.1 billion of loans, $9.3 billion of liabilities, including $8.3 billion of deposits, and $58.4 billion of assets under management. The merger is subject to a number of conditions, including the approval of various state and Federal regulators and Wilmington Trust’s common shareholders, and is expected to be completed by mid-year 2011.</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M&amp;T Bank Corporation (“M&amp;T”) recorded net income in the third quarter of 2010 of $192 million or $1.48 of diluted earnings per common share, compared with $128 million or $.97 of diluted earnings per common share in the third quarter of 2009. During the second quarter of 2010, net income totaled</w:t>
      </w:r>
    </w:p>
    <w:p>
      <w:pPr>
        <w:spacing w:after="0" w:line="268" w:lineRule="auto"/>
        <w:rPr>
          <w:sz w:val="20"/>
          <w:szCs w:val="20"/>
          <w:color w:val="auto"/>
        </w:rPr>
      </w:pPr>
      <w:r>
        <w:rPr>
          <w:rFonts w:ascii="Arial" w:cs="Arial" w:eastAsia="Arial" w:hAnsi="Arial"/>
          <w:sz w:val="17"/>
          <w:szCs w:val="17"/>
          <w:color w:val="auto"/>
        </w:rPr>
        <w:t>$189 million or $1.46 of diluted earnings per common share. Basic earnings per common share were $1.49 in the recent quarter, compared with $.97 in the year-earlier quarter and $1.47 in the second quarter of 2010. The after-tax impact of net acquisition and integration-related gains and expenses (included herein as merger-related expenses) resulted in income of $9 million ($15 million pre-tax) or $.08 of basic and diluted earnings per common share in the third quarter of 2009. Such gains and expenses related to M&amp;T’s May 23, 2009 acquisition of Provident Bankshares Corporation (“Provident”) and to the August 28, 2009 agreement between the Federal Deposit Insurance Corporation (“FDIC”) and M&amp;T Bank, the principal banking subsidiary of M&amp;T, for M&amp;T Bank to assume all of the deposits and acquire certain assets of Bradford Bank (“Bradford”). There were no merger-related expenses during 2010. For the nine months ended September 30, 2010, net income was $532 million or $4.10 per diluted common share, compared with $243 million or $1.84 per diluted common share during the similar period of 2009. Basic earnings per common share were $4.12 for the first nine months of 2010, compared with $1.84 in the corresponding nine-month period of 2009. The after-tax impact of merger-related gains and expenses was $33 million ($54 million pre-tax) or $.28 of basic and diluted earnings per common share in the nine-month period ended September 30, 2009.</w:t>
      </w:r>
    </w:p>
    <w:p>
      <w:pPr>
        <w:spacing w:after="0" w:line="72" w:lineRule="exact"/>
        <w:rPr>
          <w:sz w:val="20"/>
          <w:szCs w:val="20"/>
          <w:color w:val="auto"/>
        </w:rPr>
      </w:pPr>
    </w:p>
    <w:p>
      <w:pPr>
        <w:ind w:right="220" w:firstLine="222"/>
        <w:spacing w:after="0" w:line="27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recent quarter was 1.12%, compared with .73% in the third quarter of 2009 and 1.11% in the second quarter of 2010. The annualized rate of return on average common stockholders’ equity was 9.56% in the third quarter of 2010, compared with 6.72% in the year-earlier quarter and 9.67% in 2010’s second quarter. During the nine-month period ended September 30, 2010, the annualized rates of return on average assets and average common stockholders’ equity were 1.04% and 9.05%, respectively, compared with .49% and 4.35%, respectively, in the corresponding period in 2009.</w:t>
      </w:r>
    </w:p>
    <w:p>
      <w:pPr>
        <w:spacing w:after="0" w:line="64"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condition of the residential real estate marketplace and the U.S. economy has had a significant impact on the financial services industry as a whole, and specifically on the financial results of the Company. A pronounced downturn in the residential real estate market that began in early 2007 has resulted in significantly lower residential real estate values and higher delinquencies and charge-offs of loans, including loans to builders and developers of residential real estate. In addition, the U.S. economy was in recession during 2008 and 2009, and high unemployment continues to hinder any significant recovery. As a result, the Company experienced higher than historical levels of delinquencies and charge-offs related to its commercial loan and commercial real estate loan portfolios during 2009 and in 2010 as well. Investment securities backed by residential and commercial real estate have reflected substantial unrealized losses during the real estate downturn due to a lack of liquidity in the financial markets and anticipated credit losses. Many financial institutions, including the Company, have taken charges for those unrealized losses that were deemed to be other than temporary.</w:t>
      </w:r>
    </w:p>
    <w:p>
      <w:pPr>
        <w:spacing w:after="0" w:line="58"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Reflected in the Company’s third quarter 2010 results were $6 million of after-tax other-than-temporary impairment charges ($10 million before taxes) on certain available-for-sale investment securities, reducing diluted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earnings per common share by $.05. Such impairment charges related to certain privately issued collateralized mortgage obligations (“CMOs”) backed by residential real estate loans and collateralized debt obligations (“CDOs”) backed by pooled trust preferred securities.</w:t>
      </w:r>
    </w:p>
    <w:p>
      <w:pPr>
        <w:spacing w:after="0" w:line="62" w:lineRule="exact"/>
        <w:rPr>
          <w:sz w:val="20"/>
          <w:szCs w:val="20"/>
          <w:color w:val="auto"/>
        </w:rPr>
      </w:pPr>
    </w:p>
    <w:p>
      <w:pPr>
        <w:ind w:right="280" w:firstLine="222"/>
        <w:spacing w:after="0" w:line="290" w:lineRule="auto"/>
        <w:rPr>
          <w:sz w:val="20"/>
          <w:szCs w:val="20"/>
          <w:color w:val="auto"/>
        </w:rPr>
      </w:pPr>
      <w:r>
        <w:rPr>
          <w:rFonts w:ascii="Arial" w:cs="Arial" w:eastAsia="Arial" w:hAnsi="Arial"/>
          <w:sz w:val="16"/>
          <w:szCs w:val="16"/>
          <w:color w:val="auto"/>
        </w:rPr>
        <w:t>The Financial Accounting Standards Board (“FASB”) amended generally accepted accounting principles (“GAAP”) in June 2009 relating to: (1) the consolidation of variable interest entities to eliminate the quantitative approach previously required for determining the primary beneficiary of a variable interest entity; and (2) accounting for transfers of financial assets to eliminate the exceptions for qualifying special-purpose entities from the consolidation guidance and the exception that permitted sale accounting for certain mortgage securitizations when a transferor has not surrendered control over the transferred assets. The amended guidance became effective as of January 1, 2010. The recognition and measurement provisions of the amended guidance were applied to transfers that occurred on or after the effective date. Additionally, beginning January 1, 2010, the concept of a qualifying special-purpose entity is no longer relevant for accounting purposes. Therefore, formerly qualifying special-purpose entities must now be evaluated for consolidation in accordance with applicable consolidation guidance, including the new accounting guidance relating to the consolidation of variable interest entities.</w:t>
      </w:r>
    </w:p>
    <w:p>
      <w:pPr>
        <w:spacing w:after="0" w:line="58"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accordance with the new accounting requirements, effective January 1, 2010 the Company included in its consolidated financial statements one-to-four family residential mortgage loans that were included in non-recourse securitization transactions using qualified special trusts. The effect of that consolidation as of January 1, 2010 was to increase residential real estate loans by $424 million, decrease the amortized cost of available-for-sale investment securities by $360 million (fair value of $355 million as of January 1, 2010), and increase borrowings by $65 million. Information concerning those loans is included in note 11 of Notes to Financial Statements.</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Several noteworthy items are reflected in M&amp;T’s third quarter 2009 results. On August 28, 2009 M&amp;T Bank entered into a purchase and assumption agreement with the FDIC to assume all of the deposits and acquire certain assets of Bradford, a bank based in Baltimore, Maryland. As part of the transaction, M&amp;T Bank entered into a loss-share arrangement with the FDIC whereby M&amp;T Bank will be reimbursed by the FDIC for most losses it incurs on the acquired loan portfolio. Assets acquired in the transaction totaled approximately $469 million, including $302 million of loans, and liabilities assumed aggregated $440 million, including $361 million of deposits. The transaction was accounted for using the acquisition method of accounting. In accordance with GAAP, M&amp;T Bank recorded an after-tax gain on the transaction of $18 million ($29 million before taxes) during the third quarter of 2009. The gain reflected the amount of financial support and indemnification against loan losses that M&amp;T obtained from the FDIC. Merger-related expenses associated with this transaction and with M&amp;T’s second quarter acquisition of Provident totaled $9 million, after applicable tax effect, in 2009’s third quarter. Also reflected in M&amp;T’s third quarter 2009 results were $29 million of after-tax other-than-temporary impairment charges ($47 million before taxes) on certain available-for-sale investment securities. Specifically, such charges related to certain privately issued CMOs backed by residential real estate loans and CDOs backed by pooled trust preferred securities of financial institutions. Finally, M&amp;T’s results in the third quarter of 2009 benefited from a $10 million reversal of accrued income taxes for previously uncertain tax positions in various jurisdictions. The overall impact of the items described herein was to reduce M&amp;T’s third quarter 2009 net income by approximately $9 million, or $.08 of diluted earnings per common share.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On May 23, 2009, M&amp;T completed the acquisition of Provident, a bank holding company based in Baltimore, Maryland. Provident Bank, Provident’s banking subsidiary, was merged into M&amp;T Bank on that date. The results of operations acquired in the Provident transaction have been included in the Company’s financial results since the acquisition date. Provident common shareholders received .171625 shares of M&amp;T common stock in exchange for each share of Provident common stock, resulting in M&amp;T issuing a total of 5,838,308 common shares in connection with the acquisition. In addition, based on the merger agreement, outstanding and unexercised options to purchase common stock of Provident converted to options to purchase the common stock of M&amp;T. The fair value of those options was approximately $1 million. In total, the purchase price was approximately $274 million based on the fair value on the acquisition date of M&amp;T common stock exchanged and the fair value of the options to purchase M&amp;T common stock. Holders of Provident’s preferred stock were issued shares of new Series B and Series C Preferred Stock of M&amp;T having substantially identical terms. That preferred stock added $156 million to M&amp;T’s stockholders’ equity. The Series B Preferred Stock has a preference value of $27 million, pays non-cumulative dividends at a rate of 10%, and is convertible into 433,148 shares of M&amp;T common stock. The Series C Preferred Stock has a preference value of $152 million, pays cumulative dividends at a rate of 5% through November 2013 and 9% thereafter, and is held by the U.S. Department of Treasury under the Troubled Asset Relief Program — Capital Purchase Program.</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Provident transaction has been accounted for using the acquisition method of accounting. Accordingly, the assets acquired and liabilities assumed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recorded by M&amp;T at their estimated fair values as of the acquisition date. Assets acquired totaled $6.3 billion, including $4.0 billion of loans and leases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approximately $1.7 billion of commercial real estate loans, $1.4 billion of consumer loans, $700 million of commercial loans and leases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 million of residential real estate loans) and $1.0 billion of investment securities. Liabilities assumed were $5.9 billion, including $5.1 billion of deposits.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transaction added $436 million to M&amp;T’s stockholders’ equity, including $280 million of common equity and $156 million of preferred equity.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acquisition, the Company recorded $332 million of goodwill and $63 million of core deposit intangible. The core deposit intangible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being amortized over seven years using an accelerated method. The acquisition of Provident expanded the Company’s presence in the Mid-Atlantic area, gave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second largest deposit share in Maryland, and tripled the Company’s presence in Virginia.</w:t>
      </w:r>
    </w:p>
    <w:p>
      <w:pPr>
        <w:spacing w:after="0" w:line="103"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Application of the acquisition method requires that acquired loans be recorded at fair value and prohibits the carry-over of the acquired entity’s allowance for credit losses. Determining the fair value of the acquired loans required estimating cash flows expected to be collected on the loans. The impact of estimated credit losses on all acquired loans was considered in the estimation of future cash flows used in the determination of estimated fair value as of the acquisition date.</w:t>
      </w:r>
    </w:p>
    <w:p>
      <w:pPr>
        <w:spacing w:after="0" w:line="79"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Merger-related gains and expenses associated with the Provident and Bradford acquisition transactions incurred during the three months and nine months ended September 30, 2009 resulted in income of $15 million ($9 million after tax effect) and expenses of $54 million ($33 million after tax effect), respectively. Merger-related expenses were for professional services and other temporary help fees associated with the conversion of systems and/or integration of operations; costs related to branch and office consolidations; costs related to termination of existing Provident contractual arrangements for various services; initial marketing and promotion expenses designed to introduce M&amp;T Bank to customers of Provident and Bradford; severance for former employees of Provident; incentive compensation costs; travel costs; and printing, supplies and other costs of commencing operations in new markets and offices. Additional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Provident and Bradford acquisition transactions is provided in note 2 of Notes to Financial Statements.</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Reflected in the Company’s second quarter 2010 results were $14 million of after-tax other-than-temporary impairment charges ($22 million before taxes) on certain available-for-sale investment securities, reducing diluted earnings per common share by $.11. Specifically, $12 million (pre-tax) of such charges related to American Depositary Shares (“ADSs”) of Allied Irish Banks, p.l.c. (“AIB”) obtained in M&amp;T’s 2003 acquisition of Allfirst Financial Inc. (“Allfirst”) and $10 million (pre-tax) related to certain privately issued CMOs backed by residential real estate loans and CDOs backed by pooled trust preferred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Dodd-Frank Wall Street Reform and Consumer Protection Act of 2010 (the “Dodd-Frank Act”) was signed into law on July 21, 2010. This new law will significantly change the current bank regulatory structure and affect the lending, deposit, investment, trading and operating activities of financial institutions and their holding companies, and will fundamentally change the system of oversight described in Part I, Item 1 of M&amp;T’s Annual Report on Form 10-K for the fiscal year ended December 31, 2009 under the caption “Supervision and Regulation of the Company.” The Dodd-Frank Act requires various federal agencies to adopt a broad range of new implementing rules and regulations, and to prepare numerous studies and reports for Congress. The federal agencies are given significant discretion in drafting the implementing rules and regulations, and, as a result, many of the details and much of the impact of the Dodd-Frank Act may not be known for many months or years. The Dodd-Frank Act, however, could have a material adverse impact either on the financial services industry as a whole, or on M&amp;T’s business, results of operations, financial condition and liquidity.</w:t>
      </w:r>
    </w:p>
    <w:p>
      <w:pPr>
        <w:spacing w:after="0" w:line="7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Dodd-Frank Act broadens the base for FDIC insurance assessments. Assessments will now be based on the average consolidated total assets less tangible equity capital of a financial institution. The Dodd-Frank Act also permanently increases the maximum amount of deposit insurance for banks, savings institutions and credit unions to $250,000 per depositor, retroactive to January 1, 2009, and non-interest bearing transaction accounts have unlimited deposit insurance through December 31, 2013.</w:t>
      </w:r>
    </w:p>
    <w:p>
      <w:pPr>
        <w:spacing w:after="0" w:line="7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legislation also requires that publicly traded companies give stockholders a non-binding vote on executive compensation and “golden parachute” payments, and authorizes the Securities and Exchange Commission to promulgate rules that would allow stockholders to nominate their own candidates using a company’s proxy materials. The Dodd-Frank Act also directs the Federal Reserve Board to promulgate rules prohibiting excessive compensation paid to bank holding company executives, regardless of whether the company is publicly traded or not.</w:t>
      </w:r>
    </w:p>
    <w:p>
      <w:pPr>
        <w:spacing w:after="0" w:line="79"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Dodd-Frank Act establishes a new Bureau of Consumer Financial Protection with broad powers to supervise and enforce consumer protection laws. The Bureau of Consumer Financial Protection has broad rule-making authority for a wide range of consumer protection laws that apply to all banks and savings institutions, including the authority to prohibit “unfair, deceptive or abusive” acts and practices. The Bureau of Consumer Financial Protection has examination and enforcement authority over all banks and savings institutions with more than $10 billion in assets. The Dodd-Frank Act also weakens the federal preemption rules that have been applicable for national banks and gives state attorneys general the ability to enforce federal consumer protection laws.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the Dodd-Frank Act, among other things:</w:t>
      </w:r>
    </w:p>
    <w:p>
      <w:pPr>
        <w:spacing w:after="0" w:line="117" w:lineRule="exact"/>
        <w:rPr>
          <w:sz w:val="20"/>
          <w:szCs w:val="20"/>
          <w:color w:val="auto"/>
        </w:rPr>
      </w:pPr>
    </w:p>
    <w:p>
      <w:pPr>
        <w:ind w:left="660" w:right="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Amends the Electronic Fund Transfer Act (EFTA) to, among other things, give the Federal Reserve the authority to issue rules which are expected to limit debit-card interchange fees;</w:t>
      </w:r>
    </w:p>
    <w:p>
      <w:pPr>
        <w:spacing w:after="0" w:line="75"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Applies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w:t>
      </w:r>
    </w:p>
    <w:p>
      <w:pPr>
        <w:spacing w:after="0" w:line="86"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Provides for an increase in the FDIC assessment for depository institutions with assets of $10 billion or more and increases the minimum reserve ratio for the deposit insurance fund from 1.15% to 1.35%;</w:t>
      </w:r>
    </w:p>
    <w:p>
      <w:pPr>
        <w:spacing w:after="0" w:line="75"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Imposes comprehensive regulation of the over-the-counter derivatives market, which would include certain provisions that would effectively prohibit insured depository institutions from conducting certain derivatives businesses in the institution itself;</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Repeals the federal prohibitions on the payment of interest on demand deposits, thereby permitting depository institutions to pay interest on business transaction and other accounts;</w:t>
      </w:r>
    </w:p>
    <w:p>
      <w:pPr>
        <w:spacing w:after="0" w:line="75" w:lineRule="exact"/>
        <w:rPr>
          <w:rFonts w:ascii="Arial" w:cs="Arial" w:eastAsia="Arial" w:hAnsi="Arial"/>
          <w:sz w:val="18"/>
          <w:szCs w:val="18"/>
          <w:b w:val="1"/>
          <w:bCs w:val="1"/>
          <w:color w:val="auto"/>
        </w:rPr>
      </w:pPr>
    </w:p>
    <w:p>
      <w:pPr>
        <w:ind w:left="660" w:right="16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Provides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 more loans subject to provisions for higher cost loans, new disclosures, and certain other revisions; and</w:t>
      </w:r>
    </w:p>
    <w:p>
      <w:pPr>
        <w:spacing w:after="0" w:line="86"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Creates a financial stability oversight council that will recommend to the Federal Reserve increasingly strict rules for capital, leverage, liquidity, risk management and other requirements as companies grow in size and complexity.</w:t>
      </w:r>
    </w:p>
    <w:p>
      <w:pPr>
        <w:spacing w:after="0" w:line="62"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environment in which banking organizations will operate after the financial crisis, including legislative and regulatory changes affecting capital, liquidity, supervision, permissible activities, corporate governance and compensation, changes in fiscal policy and steps to eliminate government support for banking organizations, may have long-term effects on the business model and profitability of banking organizations that cannot now be foreseen. Many aspects of the Dodd-Frank Act are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could increase the costs associated with deposits as well as place limitations on certain revenues those deposits may generate. Provisions in the legislation that revoke the Tier 1 capital treatment of trust preferred securities and otherwise require revisions to the capital requirements of M&amp;T and M&amp;T Bank could require M&amp;T and M&amp;T Bank to seek other sources of capital in the future.</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potential impact of new rules relating to overdraft fee practices is included herein under the heading “Other Income.”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$3.7 billion at each of September 30, 2010, September 30, 2009 and December 31, 2009. Included in such intangible assets was goodwill of $3.5 billion at each of those respective dates. Amortization of core deposit and other intangible assets, after tax effect, totaled $8 million ($.07 per diluted common share) during the third quarter of 2010, compared with $10 million ($.09 per diluted common share) during the year-earlier quarter and $9 million ($.07 per diluted common share) during the second quarter of 2010. For the nine-month periods ended September 30, 2010 and 2009, amortization of core deposit and other intangible assets, after tax effect, totaled $27 million ($.23 per diluted common share) and $29 million ($.25 per diluted common share), respectively.</w:t>
      </w:r>
    </w:p>
    <w:p>
      <w:pPr>
        <w:spacing w:after="0" w:line="81"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64"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Net operating income was $200 million in the third quarter of 2010, compared with $129 million in the year-earlier quarter. Diluted net operating earnings per common share for the recent quarter were $1.55, compared with $.98 in the third quarter of 2009. Net operating income and diluted net operating earnings per common share were $198 million and $1.53, respectively, in the second quarter of 2010. For the first nine months of 2010, net operating income and diluted net operating earnings per common share were $559 million and $4.33, respectively, compared with $305 million and $2.37 in the similar 2009 period.</w:t>
      </w:r>
    </w:p>
    <w:p>
      <w:pPr>
        <w:spacing w:after="0" w:line="8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Net operating income expressed as an annualized rate of return on average tangible assets was 1.24% in the recent quarter, compared with .78% in the year-earlier quarter and 1.23% in the second quarter of 2010. Net operating income expressed as an annualized return on average tangible common equity was 19.58% in the recent quarter, compared with 14.87% in the third quarter of 2009 and 20.36% in the second quarter of 2010. For the nine-month period ended September 30, 2010, net operating income represented an annualized return on average tangible assets and average tangible common stockholders’ equity of 1.16% and 19.13%, respectively, compared with .64% and 12.19%, respectively, in the corresponding 2009 period.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Taxable-equivalent net interest income rose 4% to $576 million in the third quarter of 2010 from $553 million in the year-earlier quarter. That improvement was predominantly the result of a 26 basis point (hundredths of one percent) widening of the Company’s net interest margin, or taxable-equivalent net interest income expressed as an annualized percentage of average earning assets, partially offset by a $1.8 billion, or 3%, decrease in average earning assets. Taxable-equivalent net interest income aggregated $573 million in the second quarter of 2010. As compared with the second quarter of 2010, a 3 basis point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widening of the recent quarter’s net interest margin was partially offset by a $745 million, or 1%, decline in average earning assets.</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For the first nine months of 2010, taxable-equivalent net interest income was $1.71 billion, up 13% from $1.51 billion in the similar period of 2009. That improvement was predominantly attributable to a 42 basis point widening of the Company’s net interest margin due to lower rates paid on deposits and long-term borrowings. Higher average earning assets, which increased $483 million, or 1%, from $59.2 billion in the nine-month period ended September 30, 2009 to $59.7 billion in the first nine-months of 2010, also contributed to the rise. The growth in average earning assets was largely the result of assets obtained in the acquisition of Provident, which at the May 23, 2009 acquisition date totaled approximately $5.1 billion.</w:t>
      </w:r>
    </w:p>
    <w:p>
      <w:pPr>
        <w:spacing w:after="0" w:line="64" w:lineRule="exact"/>
        <w:rPr>
          <w:sz w:val="20"/>
          <w:szCs w:val="20"/>
          <w:color w:val="auto"/>
        </w:rPr>
      </w:pPr>
    </w:p>
    <w:p>
      <w:pPr>
        <w:ind w:right="60" w:firstLine="215"/>
        <w:spacing w:after="0" w:line="291" w:lineRule="auto"/>
        <w:rPr>
          <w:sz w:val="20"/>
          <w:szCs w:val="20"/>
          <w:color w:val="auto"/>
        </w:rPr>
      </w:pPr>
      <w:r>
        <w:rPr>
          <w:rFonts w:ascii="Arial" w:cs="Arial" w:eastAsia="Arial" w:hAnsi="Arial"/>
          <w:sz w:val="16"/>
          <w:szCs w:val="16"/>
          <w:color w:val="auto"/>
        </w:rPr>
        <w:t>Average loans and leases declined $1.5 billion, or 3%, to $50.8 billion in the recent quarter from $52.3 billion in the third quarter of 2009. Average commercial loan and lease balances declined $945 million, or 7%, to $12.9 billion in the third quarter of 2010 from $13.8 billion in the year-earlier quarter. That decline was the result of generally lower demand for commercial loans. Commercial real estate loans averaged $20.6 billion in the recent quarter, compared with $20.8 billion in the third quarter of 2009. Average outstanding residential real estate loans increased $251 million or 5% to $5.7 billion in the recently completed quarter from $5.4 billion in the third quarter of 2009. Included in that portfolio were loans held for sale, which averaged $441 million in the third quarter of 2010, compared with $613 million in the year-earlier quarter. Consumer loans averaged $11.7 billion in the recent quarter, $560 million or 5% lower than $12.2 billion in 2009’s third quarter. That decline was largely due to lower average outstanding automobile and home equity loan balances.</w:t>
      </w:r>
    </w:p>
    <w:p>
      <w:pPr>
        <w:spacing w:after="0" w:line="59" w:lineRule="exact"/>
        <w:rPr>
          <w:sz w:val="20"/>
          <w:szCs w:val="20"/>
          <w:color w:val="auto"/>
        </w:rPr>
      </w:pPr>
    </w:p>
    <w:p>
      <w:pPr>
        <w:jc w:val="both"/>
        <w:ind w:right="140" w:firstLine="215"/>
        <w:spacing w:after="0" w:line="264" w:lineRule="auto"/>
        <w:rPr>
          <w:sz w:val="20"/>
          <w:szCs w:val="20"/>
          <w:color w:val="auto"/>
        </w:rPr>
      </w:pPr>
      <w:r>
        <w:rPr>
          <w:rFonts w:ascii="Arial" w:cs="Arial" w:eastAsia="Arial" w:hAnsi="Arial"/>
          <w:sz w:val="18"/>
          <w:szCs w:val="18"/>
          <w:color w:val="auto"/>
        </w:rPr>
        <w:t>Average outstanding loan balances declined $443 million, or 1% from the second to the third quarter of 2010. That decline was largely the result of lower average commercial loan balances due to sluggish loan demand. The following table summarizes quarterly changes in the major components of the loan and lease portfolio.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3"/>
          </w:tcPr>
          <w:p>
            <w:pPr>
              <w:ind w:left="580"/>
              <w:spacing w:after="0"/>
              <w:rPr>
                <w:sz w:val="20"/>
                <w:szCs w:val="20"/>
                <w:color w:val="auto"/>
              </w:rPr>
            </w:pPr>
            <w:r>
              <w:rPr>
                <w:rFonts w:ascii="Arial" w:cs="Arial" w:eastAsia="Arial" w:hAnsi="Arial"/>
                <w:sz w:val="14"/>
                <w:szCs w:val="14"/>
                <w:color w:val="auto"/>
                <w:w w:val="89"/>
              </w:rPr>
              <w:t>Percent increase</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93"/>
              </w:rPr>
              <w:t>(decrease) from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3rd Qtr.</w:t>
            </w:r>
          </w:p>
        </w:tc>
        <w:tc>
          <w:tcPr>
            <w:tcW w:w="154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6"/>
              </w:rPr>
              <w:t>3rd Qtr.</w:t>
            </w: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2nd Qtr.</w:t>
            </w:r>
          </w:p>
        </w:tc>
        <w:tc>
          <w:tcPr>
            <w:tcW w:w="0" w:type="dxa"/>
            <w:vAlign w:val="bottom"/>
          </w:tcPr>
          <w:p>
            <w:pPr>
              <w:spacing w:after="0"/>
              <w:rPr>
                <w:sz w:val="1"/>
                <w:szCs w:val="1"/>
                <w:color w:val="auto"/>
              </w:rPr>
            </w:pPr>
          </w:p>
        </w:tc>
      </w:tr>
      <w:tr>
        <w:trPr>
          <w:trHeight w:val="167"/>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2009</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2010 .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12,856</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20,612</w:t>
            </w:r>
          </w:p>
        </w:tc>
        <w:tc>
          <w:tcPr>
            <w:tcW w:w="66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5,680</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2,761</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5,850</w:t>
            </w: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50,835</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For the first nine months of 2010, average loans and leases aggregated $51.3 billion, up $770 million or 2% from $50.6 billion in the corresponding 2009 period. That growth was predominantly the result of loans obtained from Provident, which totaled $4.0 billion on the May 23, 2009 acquisition date, and loans associated with Bradford, which totaled $302 million on the August 28, 2009 closing date of that transaction. In total, the acquired loans consisted of approximately $700 million of commercial loans, $1.8 billion of commercial real estate loans, $400 million of residential real estate loans and $1.4 billion of consumer loans. Excluding the impact of loans obtained in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acquisition transactions, the decline in average loans and leases from the nine-month period ended September 30, 2009 to the similar 2010 period was due largely to sluggish borrower demand for loans.</w:t>
      </w:r>
    </w:p>
    <w:p>
      <w:pPr>
        <w:spacing w:after="0" w:line="62"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investment securities portfolio averaged $8.0 billion in the recent quarter, down $427 million or 5% from $8.4 billion in the year-earlier quarter. That decline largely reflects maturities and paydowns of mortgage-backed securities, maturities of federal agency notes and the impact of adopting the new accounting rules on January 1, 2010 as already noted, partially offset by purchases of mortgage-backed securities issued by the Federal National Mortgage Association (“Fannie Mae”) and the Federal Home Loan Mortgage Corporation (“Freddie Mac”) during the first two quarters of 2010, aggregating approximately $1.3 billion. Average investment securities balances in the third quarter of 2010 were down 5% from the second quarter of 2010, due to the impact of paydowns of mortgage-backed securities. For the first nine months of 2010 and 2009, average investment securities were $8.2 billion and $8.5 billion, respectively.</w:t>
      </w:r>
    </w:p>
    <w:p>
      <w:pPr>
        <w:spacing w:after="0" w:line="8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investment securities portfolio is largely comprised of residential mortgage-backed securities and CMOs, debt securities issued by municipalities, capital preferred securities issued by certain financial institutions, and shorter-term U.S. Treasury and federal agency notes. When purchasing investment securities, the Company considers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w:t>
      </w:r>
    </w:p>
    <w:p>
      <w:pPr>
        <w:spacing w:after="0" w:line="85"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An other-than-temporary impairment charge of $10 million (pre-tax) was recognized in the third quarter of 2010 related to certain privately issued CMOs and CDOs held in the Company’s available-for-sale investment securities portfolio. During the second quarter of 2010, an other-than-temporary impairment charge of $22 million (pre-tax) was recognized. Approximately $12 million of that charge related to AIB ADSs and $10 million related to certain privately issued CMOs and CDOs. The AIB ADSs were obtained in the 2003 acquisition of Allfirst and are held to satisfy options to purchase such shares granted by Allfirst to certain employees. Factors contributing to the impairment charge related to the AIB ADSs included mounting credit and other losses incurred by AIB, the issuance of AIB common stock in lieu of dividend payments on certain preferred stock issuances held by the Irish government resulting in significant dilution of AIB common shareholders, and public announcements by Irish government officials suggesting that increased government support, which could further dilute AIB common shareholders, may be necessary. Other-than-temporary impairment charges of $47 million (pre-tax) were recognized during the third quarter of 2009 related to the Company’s holdings of certain privately issued CMOs and CDOs held in the available-for-sale investment securities portfolio. Poor economic conditions, high unemployment and depressed real estate values are significant factors contributing to the recognition of the other-than-temporary impairment charges as related to CMOs and CDOs. Based on management’s assessment of future cash flows associated with individual investment securities, as of September 30, 2010,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12 of Notes to Financial Statements.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Other earning assets include deposits at the Federal Reserve Bank of New York and other banks, trading account assets, federal funds sold and agreements to resell securities. Those other earning assets in the aggregate averaged $238 million, $160 million and $157 million for the quarters ended September 30, 2010, September 30, 2009 and June 30, 2010, respectively. In order to fulfill collateral requirements associated with certain municipal deposits, the Company purchased investment securities under agreements to resell during the recent quarter which averaged $58 million in the quarter. Agreements to resell securities, which aggregated $425 million at September 30, 2010 and matured on the next business day, are accounted for similar to collateralized loans, with changes in the market value of the collateral monitored by the Company to ensure sufficient coverage. For the nine-month periods ended September 30, 2010 and 2009, average balances of other earning assets were $202 million and $197 million, respectively.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59"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As a result of the changes described herein, average earning assets aggregated $59.1 billion in the third quarter of 2010, compared with $60.9 billion in the year-earlier quarter. Average earning assets were $59.8 billion in the second quarter of 2010 and totaled $59.7 billion and $59.2 billion for the nine-month periods ended September 30, 2010 and 2009, respectively.</w:t>
      </w:r>
    </w:p>
    <w:p>
      <w:pPr>
        <w:spacing w:after="0" w:line="73"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most significant source of funding for the Company is core deposits, which are comprised of noninterest-bearing deposits, interest-bearing transaction accounts, savings deposits and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 subsidiary of M&amp;T, are also included in core deposits. Average core deposits totaled $43.1 billion in the third quarter of 2010, compared with $40.9 billion in the similar quarter of 2009 and $43.4 billion in the second quarter of 2010. The growth in core deposits since the third quarter of 2009 was due, in part, to the lack of attractive alternative investments available to the Company’s customers resulting from lower interest rates and from the economic environment in the U.S. The low interest rate environment has resulted in a shift in customer savings trends, as average time deposits have continued to decline, while average noninterest-bearing deposits and savings deposits have increased. The following table provides an analysis of quarterly changes in the components of average core deposits. For the nine-month periods ended September 30, 2010 and 2009, core deposits averaged $43.1 billion and $38.0 billion,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gridSpan w:val="5"/>
          </w:tcPr>
          <w:p>
            <w:pPr>
              <w:ind w:left="580"/>
              <w:spacing w:after="0"/>
              <w:rPr>
                <w:sz w:val="20"/>
                <w:szCs w:val="20"/>
                <w:color w:val="auto"/>
              </w:rPr>
            </w:pPr>
            <w:r>
              <w:rPr>
                <w:rFonts w:ascii="Arial" w:cs="Arial" w:eastAsia="Arial" w:hAnsi="Arial"/>
                <w:sz w:val="14"/>
                <w:szCs w:val="14"/>
                <w:color w:val="auto"/>
              </w:rPr>
              <w:t>Percent increase</w:t>
            </w: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89"/>
              </w:rPr>
              <w:t>(decrease) from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6"/>
              </w:rPr>
              <w:t>3rd Qtr.</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3rd Qtr.</w:t>
            </w: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2nd Qtr.</w:t>
            </w:r>
          </w:p>
        </w:tc>
      </w:tr>
      <w:tr>
        <w:trPr>
          <w:trHeight w:val="167"/>
        </w:trPr>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2009</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564</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24,748</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13,647</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43,098</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15"/>
        <w:spacing w:after="0" w:line="277" w:lineRule="auto"/>
        <w:rPr>
          <w:sz w:val="20"/>
          <w:szCs w:val="20"/>
          <w:color w:val="auto"/>
        </w:rPr>
      </w:pPr>
      <w:r>
        <w:rPr>
          <w:rFonts w:ascii="Arial" w:cs="Arial" w:eastAsia="Arial" w:hAnsi="Arial"/>
          <w:sz w:val="18"/>
          <w:szCs w:val="18"/>
          <w:color w:val="auto"/>
        </w:rPr>
        <w:t>Additional sources of funding for the Company include domestic time deposits of $100,000 or more, deposits originated through the Company’s offshore branch office, and brokered deposits. Domestic time deposits over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$100,000, excluding brokered certificates of deposit, averaged $1.6 billion in the third quarter of 2010, compared with $2.5 billion in the year-earlier quarter and $1.7 billion in the second quarter of 2010. Offshore branch deposits, primarily comprised of balances of $100,000 or more, averaged $802 million, $1.4 billion and $972 million for the three-month periods ended September 30, 2010, September 30, 2009 and June 30, 2010, respectively. Brokered time deposits averaged $571 million in the recent quarter, compared with $1.1 billion in the third quarter of 2009 and $709 million in the second quarter of 2010. The Company also had brokered NOW and brokered money-market deposit accounts, which in the aggregate averaged $1.5 billion during the recently completed quarter, compared with $709 million and $1.2 billion during the similar quarter of 2009 and the second quarter of 2010, respectively. The higher level of such deposits in the two most recent quarters as compared with the third quarter of 2009 reflects continued uncertain economic markets and the desire of brokerage firms to earn reasonable yields while ensuring that customer deposits were fully insured. Offshore branch deposits and brokered deposits have been used by the Company as alternatives to short-term borrowings. Additional amounts of offshore branch deposits or brokered deposits may be added in the future depending on market conditions, including demand by customers and other investors for those deposits, and the cost of funds available from alternative sources at the time.</w:t>
      </w:r>
    </w:p>
    <w:p>
      <w:pPr>
        <w:spacing w:after="0" w:line="75"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also uses borrowings from banks, securities dealers, various Federal Home Loan Banks (“FHLBs”), the Federal Reserve Bank of New York and others as sources of funding. Short-term borrowings averaged $1.9 billion in the recent quarter, compared with $2.7 billion in the third quarter of 2009 and $1.8 billion in the second quarter of 2010. Included in average short-term borrowings were unsecured federal funds borrowings, which generally mature on the next business day, that averaged $1.7 billion in the third quarter of 2010, $1.8 billion in the year-earlier quarter and $1.6 billion in the second quarter of 2010. Overnight federal funds borrowings have historically represented the largest component of short-term borrowings and are obtained from a wide variety of banks and other financial institutions. Included in average short-term borrowings were borrowings from the FHLBs of New York and Atlanta which totaled $673 million and $8 million in the third quarter of 2009 and second quarter of 2010, respectively. There were no such borrowings outstanding during the recent quarter. The need for short-term borrowings from the FHLBs and the Federal Reserve Bank of New York has diminished with the continued growth in the Company’s core deposits.</w:t>
      </w:r>
    </w:p>
    <w:p>
      <w:pPr>
        <w:spacing w:after="0" w:line="74"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Long-term borrowings averaged $8.9 billion in the third quarter of 2010, compared with $11.0 billion in the year-earlier quarter and $9.5 billion in the second quarter of 2010. Included in average long-term borrowings were amounts borrowed from the FHLBs of $3.9 billion in the recent quarter, $6.1 billion in the third quarter of 2009 and $4.4 billion in 2010’s second quarter, and subordinated capital notes of $1.9 billion in the two most recent quarters and $1.8 billion in the third quarter of 2009. Junior subordinated debentures associated with trust preferred securities that were included in average long-term borrowings were $1.2 billion in each of the quarters ended September 30, 2010, September 30, 2009 and June 30, 2010. Information regarding trust preferred securities and the related junior subordinated debentures is provided in note 5 of Notes to Financial Statements. Also included in long-term borrowings were agreements to repurchase securities, which averaged $1.6 billion in each of the quarters ended September 30, 2010, September 30, 2009 and June 30, 2010. The agreements have various repurchase dates through 2017, however, the contractual maturities of the underlying securities extend beyond such repurchase dates.</w:t>
      </w:r>
    </w:p>
    <w:p>
      <w:pPr>
        <w:spacing w:after="0" w:line="89"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Changes in the composition of the Company’s earning assets and interest-bearing liabilities, as discussed herein, as well as changes in interest rates and spreads, can impact net interest income. Net interest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spread, or the difference between the taxable-equivalent yield on earning assets and the rate paid on interest-bearing liabilities, was 3.62% in the third quarter of 2010, compared with 3.34% in the third quarter of 2009 and 3.59% in the second quarter of 2010. The yield on earning assets during the recent quarter was 4.65%, up 5 basis points from 4.60% in the similar quarter of 2009, while the rate paid on interest-bearing liabilities decreased 23 basis points to 1.03% from</w:t>
      </w:r>
    </w:p>
    <w:p>
      <w:pPr>
        <w:spacing w:after="0" w:line="287" w:lineRule="auto"/>
        <w:rPr>
          <w:sz w:val="20"/>
          <w:szCs w:val="20"/>
          <w:color w:val="auto"/>
        </w:rPr>
      </w:pPr>
      <w:r>
        <w:rPr>
          <w:rFonts w:ascii="Arial" w:cs="Arial" w:eastAsia="Arial" w:hAnsi="Arial"/>
          <w:sz w:val="16"/>
          <w:szCs w:val="16"/>
          <w:color w:val="auto"/>
        </w:rPr>
        <w:t>1.26%. In the second quarter of 2010, the yield on earning assets was 4.63% and the rate paid on interest-bearing liabilities was 1.04%. As compared with the third quarter of 2009, the recent quarter’s 28 basis point improvement in spread was due predominantly to declines in the rates paid on deposits. Those lower rates reflected the impact of the stagnant economy and the Federal Reserve’s monetary policies on both short-term and long-term interest rates. In addition, the Federal Open Market Committee noted in September 2010 that low rates of resources utilization, subdued inflation trends, and stable inflation expectations were likely to warrant exceptionally low levels for the federal funds rate for an extended period of time. The 3 basis point improvement in spread from the second quarter of 2010 to the recent quarter was due, in part, to higher yields on loans. For the first nine months of 2010, the net interest spread was 3.58%, up 45 basis points from the year-earlier period. The yield on earning assets and the rate paid on interest-bearing liabilities for the nine-month period ended September 30, 2010 were 4.62% and 1.04%, respectively, compared with 4.62% and 1.49%, respectively, in the corresponding period of 2009.</w:t>
      </w:r>
    </w:p>
    <w:p>
      <w:pPr>
        <w:spacing w:after="0" w:line="62"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$14.4 billion in the recent quarter, compared with $12.6 billion in the third quarter of 2009 and $14.3 billion in the second quarter of 2010. The rise in average net interest-free funds in the two most recent quarters as compared with the third quarter of 2009 was largely the result of higher average balances of noninterest-bearing deposits. Such deposits averaged $13.6 billion in the recent quarter, up $1.5 billion or 13% from the year-earlier period and $37 million higher than in the second quarter of 2010. During the first nine months of 2010 and 2009, average net interest-free funds were $14.1 billion and $11.1 billion, respectively, reflecting higher average noninterest-bearing deposits of $3.1 billion in the 2010 period. In connection with the Provident and Bradford transactions, the Company added noninterest-bearing deposits totaling $946 million at the respective acquisition dates. Goodwill and core deposit and other intangible assets averaged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$3.7 billion in each of the quarters ended September 30, 2010, September 30, 2009 and June 30, 2010. The cash surrender value of bank owned life insurance averaged $1.5 billion during the two most recent quarters, compared with $1.4 billion during the third quarter of 2009. Increases in the cash surrender value of bank owned life insurance are not included in interest income, but rather are recorded in “other revenues from operations.”</w:t>
      </w:r>
    </w:p>
    <w:p>
      <w:pPr>
        <w:spacing w:after="0" w:line="65" w:lineRule="exact"/>
        <w:rPr>
          <w:sz w:val="20"/>
          <w:szCs w:val="20"/>
          <w:color w:val="auto"/>
        </w:rPr>
      </w:pPr>
    </w:p>
    <w:p>
      <w:pPr>
        <w:ind w:right="80" w:firstLine="222"/>
        <w:spacing w:after="0" w:line="342" w:lineRule="auto"/>
        <w:rPr>
          <w:sz w:val="20"/>
          <w:szCs w:val="20"/>
          <w:color w:val="auto"/>
        </w:rPr>
      </w:pPr>
      <w:r>
        <w:rPr>
          <w:rFonts w:ascii="Arial" w:cs="Arial" w:eastAsia="Arial" w:hAnsi="Arial"/>
          <w:sz w:val="16"/>
          <w:szCs w:val="16"/>
          <w:color w:val="auto"/>
        </w:rPr>
        <w:t>The contribution of net interest-free funds to net interest margin was .25% in each of the second and third quarters of 2010, compared with .27% in 2009’s third quarter. For the first nine months of 2010 and 2009, the contribution of net interest-free funds to net interest margin was .25% and .28%, respectively.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3.87% in the recent quarter, improved from 3.61% in the third quarter of 2009 and from 3.84% in the second quarter of 2010. During the nine-month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2010 and 2009, the net interest margin was 3.83% and 3.41%, respectively. Future changes in market interest rates or spreads,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composition of the Company’s portfolios of earning assets and interest-bearing liabilities that result in reductions in spreads, could adversely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the Company’s net interest income and net interest margin.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approximately $1.0 billion at each of September 30, 2010 and June 30, 2010, and $1.1 billion at each of September 30, 2009 and December 31, 2009. Under the terms of those swap agreements, the Company received payments based on the outstanding notional amount of the swap agreements at fixed rates and made payments at variable rates. Those swap agreements were designated as fair value hedges of certain fixed rate time deposits (except at the two most recent quarter-ends, when there were none outstanding) and long-term borrowings. There were no interest rate swap agreements designated as cash flow hedges at those respective dates.</w:t>
      </w:r>
    </w:p>
    <w:p>
      <w:pPr>
        <w:spacing w:after="0" w:line="74"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September 30, 2010 and 2009 and the quarter ended June 30, 2010 were not material to the Company’s results of operations. The estimated aggregate fair value of interest rate swap agreements designated as fair value hedges represented gains of approximately $140 million, $83 million, $111 million and $54 million at September 30, 2010, September 30, 2009, June 30, 2010 and December 31, 2009, respectively. The significant rise in fair value of those interest rate swap agreements since December 31, 2009 resulted from lower interest rates at those later dates.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with respect to the estimated fair value as of September 30, 2010 of interest rate swap agreements used for managing interest rate risk has been substantially mitigated through master netting arrangements with trading account interest rate contracts with the same counterparties as well as counterparty postings of $80 million of collateral with the Company.</w:t>
      </w:r>
    </w:p>
    <w:p>
      <w:pPr>
        <w:spacing w:after="0" w:line="75" w:lineRule="exact"/>
        <w:rPr>
          <w:sz w:val="20"/>
          <w:szCs w:val="20"/>
          <w:color w:val="auto"/>
        </w:rPr>
      </w:pPr>
    </w:p>
    <w:p>
      <w:pPr>
        <w:ind w:right="420" w:firstLine="222"/>
        <w:spacing w:after="0" w:line="257"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6.33% and 2.18%, respectively, at September 30, 2010. The average notional amounts of interest rate swap agreements entered into for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color w:val="auto"/>
                <w:w w:val="91"/>
              </w:rPr>
              <w:t>Three months ended September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(10,229)</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1,037,241</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1,062,241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color w:val="auto"/>
                <w:w w:val="93"/>
              </w:rPr>
              <w:t>Nine months ended September 30</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(32,448)</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(27,230)</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32,448</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27,230</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1,050,794</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1,085,483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6.35%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17"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57"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has informal and sometimes reciprocal sources of funding available through various arrangements for unsecured short-term borrowings from a wide group of banks and other financial institutions. Short-term federal funds borrowings totaled $1.0 billion, $2.2 billion and $2.1 billion at September 30, 2010, September 30, 2009 and December 31, 2009, respectively. In general, those borrowings were unsecured and matured on the following business day. As already noted, offshore branch deposits and brokered certificates of deposit have been used by the Company as alternatives to short-term borrowings. Offshore branch deposits also generally mature on the next business day and totaled $654 million at September 30, 2010, $1.3 billion at September 30, 2009 and $1.1 billion at December 31, 2009. Outstanding brokered time deposits at September 30, 2010, September 30, 2009 and December 31, 2009 were $526 million, $1.1 billion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$868 million, respectively. At September 30, 2010, the weighted-average remaining term to maturity of brokered time deposits was 22 months. Certain of these brokered time deposits have provisions that allow for early redemption. The Company also has brokered NOW and brokered money-market deposit accounts which aggregated $1.5 billion, $623 million and $618 million at September 30, 2010, September 30, 2009 and December 31, 2009, respectively. The rise in such brokered deposit accounts at the recent quarter-end as compared with the respective 2009 quarter-ends resulted from higher demand for these deposits due to the unsettled economy and the need for brokerage firms to ensure that customer deposits are fully insured while earning a yield on such deposits.</w:t>
      </w:r>
    </w:p>
    <w:p>
      <w:pPr>
        <w:spacing w:after="0" w:line="85"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$27 million and $45 million at September 30, 2010 and 2009, respectively, and $19 million at December 31, 2009. The total amount of VRDBs outstanding backed by M&amp;T Bank letters of credit was approximately $1.9 billion at each of September 30, 2010, September 30, 2009 and December 31, 2009. M&amp;T Bank also serves as remarketing agent for most of those bonds.</w:t>
      </w:r>
    </w:p>
    <w:p>
      <w:pPr>
        <w:spacing w:after="0" w:line="70"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relating to these commitments is provided in note 13 of Notes to Financial Statements.</w:t>
      </w:r>
    </w:p>
    <w:p>
      <w:pPr>
        <w:spacing w:after="0" w:line="85" w:lineRule="exact"/>
        <w:rPr>
          <w:sz w:val="20"/>
          <w:szCs w:val="20"/>
          <w:color w:val="auto"/>
        </w:rPr>
      </w:pPr>
    </w:p>
    <w:p>
      <w:pPr>
        <w:ind w:right="220" w:firstLine="225"/>
        <w:spacing w:after="0" w:line="297"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September 30, 2010 approximately $1.3 billion was available for payment of dividends to M&amp;T from banking subsidiaries without prior regulatory approval. These historic sources of cash flow have been augmented in the past by the issuance of trust preferred securities and senior notes payable. Information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regarding trust preferred securities and the related junior subordinated debentures is included in note 5 of Notes to Financial Statements. M&amp;T also maintains a $30 million line of credit with an unaffiliated commercial bank, of which there were no borrowings outstanding at September 30, 2010 or at December 31, 2009.</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6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accompanying table as of September 30, 2010 and December 31, 2009 displays the estimated impact on net interest income from non-trading financial instruments in the base scenario described above resulting from parallel changes in interest rates across repricing categories during the first modeling year.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560" w:type="dxa"/>
            <w:vAlign w:val="bottom"/>
            <w:gridSpan w:val="3"/>
          </w:tcPr>
          <w:p>
            <w:pPr>
              <w:jc w:val="right"/>
              <w:ind w:right="828"/>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3560" w:type="dxa"/>
            <w:vAlign w:val="bottom"/>
            <w:gridSpan w:val="3"/>
          </w:tcPr>
          <w:p>
            <w:pPr>
              <w:jc w:val="right"/>
              <w:ind w:right="808"/>
              <w:spacing w:after="0" w:line="149" w:lineRule="exact"/>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7"/>
        </w:trPr>
        <w:tc>
          <w:tcPr>
            <w:tcW w:w="786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1540" w:type="dxa"/>
            <w:vAlign w:val="bottom"/>
          </w:tcPr>
          <w:p>
            <w:pPr>
              <w:jc w:val="right"/>
              <w:ind w:right="118"/>
              <w:spacing w:after="0"/>
              <w:rPr>
                <w:sz w:val="20"/>
                <w:szCs w:val="20"/>
                <w:color w:val="auto"/>
              </w:rPr>
            </w:pPr>
            <w:r>
              <w:rPr>
                <w:rFonts w:ascii="Arial" w:cs="Arial" w:eastAsia="Arial" w:hAnsi="Arial"/>
                <w:sz w:val="14"/>
                <w:szCs w:val="14"/>
                <w:color w:val="auto"/>
              </w:rPr>
              <w:t>September 30, 2010</w:t>
            </w:r>
          </w:p>
        </w:tc>
        <w:tc>
          <w:tcPr>
            <w:tcW w:w="48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40" w:type="dxa"/>
            <w:vAlign w:val="bottom"/>
            <w:tcBorders>
              <w:left w:val="single" w:sz="8" w:color="auto"/>
            </w:tcBorders>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15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$ 72,075</w:t>
            </w:r>
          </w:p>
        </w:tc>
        <w:tc>
          <w:tcPr>
            <w:tcW w:w="20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+100 basis points</w:t>
            </w:r>
          </w:p>
        </w:tc>
        <w:tc>
          <w:tcPr>
            <w:tcW w:w="1540" w:type="dxa"/>
            <w:vAlign w:val="bottom"/>
          </w:tcPr>
          <w:p>
            <w:pPr>
              <w:jc w:val="right"/>
              <w:ind w:right="418"/>
              <w:spacing w:after="0"/>
              <w:rPr>
                <w:sz w:val="20"/>
                <w:szCs w:val="20"/>
                <w:color w:val="auto"/>
              </w:rPr>
            </w:pPr>
            <w:r>
              <w:rPr>
                <w:rFonts w:ascii="Arial" w:cs="Arial" w:eastAsia="Arial" w:hAnsi="Arial"/>
                <w:sz w:val="18"/>
                <w:szCs w:val="18"/>
                <w:color w:val="auto"/>
              </w:rPr>
              <w:t>38,698</w:t>
            </w:r>
          </w:p>
        </w:tc>
        <w:tc>
          <w:tcPr>
            <w:tcW w:w="2020" w:type="dxa"/>
            <w:vAlign w:val="bottom"/>
            <w:gridSpan w:val="2"/>
          </w:tcPr>
          <w:p>
            <w:pPr>
              <w:jc w:val="right"/>
              <w:ind w:right="408"/>
              <w:spacing w:after="0"/>
              <w:rPr>
                <w:sz w:val="20"/>
                <w:szCs w:val="20"/>
                <w:color w:val="auto"/>
              </w:rPr>
            </w:pPr>
            <w:r>
              <w:rPr>
                <w:rFonts w:ascii="Arial" w:cs="Arial" w:eastAsia="Arial" w:hAnsi="Arial"/>
                <w:sz w:val="18"/>
                <w:szCs w:val="18"/>
                <w:color w:val="auto"/>
              </w:rPr>
              <w:t>19,989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15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(35,838)</w:t>
            </w:r>
          </w:p>
        </w:tc>
        <w:tc>
          <w:tcPr>
            <w:tcW w:w="20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(37,775)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-200 basis points</w:t>
            </w:r>
          </w:p>
        </w:tc>
        <w:tc>
          <w:tcPr>
            <w:tcW w:w="1540" w:type="dxa"/>
            <w:vAlign w:val="bottom"/>
          </w:tcPr>
          <w:p>
            <w:pPr>
              <w:jc w:val="right"/>
              <w:ind w:right="358"/>
              <w:spacing w:after="0"/>
              <w:rPr>
                <w:sz w:val="20"/>
                <w:szCs w:val="20"/>
                <w:color w:val="auto"/>
              </w:rPr>
            </w:pPr>
            <w:r>
              <w:rPr>
                <w:rFonts w:ascii="Arial" w:cs="Arial" w:eastAsia="Arial" w:hAnsi="Arial"/>
                <w:sz w:val="18"/>
                <w:szCs w:val="18"/>
                <w:color w:val="auto"/>
              </w:rPr>
              <w:t>(56,257)</w:t>
            </w:r>
          </w:p>
        </w:tc>
        <w:tc>
          <w:tcPr>
            <w:tcW w:w="2020" w:type="dxa"/>
            <w:vAlign w:val="bottom"/>
            <w:gridSpan w:val="2"/>
          </w:tcPr>
          <w:p>
            <w:pPr>
              <w:jc w:val="right"/>
              <w:ind w:right="348"/>
              <w:spacing w:after="0"/>
              <w:rPr>
                <w:sz w:val="20"/>
                <w:szCs w:val="20"/>
                <w:color w:val="auto"/>
              </w:rPr>
            </w:pPr>
            <w:r>
              <w:rPr>
                <w:rFonts w:ascii="Arial" w:cs="Arial" w:eastAsia="Arial" w:hAnsi="Arial"/>
                <w:sz w:val="18"/>
                <w:szCs w:val="18"/>
                <w:color w:val="auto"/>
              </w:rPr>
              <w:t>(61,729)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2"/>
        <w:spacing w:after="0" w:line="287"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changes to projected net interest income resulting from rising interest rates from December 31, 2009 to September 30, 2010 were largely due to the projected balance sheet’s funding mix having a higher concentration of core deposits, with less concentration in short-term, floating rate wholesale borrowings. Nevertheless, in light of the uncertainties and assumptions associated with the process, the amounts presented in the table are not considered significant to the Company’s past or projected net interest income.</w:t>
      </w:r>
    </w:p>
    <w:p>
      <w:pPr>
        <w:spacing w:after="0" w:line="6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12 of Notes to Financial Statements.</w:t>
      </w:r>
    </w:p>
    <w:p>
      <w:pPr>
        <w:spacing w:after="0" w:line="73" w:lineRule="exact"/>
        <w:rPr>
          <w:sz w:val="20"/>
          <w:szCs w:val="20"/>
          <w:color w:val="auto"/>
        </w:rPr>
      </w:pPr>
    </w:p>
    <w:p>
      <w:pPr>
        <w:ind w:right="300" w:firstLine="222"/>
        <w:spacing w:after="0" w:line="293"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73" w:lineRule="exact"/>
        <w:rPr>
          <w:sz w:val="20"/>
          <w:szCs w:val="20"/>
          <w:color w:val="auto"/>
        </w:rPr>
      </w:pPr>
    </w:p>
    <w:p>
      <w:pPr>
        <w:jc w:val="both"/>
        <w:ind w:right="100" w:firstLine="222"/>
        <w:spacing w:after="0" w:line="288" w:lineRule="auto"/>
        <w:rPr>
          <w:sz w:val="20"/>
          <w:szCs w:val="20"/>
          <w:color w:val="auto"/>
        </w:rPr>
      </w:pPr>
      <w:r>
        <w:rPr>
          <w:rFonts w:ascii="Arial" w:cs="Arial" w:eastAsia="Arial" w:hAnsi="Arial"/>
          <w:sz w:val="16"/>
          <w:szCs w:val="16"/>
          <w:color w:val="auto"/>
        </w:rPr>
        <w:t>The notional amounts of interest rate contracts entered into for trading purposes totaled $12.6 billion at September 30, 2010, compared with $14.7 billion at September 30, 2009 and $13.9 billion at December 31, 2009. The notional amounts of foreign currency and other option and futures contracts entered into for trading purposes were $622 million, $809 million and $608 million at September 30, 2010, September 30, 2009 and December 31, 2009, respectively.</w:t>
      </w:r>
    </w:p>
    <w:p>
      <w:pPr>
        <w:spacing w:after="0"/>
        <w:rPr>
          <w:sz w:val="20"/>
          <w:szCs w:val="20"/>
          <w:color w:val="auto"/>
        </w:rPr>
      </w:pPr>
      <w:r>
        <w:rPr>
          <w:rFonts w:ascii="Arial" w:cs="Arial" w:eastAsia="Arial" w:hAnsi="Arial"/>
          <w:sz w:val="16"/>
          <w:szCs w:val="16"/>
          <w:color w:val="auto"/>
        </w:rPr>
        <w:t>Although the notional amounts of these trading contracts are not recorded in the consolidated balance sheet, the fair values of all financial instruments 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trading activities are recorded in the consolidated balance sheet. The fair values of all trading account assets and liabilities were $537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$425 million, respectively, at September 30, 2010, $497 million and $385 million, respectively, at September 30, 2009, and $387 million and $302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at December 31, 2009. Included in trading account assets at September 30, 2010 were $33 million of assets related to deferred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plans, compared with $34 million and $36 million at September 30, 2009 and December 31, 2009, respectively. Changes in the fair value of such assets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as “trading account and foreign exchange gains” in the consolidated statement of income. Included in “other liabilities” in the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sheet at September 30, 2010 were $35 million of liabilities related to deferred compensation plans, compared with $37 million and $38 million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and December 31, 2009, respectively. Changes in the balances of such liabilities due to the valuation of allocated investment options to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liabilities are indexed are recorded in “other costs of operations” in the consolidated statement of income.</w:t>
      </w:r>
    </w:p>
    <w:p>
      <w:pPr>
        <w:spacing w:after="0" w:line="103" w:lineRule="exact"/>
        <w:rPr>
          <w:sz w:val="20"/>
          <w:szCs w:val="20"/>
          <w:color w:val="auto"/>
        </w:rPr>
      </w:pPr>
    </w:p>
    <w:p>
      <w:pPr>
        <w:jc w:val="both"/>
        <w:ind w:right="400" w:firstLine="225"/>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10 of Notes to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third quarter of 2010 was $93 million, compared with $154 million in the year-earlier quarter and $85 million in the second quarter of 2010. For the nine-month periods ended September 30, 2010 and 2009, the provision for credit losses was $283 million and $459 million, respectively. While the Company has experienced some improvement in its credit quality metrics during the first nine months of 2010, the levels of the provision since late 2007 have been higher than historical levels, reflecting a pronounced downturn in the U.S. economy, which entered recession in late-2007, and significant deterioration in the residential real estate market that began in early-2007 and continued through the recently completed quarter. Declining real estate valuations and higher levels of delinquencies and charge-offs have significantly affected the quality of the Company’s residential real estate-related loan portfolios. Specifically, the Company’s Alt-A residential real estate loan portfolio and its residential real estate builder and developer loan</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portfolio experienced the majority of the credit problems related to the turmoil in the residential real estate market place. The Company also experienced increased levels of commercial loan and consumer loan charge-offs over the past two years due to, among other things, higher unemployment levels and the recessionary economy.</w:t>
      </w:r>
    </w:p>
    <w:p>
      <w:pPr>
        <w:spacing w:after="0" w:line="73" w:lineRule="exact"/>
        <w:rPr>
          <w:sz w:val="20"/>
          <w:szCs w:val="20"/>
          <w:color w:val="auto"/>
        </w:rPr>
      </w:pPr>
    </w:p>
    <w:p>
      <w:pPr>
        <w:ind w:right="180" w:firstLine="225"/>
        <w:spacing w:after="0" w:line="271" w:lineRule="auto"/>
        <w:rPr>
          <w:sz w:val="20"/>
          <w:szCs w:val="20"/>
          <w:color w:val="auto"/>
        </w:rPr>
      </w:pPr>
      <w:r>
        <w:rPr>
          <w:rFonts w:ascii="Arial" w:cs="Arial" w:eastAsia="Arial" w:hAnsi="Arial"/>
          <w:sz w:val="17"/>
          <w:szCs w:val="17"/>
          <w:color w:val="auto"/>
        </w:rPr>
        <w:t>Loans acquired in connection with the Provident and Bradford transactions were recorded at fair value with no carry over of any previously recorded allowance for credit losses. Determining the fair value of the acquired loans required estimating cash flows expected to be collected on the loans and discounting those cash flows at current interest rates.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w:t>
      </w:r>
    </w:p>
    <w:p>
      <w:pPr>
        <w:spacing w:after="0" w:line="7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Net loan charge-offs were $93 million in the recently completed quarter, compared with $141 million in the third quarter of 2009 and $82 million in the second quarter of 2010. Net charge-offs as an annualized percentage of average loans and leases were .73% in the third quarter of 2010, compared with 1.07% and .64% in the third quarter of 2009 and the second quarter of 2010, respectively. Net charge-offs for the nine-month periods ended September 30 totaled $269 million in 2010 and $379 million in 2009, representing an annualized .70% and 1.00% of average loans and leases. A summary of net charge-offs by loan type follows.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1st Qtr.</w:t>
            </w:r>
          </w:p>
        </w:tc>
        <w:tc>
          <w:tcPr>
            <w:tcW w:w="660" w:type="dxa"/>
            <w:vAlign w:val="bottom"/>
            <w:gridSpan w:val="2"/>
          </w:tcPr>
          <w:p>
            <w:pPr>
              <w:spacing w:after="0"/>
              <w:rPr>
                <w:sz w:val="14"/>
                <w:szCs w:val="14"/>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2nd Qtr.</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3rd Qtr.</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17,994</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9,166</w:t>
            </w: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33,147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60,307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Real estate:</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30,226</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35,449</w:t>
            </w: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17,837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83,512</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15,280</w:t>
            </w:r>
          </w:p>
        </w:tc>
        <w:tc>
          <w:tcPr>
            <w:tcW w:w="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13,182</w:t>
            </w:r>
          </w:p>
        </w:tc>
        <w:tc>
          <w:tcPr>
            <w:tcW w:w="1920" w:type="dxa"/>
            <w:vAlign w:val="bottom"/>
            <w:gridSpan w:val="4"/>
          </w:tcPr>
          <w:p>
            <w:pPr>
              <w:jc w:val="right"/>
              <w:ind w:right="660"/>
              <w:spacing w:after="0"/>
              <w:rPr>
                <w:sz w:val="20"/>
                <w:szCs w:val="20"/>
                <w:color w:val="auto"/>
              </w:rPr>
            </w:pPr>
            <w:r>
              <w:rPr>
                <w:rFonts w:ascii="Arial" w:cs="Arial" w:eastAsia="Arial" w:hAnsi="Arial"/>
                <w:sz w:val="18"/>
                <w:szCs w:val="18"/>
                <w:color w:val="auto"/>
              </w:rPr>
              <w:t>17,480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45,942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31,009</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23,801</w:t>
            </w: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24,483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79,293</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w w:val="87"/>
              </w:rPr>
              <w:t>94,509</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81,598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92,947</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ind w:right="94"/>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7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1st Qtr.</w:t>
            </w:r>
          </w:p>
        </w:tc>
        <w:tc>
          <w:tcPr>
            <w:tcW w:w="68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2nd Qtr.</w:t>
            </w:r>
          </w:p>
        </w:tc>
        <w:tc>
          <w:tcPr>
            <w:tcW w:w="12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3rd Qtr.</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22,301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48,025</w:t>
            </w:r>
          </w:p>
        </w:tc>
        <w:tc>
          <w:tcPr>
            <w:tcW w:w="10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70,803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141,129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Real estate:</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22,399</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20,645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70,555</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19,702</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31,460</w:t>
            </w:r>
          </w:p>
        </w:tc>
        <w:tc>
          <w:tcPr>
            <w:tcW w:w="100" w:type="dxa"/>
            <w:vAlign w:val="bottom"/>
          </w:tcPr>
          <w:p>
            <w:pPr>
              <w:spacing w:after="0"/>
              <w:rPr>
                <w:sz w:val="18"/>
                <w:szCs w:val="18"/>
                <w:color w:val="auto"/>
              </w:rPr>
            </w:pPr>
          </w:p>
        </w:tc>
        <w:tc>
          <w:tcPr>
            <w:tcW w:w="1920" w:type="dxa"/>
            <w:vAlign w:val="bottom"/>
            <w:gridSpan w:val="4"/>
          </w:tcPr>
          <w:p>
            <w:pPr>
              <w:jc w:val="right"/>
              <w:ind w:right="660"/>
              <w:spacing w:after="0"/>
              <w:rPr>
                <w:sz w:val="20"/>
                <w:szCs w:val="20"/>
                <w:color w:val="auto"/>
              </w:rPr>
            </w:pPr>
            <w:r>
              <w:rPr>
                <w:rFonts w:ascii="Arial" w:cs="Arial" w:eastAsia="Arial" w:hAnsi="Arial"/>
                <w:sz w:val="18"/>
                <w:szCs w:val="18"/>
                <w:color w:val="auto"/>
              </w:rPr>
              <w:t>19,839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71,001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35,531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30,610</w:t>
            </w:r>
          </w:p>
        </w:tc>
        <w:tc>
          <w:tcPr>
            <w:tcW w:w="10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30,204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96,345</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99,933</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137,606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141,491</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760" w:type="dxa"/>
            <w:vAlign w:val="bottom"/>
            <w:vMerge w:val="restart"/>
          </w:tcPr>
          <w:p>
            <w:pPr>
              <w:jc w:val="right"/>
              <w:ind w:right="510"/>
              <w:spacing w:after="0"/>
              <w:rPr>
                <w:sz w:val="20"/>
                <w:szCs w:val="20"/>
                <w:color w:val="auto"/>
              </w:rPr>
            </w:pPr>
            <w:r>
              <w:rPr>
                <w:rFonts w:ascii="Arial" w:cs="Arial" w:eastAsia="Arial" w:hAnsi="Arial"/>
                <w:sz w:val="18"/>
                <w:szCs w:val="18"/>
                <w:color w:val="auto"/>
              </w:rPr>
              <w:t>- 65 -</w:t>
            </w: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4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Net charge-offs of commercial loans and leases declined in the third quarter of 2010 as compared with the year-earlier quarter as a result of a $42 million partial charge-off of a relationship with an operator of retirement communities and a $12 million partial charge-off of an unsecured loan to a single customer in the commercial real estate sector that were recognized in 2009’s third quarter. Included in net charge-offs of commercial real estate loans were net charge-offs of loans to residential homebuilders and developers of $11 million and $13 million for the quarters ended September 30, 2010 and 2009, respectively, and $17 million in the second quarter of 2010. Net charge-offs of residential real estate loans included net charge-offs of Alt-A first mortgage loans of $9 million in each of the second and third quarters of 2010, compared with $12 million during the quarter ended September 30, 2009. Included in net charge-offs of consumer loans and leases were net charge-offs during the quarters ended September 30, 2010, September 30, 2009 and June 30, 2010, respectively, of: indirect automobile loans of $7 million, $11 million and $7 million; recreational vehicle loans of $6 million, $5 million and $6 million; and home equity loans and lines of credit, including Alt-A second lien loans, of $7 million, $11 million and $8 million. Including both first and second lien mortgages, net charge-offs of Alt-A loans totaled $10 million in each of the quarters ended June 30 and September 30, 2010, compared with $14 million in the third quarter of 2009.</w:t>
      </w:r>
    </w:p>
    <w:p>
      <w:pPr>
        <w:spacing w:after="0" w:line="6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Nonaccrual loans totaled $1.10 billion or 2.16% of total loans and leases outstanding at September 30, 2010, compared with $1.23 billion or 2.35% at September 30, 2009, $1.33 billion or 2.56% at December 31, 2009, and $1.09 billion or 2.13% at June 30, 2010. The continuing turbulence in the residential real estate market place has resulted in deteriorating real estate values and increased delinquencies, both for loans to consumers and loans to builders and developers of residential real estate. The depressed state of the U.S. economy has resulted in generally higher levels of nonaccrual loans. The decline in nonaccrual loans from December 31, 2009 to June 30, 2010 and September 30, 2010 was largely due to payments made in 2010’s second and third quarters by a borrower that operates retirement communities and in the second quarter by a borrower that is a consumer finance and credit insurance company, and the transfer to real estate and other foreclosed assets during that quarter of $98 million of collateral related to a commercial real estate loan that was placed in nonaccrual status during the fourth quarter of 2009.</w:t>
      </w:r>
    </w:p>
    <w:p>
      <w:pPr>
        <w:spacing w:after="0" w:line="71"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Accruing loans past due 90 days or more were $215 million or .42% of total loans and leases at September 30, 2010, compared with $183 million or .35% a year earlier, $208 million or .40% at December 31, 2009 and $203 million or .40% at June 30, 2010. Those loans included $194 million, $173 million, $193 million and $188 million at September 30, 2010, September 30, 2009, December 31, 2009 and June 30, 2010, respectively, of loans guaranteed by government-related entities.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$178 million, $156 million, $176 million and $171 million at September 30, 2010, September 30, 2009, December 31, 2009 and June 30, 2010, respectively. Loans past due 90 days or more and accruing interest that were guaranteed by government-related entities also included foreign commercial and industrial loans supported by the Export-Import Bank of the United States that totaled $11 million at September 30, 2010, compared with $13 million at each of September 30, 2009 and December 31, 2009 and $12 million at June 30, 2010.</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Loans obtained in the 2009 acquisition transactions that were impaired at the date of acquisition were recorded at estimated fair value and are generally delinquent in payments, but, in accordance with GAAP the Company continues to accrue interest income on such loans based on the estimated expected cash flows associated with the loans. The carrying amount of such loans was $53 million at September 30, 2010, or approximately .1% of total loans.</w:t>
      </w:r>
    </w:p>
    <w:p>
      <w:pPr>
        <w:spacing w:after="0" w:line="39"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In an effort to assist borrowers, the Company modified the terms of select loans secured by residential real estate, largely from the Company’s portfolio of Alt-A loans. Included in loans outstanding at September 30, 2010 were $309 million of modified loans, of which $117 million were classified as nonaccrual. The remaining modified loans have demonstrated payment capability consistent with the modified terms and, accordingly, were classified as renegotiated loans and were accruing interest at September 30, 2010.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allowance for credit losses. Modified residential real estate loans totaled $276 million at September 30, 2009, of which $109 million were in nonaccrual status, and $292 million as of December 31, 2009, of which $108 million were in nonaccrual status.</w:t>
      </w:r>
    </w:p>
    <w:p>
      <w:pPr>
        <w:spacing w:after="0" w:line="71"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Commercial loans and leases classified as nonaccrual totaled $215 million at September 30, 2010, $333 million at September 30, 2009, $322 million at December 31, 2009, and $248 million at June 30, 2010. The decline in such loans since December 31, 2009 reflects payments related to a single borrower that operates retirement communities and the payoff of a $37 million loan to a consumer finance and credit insurance company.</w:t>
      </w:r>
    </w:p>
    <w:p>
      <w:pPr>
        <w:spacing w:after="0" w:line="57"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Nonaccrual commercial real estate loans aggregated $522 million at September 30, 2010, $519 million a year earlier, $638 million at December 31, 2009 and $471 million at June 30, 2010. The increase in such loans from June 30, 2010 to September 30, 2010 includes a $27 million rise in nonperforming loans to homebuilders and developers. The decline in commercial real estate loans classified as nonaccrual at September 30, 2010 and June 30, 2010 as compared with December 31, 2009 reflects the removal from this category of a loan collateralized by real estate in New York City that was initially placed on nonaccrual status in the fourth quarter of 2009. Following a $7 million charge-off, the remaining $98 million of the loan’s carrying value was transferred to “Real Estate and Other Foreclosed Assets” in the second quarter of 2010. Information about the location of nonaccrual and charged-off loans to residential real estate builders and developers as of and for the three-month period ended September 30, 2010 is presented in the accompanying table.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ind w:left="180"/>
              <w:spacing w:after="0"/>
              <w:rPr>
                <w:sz w:val="20"/>
                <w:szCs w:val="20"/>
                <w:color w:val="auto"/>
              </w:rPr>
            </w:pPr>
            <w:r>
              <w:rPr>
                <w:rFonts w:ascii="Arial" w:cs="Arial" w:eastAsia="Arial" w:hAnsi="Arial"/>
                <w:sz w:val="14"/>
                <w:szCs w:val="14"/>
                <w:color w:val="auto"/>
                <w:w w:val="96"/>
              </w:rPr>
              <w:t>September 30, 2010</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89"/>
              </w:rPr>
              <w:t>September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3"/>
          </w:tcPr>
          <w:p>
            <w:pPr>
              <w:jc w:val="center"/>
              <w:ind w:right="59"/>
              <w:spacing w:after="0" w:line="142"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Outstanding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balances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6"/>
              </w:rPr>
              <w:t>Balances</w:t>
            </w:r>
          </w:p>
        </w:tc>
        <w:tc>
          <w:tcPr>
            <w:tcW w:w="220" w:type="dxa"/>
            <w:vAlign w:val="bottom"/>
          </w:tcPr>
          <w:p>
            <w:pPr>
              <w:spacing w:after="0"/>
              <w:rPr>
                <w:sz w:val="14"/>
                <w:szCs w:val="14"/>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w w:val="73"/>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300,026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31,428</w:t>
            </w:r>
          </w:p>
        </w:tc>
        <w:tc>
          <w:tcPr>
            <w:tcW w:w="15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10.48%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Pennsylvania</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228,835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24,189</w:t>
            </w:r>
          </w:p>
        </w:tc>
        <w:tc>
          <w:tcPr>
            <w:tcW w:w="1580" w:type="dxa"/>
            <w:vAlign w:val="bottom"/>
            <w:gridSpan w:val="3"/>
          </w:tcPr>
          <w:p>
            <w:pPr>
              <w:ind w:left="700"/>
              <w:spacing w:after="0"/>
              <w:rPr>
                <w:sz w:val="20"/>
                <w:szCs w:val="20"/>
                <w:color w:val="auto"/>
              </w:rPr>
            </w:pPr>
            <w:r>
              <w:rPr>
                <w:rFonts w:ascii="Arial" w:cs="Arial" w:eastAsia="Arial" w:hAnsi="Arial"/>
                <w:sz w:val="18"/>
                <w:szCs w:val="18"/>
                <w:color w:val="auto"/>
              </w:rPr>
              <w:t>10.57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697,038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182,707</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26.21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9,728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225,207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64,597</w:t>
            </w:r>
          </w:p>
        </w:tc>
        <w:tc>
          <w:tcPr>
            <w:tcW w:w="1580" w:type="dxa"/>
            <w:vAlign w:val="bottom"/>
            <w:gridSpan w:val="3"/>
          </w:tcPr>
          <w:p>
            <w:pPr>
              <w:ind w:left="700"/>
              <w:spacing w:after="0"/>
              <w:rPr>
                <w:sz w:val="20"/>
                <w:szCs w:val="20"/>
                <w:color w:val="auto"/>
              </w:rPr>
            </w:pPr>
            <w:r>
              <w:rPr>
                <w:rFonts w:ascii="Arial" w:cs="Arial" w:eastAsia="Arial" w:hAnsi="Arial"/>
                <w:sz w:val="18"/>
                <w:szCs w:val="18"/>
                <w:color w:val="auto"/>
              </w:rPr>
              <w:t>28.68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979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1,451,106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302,921</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10,707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Residential real estate loans classified as nonaccrual totaled $274 million at September 30, 2010, $288 million at September 30, 2009, $281 million at December 31, 2009 and $285 million at June 30, 2010. Declining property values and higher levels of delinquencies have contributed to higher-than-historical levels of residential real estate loans classified as nonaccrual and to the level of charge-offs. Included in residential real estate loans classified as nonaccrual were Alt-A loans, which totaled $107 million and $125 million at September 30, 2010 and September 30, 2009, respectively, and $112 million at each of December 31, 2009 and June 30, 2010. Residential real estate loans past due 90 days or more and accruing interest totaled $183 million at September 30, 2010, compared with $156 million a year-earlier, and $178 million and $172 million at December 31, 2009 and June 30, 2010, respectively. A substantial portion of such amounts related to guaranteed loans repurchased from government-related entities. Information about the location of nonaccrual and charged-off residential real estate loans as of and for the quarter ended September 30, 2010 is presented in the accompanying table.</w:t>
      </w:r>
    </w:p>
    <w:p>
      <w:pPr>
        <w:spacing w:after="0" w:line="58"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Nonaccrual consumer loans and leases totaled $89 million at September 30, 2010, compared with $88 million a year earlier, $91 million at December 31, 2009 and $86 million at June 30, 2010. As a percentage of consumer loan balances outstanding, nonaccrual consumer loans were .76% at September 30, 2010, compared with .72% a year earlier, .75% at December 31, 2009 and .73% at June 30, 2010. Included in nonaccrual consumer loans and leases at September 30, 2010, September 30, 2009, December 31, 2009 and June 30, 2010 were indirect automobile loans of $32 million, $36 million, $39 million and $30 million, respectively; recreational vehicle loans of $11 million, $16 million, $15 million and $13 million, respectively; and outstanding balances of home equity loans and lines of credit, including second lien Alt-A loans, of $42 million, $33 million, $33 million and $38 million, respectively. Consumer loans delinquent 30–89 days at September 30, 2010 totaled $116 million, compared with $132 million a year earlier, $141 million at December 31, 2009 and $114 million at June 30, 2010. Consumer loans past due 90 days or more and accruing interest were $4 million at each of September 30, 2010, September 30, 2009, December 31, 2009 and June 30, 2010. Information about the location of nonaccrual and charged-off home equity loans and lines of credit as of and for the quarter ended September 30, 2010 is presented in the accompanying table.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color w:val="auto"/>
                <w:w w:val="96"/>
              </w:rPr>
              <w:t>September 30, 2010</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4"/>
                <w:szCs w:val="14"/>
                <w:color w:val="auto"/>
                <w:w w:val="89"/>
              </w:rPr>
              <w:t>September 30, 2010</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3"/>
          </w:tcPr>
          <w:p>
            <w:pPr>
              <w:jc w:val="center"/>
              <w:ind w:right="92"/>
              <w:spacing w:after="0" w:line="142"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7"/>
              </w:rPr>
              <w:t>Outstanding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96"/>
              </w:rPr>
              <w:t>balances</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Balances</w:t>
            </w:r>
          </w:p>
        </w:tc>
        <w:tc>
          <w:tcPr>
            <w:tcW w:w="220" w:type="dxa"/>
            <w:vAlign w:val="bottom"/>
          </w:tcPr>
          <w:p>
            <w:pPr>
              <w:spacing w:after="0"/>
              <w:rPr>
                <w:sz w:val="14"/>
                <w:szCs w:val="14"/>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w w:val="73"/>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2,088,995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42,623</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2.04%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1,053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723,182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14,643</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1,058,342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38,475</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2,665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1,168,155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64,381</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3,018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5,038,674</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160,122</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3.18%</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6,742</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10,859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7.62%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2,316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11.87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456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40,397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57,789</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6,570</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11.37%</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1,565</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97,558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13,963</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14.31%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401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120,953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16,672</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13.78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571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414,190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72,755</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8,045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657,969</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106,969</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16.26%</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9,173</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2,982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421</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14.12%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24,829</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1,910</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7.69%</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1,236</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37,472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0.80%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213,169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160,423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2,173</w:t>
            </w:r>
          </w:p>
        </w:tc>
        <w:tc>
          <w:tcPr>
            <w:tcW w:w="220" w:type="dxa"/>
            <w:vAlign w:val="bottom"/>
          </w:tcPr>
          <w:p>
            <w:pPr>
              <w:spacing w:after="0"/>
              <w:rPr>
                <w:sz w:val="18"/>
                <w:szCs w:val="18"/>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412,064</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4,544</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1.10%</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851,727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2,173</w:t>
            </w:r>
          </w:p>
        </w:tc>
        <w:tc>
          <w:tcPr>
            <w:tcW w:w="220" w:type="dxa"/>
            <w:vAlign w:val="bottom"/>
          </w:tcPr>
          <w:p>
            <w:pPr>
              <w:spacing w:after="0"/>
              <w:rPr>
                <w:sz w:val="18"/>
                <w:szCs w:val="18"/>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0.26%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6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557,546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533,873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954</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178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1,957,147</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4,275</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0.22%</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335</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95,035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256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165,294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2,969</w:t>
            </w:r>
          </w:p>
        </w:tc>
        <w:tc>
          <w:tcPr>
            <w:tcW w:w="220" w:type="dxa"/>
            <w:vAlign w:val="bottom"/>
          </w:tcPr>
          <w:p>
            <w:pPr>
              <w:spacing w:after="0"/>
              <w:rPr>
                <w:sz w:val="18"/>
                <w:szCs w:val="18"/>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379,716</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6,347</w:t>
            </w: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1.67%</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443</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1,706,875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14,159</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0.83%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2,524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575,635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1,539,361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6,085</w:t>
            </w:r>
          </w:p>
        </w:tc>
        <w:tc>
          <w:tcPr>
            <w:tcW w:w="220" w:type="dxa"/>
            <w:vAlign w:val="bottom"/>
          </w:tcPr>
          <w:p>
            <w:pPr>
              <w:spacing w:after="0"/>
              <w:rPr>
                <w:sz w:val="18"/>
                <w:szCs w:val="18"/>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1,671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77,853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3,899,724</w:t>
            </w:r>
          </w:p>
        </w:tc>
        <w:tc>
          <w:tcPr>
            <w:tcW w:w="2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24,443</w:t>
            </w: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0.63%</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5,241</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- 69 -</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Real estate and other foreclosed assets totaled $193 million at each of June 30 and September 30, 2010, $95 million at December 31, 2009 and $85 million at September 30, 2009. The increase at the two most recent quarter-ends as compared with September 30 and December 31, 2009 reflects the $98 million addition in the second quarter of 2010 of the previously discussed commercial real estate property located in New York City. Excluding that property, at September 30, 2010 the Company’s holding of residential real estate-related properties comprised approximately 78% of the remaining foreclosed assets.</w:t>
      </w:r>
    </w:p>
    <w:p>
      <w:pPr>
        <w:spacing w:after="0" w:line="46"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renegotiated and impaired loan data and credit quality ratios as of the end of the periods indicated is presented in the accompanying table.</w:t>
      </w:r>
    </w:p>
    <w:p>
      <w:pPr>
        <w:spacing w:after="0" w:line="62"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auto"/>
                <w:w w:val="91"/>
              </w:rPr>
              <w:t>2010 Quarters</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3"/>
          </w:tcPr>
          <w:p>
            <w:pPr>
              <w:ind w:left="740"/>
              <w:spacing w:after="0"/>
              <w:rPr>
                <w:sz w:val="20"/>
                <w:szCs w:val="20"/>
                <w:color w:val="auto"/>
              </w:rPr>
            </w:pPr>
            <w:r>
              <w:rPr>
                <w:rFonts w:ascii="Arial" w:cs="Arial" w:eastAsia="Arial" w:hAnsi="Arial"/>
                <w:sz w:val="14"/>
                <w:szCs w:val="14"/>
                <w:color w:val="auto"/>
                <w:w w:val="91"/>
              </w:rPr>
              <w:t>2009 Quarters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Third</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Second</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First</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Fourth</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Third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1,099,560</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1,090,135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1,339,992</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1,331,702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1,228,341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192,600</w:t>
            </w:r>
          </w:p>
        </w:tc>
        <w:tc>
          <w:tcPr>
            <w:tcW w:w="6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192,631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95,362</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94,604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84,676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1,292,160</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1,282,766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1,435,354</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1,426,306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1,313,017</w:t>
            </w: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214,769</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203,081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203,443</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208,080</w:t>
            </w:r>
          </w:p>
        </w:tc>
        <w:tc>
          <w:tcPr>
            <w:tcW w:w="1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182,750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Renegotiated loans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233,671</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228,847</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220,885</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212,548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190,917</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w w:val="95"/>
              </w:rPr>
              <w:t>Government guaranteed loans included in totals above:</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Nonaccrual loans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38,232</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40,271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37,048</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00"/>
              <w:spacing w:after="0"/>
              <w:rPr>
                <w:sz w:val="20"/>
                <w:szCs w:val="20"/>
                <w:color w:val="auto"/>
              </w:rPr>
            </w:pPr>
            <w:r>
              <w:rPr>
                <w:rFonts w:ascii="Arial" w:cs="Arial" w:eastAsia="Arial" w:hAnsi="Arial"/>
                <w:sz w:val="18"/>
                <w:szCs w:val="18"/>
                <w:color w:val="auto"/>
              </w:rPr>
              <w:t>Accruing loans past due 90 days or more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194,223</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187,682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194,523</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193,495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172,701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 loans(b):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Outstanding customer balance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113,964</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130,808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148,686</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172,772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Carrying amount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52,728</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61,524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73,890</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88,170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Nonaccrual loans to total loans and leases, net of</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unearned discount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2.16%</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2.13%</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2.60%</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and other foreclosed assets</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2.78%</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and leases, net of unearned discount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 42%</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 40%</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 40%</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 40%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 35%</w:t>
            </w:r>
          </w:p>
        </w:tc>
      </w:tr>
      <w:tr>
        <w:trPr>
          <w:trHeight w:val="20"/>
        </w:trPr>
        <w:tc>
          <w:tcPr>
            <w:tcW w:w="4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Predominately residential mortgage loans.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17" w:lineRule="exact"/>
        <w:rPr>
          <w:sz w:val="20"/>
          <w:szCs w:val="20"/>
          <w:color w:val="auto"/>
        </w:rPr>
      </w:pPr>
    </w:p>
    <w:p>
      <w:pPr>
        <w:jc w:val="both"/>
        <w:ind w:right="680" w:firstLine="225"/>
        <w:spacing w:after="0" w:line="312"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w:t>
      </w:r>
    </w:p>
    <w:p>
      <w:pPr>
        <w:spacing w:after="0" w:line="2" w:lineRule="exact"/>
        <w:rPr>
          <w:sz w:val="20"/>
          <w:szCs w:val="20"/>
          <w:color w:val="auto"/>
        </w:rPr>
      </w:pPr>
    </w:p>
    <w:p>
      <w:pPr>
        <w:ind w:right="60" w:firstLine="8"/>
        <w:spacing w:after="0" w:line="252"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86"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Management cautiously and conservatively evaluated the allowance for credit losses as of September 30, 2010 in light of: (i) lower residential real estate values and higher than historical levels of delinquencies of residential real estate loans; (ii) recession-like economic conditions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lack of loan growth experienced by the Company. Considerable concerns exist about economic conditions in both national and international markets; the level and volatility of energy prices; a weakened housing market; the troubled state of financial and credit markets; Federal Reserve positioning of monetary policy; high levels of unemployment, which has caused consumer spending to slow; the underlying impact on businesses’ operations and abilities to repay loans as consumer spending slowed;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or stagnant regions of upstate New York and central Pennsylvania. Approximately one-half of the Company’s loans are to customers in New York State and Pennsylvania. Home prices in upstate New York and central Pennsylvania were largely unchanged in 2009 and 2010 to-date, in contrast to declines in values in many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the Company has conducted detailed reviews of all loans to residential real estate builders and developers that exceeded $2.5 million. Those credit reviews often resulted in commencement of intensified collection efforts, including instances of foreclosure. Throughout 2009, the Company experienced increases in nonaccrual commercial loans, largely the result of a small number of large relationships, and in nonaccrual commercial real estate loans, largely due to builders and developers of residential real estate loans and one large loan in New York City. The Company utilizes an extensive loan grading system which is applied to all commercial loans and commercial real estate loans. On a quarterly basis, the Company’s loan review department reviews all commercial loans and commercial real estate loans greater than $350,000 that are classified as “Special Mention” or worse. Meetings are held with loan officers and their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managers, workout specialists and Senior Management to discuss each of the relationships.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“Special Mention”, the process of obtaining updated collateral valuation information is usually initiated, unless it is not considered warranted given factors such as the relative size of the loan, the characteristics of the collateral or the age of the last valuation. In those latter cases, when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w:t>
      </w:r>
    </w:p>
    <w:p>
      <w:pPr>
        <w:spacing w:after="0" w:line="85"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Factors that influence the Company’s credit loss experience include overall economic conditions affecting businesses and consumers generally, but also residential and commercial real estate valuations, in particular, given the size of the real estate loan portfolios. Reflecting the factors and conditions as described herein, the Company has experienced historically high levels of nonaccrual loans and net charge-offs of real estate-related loans, particularly in the Company’s portfolios of residential real estate-related loans, including first and second lien Alt-A mortgage loans and loans to builders and developers of residential real estate. The Company has also experienced higher than historical levels of nonaccrual commercial real estate loans in 2009 and 2010.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4"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Management believes that the allowance for credit losses at September 30, 2010 was adequate to absorb credit losses inherent in the portfolio as of that date. The allowance for credit losses was $895 million, or 1.76% of total loans and leases at September 30, 2010, compared with $868 million or 1.66% at September 30, 2009, $878 million or 1.69% at December 31, 2009 and $895 million or 1.75% at June 30, 2010. The ratio of the allowance to total loans at each of those dates reflects the impact of loans obtained in the acquisition of Provident and loans obtained in the Bradford transaction that have been recorded at estimated fair value based on estimated future cash flows expected to be received on those loans. Those cash flows reflect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impact of expected defaults on customer repayment performance. As a result, and as required by GAAP, there was no carry-over of the allowance previously recorded by Provident and Bradford. Accordingly, although general in nature, the allowance for credit losses is predominantly intended to provide for losses inherent in the Company’s legacy loans (that is, total loans excluding loans acquired in the Provident and Bradford transactions). The allowance for credit losses applicable to legacy loans expressed as a percentage of such loans was 1.86% at each of September 30 and June 30, 2010, compared with 1.81% at September 30, 2009 and 1.83% at December 31, 2009. The level of the allowance reflects management’s evaluation of the loan and lease portfolio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81% at September 30, 2010, compared with 71% a year earlier, 66% at December 31,</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2009 and 82% at June 30, 2010.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Other income totaled $290 million in the third quarter of 2010, compared with $278 million in the year-earlier quarter and $274 million in the second quarter of 2010. Reflected in such income were net losses on investment securities (including other-than-temporary impairment losses), which totaled to $8 million in the recent quarter, $47 million in the third quarter of 2009 and $22 million in 2010’s second quarter. Other-than-temporary impairment charges of $10 million and $47 million were recognized in the three-month periods ended September 30, 2010 and 2009, respectively, and related to certain of the Company’s privately issued residential mortgage-backed CMOs and CDOs backed by pooled trust preferred securities. Other-than-temporary impairment charges totaling $22 million were recognized in the second quarter of 2010 related to a $12 million write-down of AIB ADSs, which were obtained in M&amp;T’s acquisition of Allfirst in 2003, and $10 million of charges related to certain of the Company’s privately issued residential mortgage-backed CMO holdings and CDOs backed by pooled trust preferred securities. Excluding the $29 million Bradford-related gain in the third quarter of 2009 and gains and losses on bank investment securities (including other-than-temporary impairment losses) from all quarters, other income in the recent quarter totaled $298 million, up from $296 million in each of the third quarter of 2009 and the second quarter of 2010. The primary contributor to the slight improvement in the recent quarter as compared with the third quarter of 2009 and 2010’s second quarter was higher mortgage banking revenues, which were largely offset by declines in service charges on deposit accounts. The lower level of deposit service charge revenues was attributable to new regulations that went into effect during the recent quarter.</w:t>
      </w:r>
    </w:p>
    <w:p>
      <w:pPr>
        <w:spacing w:after="0" w:line="8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Mortgage banking revenues rose to $61 million in the recent quarter, 27% higher than $48 million in the third quarter of 2009 and 30% above $47 million in the second quarter of 2010.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$45 million in the recent quarter, compared with $38 million in the third quarter of 2009 and $36 million in the second quarter of 2010. The higher revenues in the recent quarter reflect higher origination volumes and wider margins associated with origination activity.</w:t>
      </w:r>
    </w:p>
    <w:p>
      <w:pPr>
        <w:spacing w:after="0" w:line="46"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New commitments to originate residential mortgage loans to be sold were approximately $1.4 billion and $1.3 billion in the third quarters of 2010 and 2009, respectively, and $1.1 billion in the second quarter of 2010. Similarly, closed residential mortgage loans originated for sale to other investors were approximately $1.1 billion in the most recent quarter, compared with $1.4 billion and $1.0 billion in the three-month periods ended September 30, 2009 and June 30, 2010, respectively. Realized gains from sales of residential mortgage loans and loan servicing rights and recognized net unrealized gains and losses attributable to residential mortgage loans held for sale, commitments to originate loans for sale and commitments to sell loans totaled to a gain of $24 million in the recently completed quarter, compared with gains of $17 million and $15 million in the third quarter of 2009 and the second quarter of 2010, respectively.</w:t>
      </w:r>
    </w:p>
    <w:p>
      <w:pPr>
        <w:spacing w:after="0" w:line="8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Since early 2007 when the Company recognized a $6 million charge related to declines in market values of previously sold residential real estate loans that the Company could have been required to repurchase, the Company has regularly reduced residential mortgage banking revenues by an estimate for losses related to its obligations to loan purchasers. The amount of those charges varies based on the volume of loans sold, the level of reimbursement requests received from loan purchasers and estimates of losses that may be associated with previously sold loans. That variability has not had a material impact on the Company’s results of operations and management believes that any liability arising out of the Company’s obligation to loan purchasers as of September 30, 2010 is not material to the Company’s consolidated financial position. Nevertheless, in recent quarters the Company has received increased requests from loan purchasers for reimbursement. The Company has considered those requests in assessing the estimated impact on the Company’s consolidated financial statements.</w:t>
      </w:r>
    </w:p>
    <w:p>
      <w:pPr>
        <w:spacing w:after="0" w:line="7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Revenues from servicing residential mortgage loans for others were $20 million in each of the third quarters of 2010 and 2009 and the second quarter of 2010. Included in such servicing revenues were amounts related to purchased servicing rights associated with small balance commercial mortgage loans which totaled $7 million in each of those quarters.</w:t>
      </w:r>
    </w:p>
    <w:p>
      <w:pPr>
        <w:spacing w:after="0" w:line="73"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Residential mortgage loans serviced for others were $21.3 billion at each of September 30, 2010 and September 30, 2009, compared with $21.4 billion at each of June 30, 2010 and December 31, 2009, including the small balance commercial mortgage loans noted above of approximately $5.4 billion at the recent quarter-end, $5.7 billion at September 30, 2009, $5.6 billion at June 30, 2010 and $5.5 billion at December 31, 2009. Capitalized residential mortgage servicing assets, net of a valuation allowance for impairment, were $115 million at September 30, 2010, compared with $144 million at September 30, 2009, $124 million at June 30, 2010 and $141 million at December 31, 2009. The valuation allowance for possible impairment of residential mortgage servicing assets totaled $6 million, $4 million, $2 million and $50 thousand at September 30, 2010, September 30, 2009, June 30, 2010 and December 31, 2009, respectively. Included in capitalized residential mortgage servicing assets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were $29 million at September 30, 2010, $44 million at September 30, 2009, $33 million at June 30, 2010 and $40 million at December 31, 2009 of purchased servicing rights associated with the small balance commercial mortgage loans noted above. Servicing rights for the small balance commercial mortgage loans were purchased from Bayview Lending Group, LLC (“BLG”) or its affiliates. In addition, at September 30, 2010 capitalized servicing rights included $11 million for servicing rights for $3.8 billion of residential real estate loans that were purchased from affiliates of BLG. Additional information about the Company’s relationship with BLG and its affiliates is provided in note 15 of Notes to Financial Statements.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Loans held for sale that are secured by residential real estate totaled $554 million and $462 million at September 30, 2010 and 2009,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$450 million at June 30, 2010 and $530 million at December 31, 2009. Commitments to sell residential mortgage loans and commitments to originate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for sale at pre-determined rates were $1.1 billion and $930 million, respectively, at September 30, 2010, $911 million and $795 million, respectively,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and $936 million and $631 million, respectively, at December 31, 2009. Net unrealized gains on residential mortgage loans held for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commitments to sell loans, and commitments to originate loans for sale were $28 million and $13 million at September 30, 2010 and September 30,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and $15 million at December 31, 2009. Changes in such net unrealized gains are recorded in mortgage banking revenues and resulted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in revenues of $9 million and $5 million in the third quarter of 2010 and 2010’s second quarter, respectively, and a net decrease in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 million in the third quarter of 2009.</w:t>
      </w:r>
    </w:p>
    <w:p>
      <w:pPr>
        <w:spacing w:after="0" w:line="103"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Late in the recent quarter, the Company began to originate certain residential real estate loans to be held in its loan portfolio, rather than continuing to sell such loans. The loans conform to Fannie Mae and Freddie Mac underwriting guidelines. Retaining these residential real estate loans is expected to largely offset the impact of the declining investment securities portfolio resulting from maturities and pay-downs of residential mortgage-backed securities while providing high quality assets earning a reasonable yield. Based on projected origination volumes and interest rates, the Company estimates that the decision to retain the residential real estate loans will reduce fourth quarter 2010 residential mortgage banking revenues by approximately $8 million to $12 million.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Commercial mortgage banking revenues were $16 million in the third quarter of 2010, compared with $10 million in the year-earlier quarter and</w:t>
      </w:r>
    </w:p>
    <w:p>
      <w:pPr>
        <w:spacing w:after="0" w:line="3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$11 million in the second quarter of 2010. Reflecting higher origination volumes, revenues from loan origination and sales activities were $12 million in the third quarter of 2010, up from $6 million in the similar 2009 period and $7 million in the second quarter of 2010. Commercial mortgage loan servicing revenues were $4 million in each of those quarters. Capitalized commercial mortgage servicing assets totaled $39 million at September 30, 2010, $31 million at September 30, 2009 and $33 million at December 31, 2010. Commercial mortgage loans serviced for other investors totaled $7.7 billion, $7.0 billion and $7.1 billion at September 30, 2010, September 30, 2009 and December 31, 2009, respectively, and included $1.5 billion, $1.3 billion and $1.3 billion, respectively, of loan balances for which investors had recourse to the Company if such balances are ultimately uncollectible. Commitments to sell commercial mortgage loans and commitments to originate commercial mortgage loans for sale were $261 million and $158 million, respectively, at September 30, 2010, $160 million and $41 million, respectively, at September 30, 2009 and $303 million and $180 million, respectively, at December 31, 2009. Commercial mortgage loans held for sale at September 30, 2010 and 2009 were $103 million and $119 million, respectively, and were $123 million at December 31, 2009.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Service charges on deposit accounts totaled $118 million in the recent quarter, down from $129 million in each of the third quarter of 2009 and the second 2010 quarter. The decline in such fees in the recent quarter as compared with the two earlier quarters was due predominantly to the new regulations that went into effect during the third quarter of 2010. The Federal Reserve and other bank regulators have adopted regulations requiring expanded disclosure of overdraft and other fees assessed to consumers and have issued guidance that requires consumers to elect to be subject to fees for certain deposit account transactions which began July 1, 2010 for new customers and August 15, 2010 for pre-existing customers. The Company engaged in an outreach program to customers, particularly those who are frequent users of overdraft services, to ensure they understand such services and to allow them the opportunity to continue to receive those services. The Company estimates that service charge revenues in the fourth quarter of 2010 as compared with the recent quarter could decline between five and ten percent, reflecting a full quarter’s impact of those regulatory changes.</w:t>
      </w:r>
    </w:p>
    <w:p>
      <w:pPr>
        <w:spacing w:after="0" w:line="58"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Trust income totaled $30 million in the two most recent quarters, compared with $32 million in the third quarter of 2009. The Company has experienced lower levels of trust income over the last two years, reflecting lower balances in proprietary mutual funds and fee waivers by the Company in order to continue to pay customers a yield on their investments in proprietary money-market mutual funds. Those waived fees totaled approximately $4 million during each of the two most recent quarters, compared with $5 million during the three-month period ended September 30, 2009. Brokerage services income, which includes revenues from the sale of mutual funds and annuities and securities brokerage fees, totaled $12 million in the third quarter of 2010, compared with $14 million in the similar quarter of 2009 and $13 million in the second quarter of 2010. Trading account and foreign exchange activity resulted in gains of $6 million during the most recent quarter, compared with gains of $7 million in the year-earlier quarter and $4 million in the second quarter of 2010. The lower revenues in the second quarter of 2010 were largely attributable to decreases in the market values of trading account assets held in conjunction with deferred compensation arrangements.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Including other-than-temporary impairment losses, during the third quarter of 2010 the Company recognized net losses on investment securities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 million, compared with net losses of $47 million and $22 million in the year-earlier quarter and in the second quarter of 2010, respectively. Other-than-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temporary impairment charges of $10 million, $47 million and $22 million were recorded in the quarters ended September 30, 2010, September 30, 2009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2010, respectively. Each reporting period, the Company reviews its investment securities for other-than-temporary impairment. For equity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the Company’s holding of AIB ADSs, the Company considers various factors to determine if the decline in value is other than temporary,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duration and extent of the decline in value, the factors contributing to the decline in fair value, including the financial condition of the issuer as well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of the industry in which it operates, and the prospects for a recovery in fair value of the equity security. For debt securities, the Company analyzes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creditworthiness of the issuer or reviews the credit performance of the underlying collateral supporting the bond. For debt securities backed by pools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such as privately issued mortgage-backed securities, the Company estimates the cash flows of the underlying loan collateral using forward-looking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assumptions of default rates, loss severities and prepayment speeds. Estimated collateral cash flows are then utilized to estimate bond-specific cash flows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determine the ultimate collectibility of the bond. If the present value of the cash flows indicates that the Company should not expect to recover the entire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amortized cost basis of a bond or if the Company intends to sell the bond or it more likely than not will be required to sell the bond before recovery of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amortized cost basis, an other-than-temporary impairment loss is recognized. If an other-than-temporary impairment loss is deemed to have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occurred, the investment security’s cost basis is adjusted, as appropriate for the circumstances. Additional information about other-than-temporary impairment losses is included herein under the heading “Capital.”</w:t>
      </w:r>
    </w:p>
    <w:p>
      <w:pPr>
        <w:spacing w:after="0" w:line="62"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M&amp;T’s share of the operating results of BLG in each of the two most recent quarters was a loss of $6 million, compared with a loss of $11 million in the third quarter of 2009. The operating losses of BLG in the respective quarters resulted from the disruptions in the privately issued mortgage-backed securities market and higher provisions for losses associated with securitized loans and other loans held by BLG, and costs associated with severance and certain lease terminations incurred by BLG as it downsized its operations. Despite the credit and liquidity disruptions that began in 2007, BLG had been successfully securitizing and selling significant volumes of small-balance commercial real estate loans until the first quarter of 2008. In response to the illiquidity in the marketplace since that time, BLG reduced its originations activities, scaled back its workforce and made use of its contingent liquidity sources.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In assessing M&amp;T’s investment in BLG for other-than-temporary impairment at September 30, 2010, with respect to BLG’s commercial mortgage origination and securitization activities, the Company conservatively projected no further securitization activities. With respect to mortgage assets held by BLG and its affiliates, M&amp;T estimated future cash flow from those assets using various assumptions for future defaults and loss severities to arrive at an expected amount of cash flow that could be available for BLG to distribute to M&amp;T. As of September 30, 2010, the weighted-average assumption of projected default percentage on the underlying mortgage loan collateral supporting those mortgage assets was 31% and the weighted-average loss severity assumption was 66%. Lastly, M&amp;T considered different scenarios of projected cash flows that could be generated by the asset management and servicing operations of BLG’s affiliates. BLG is contractually entitled to participate in any distributions from those affiliates. Such estimates were derived from company-provided forecasts of financial results and through discussions with their senior management with respect to longer-term projections of growth in assets under management and asset servicing portfolios. M&amp;T then discounted the various projections using discount rates that ranged from 8% to 17%. Upon evaluation of those results, management concluded that M&amp;T’s investment in BLG was not other-than-temporarily impaired at September 30, 2010. Nevertheless, if BLG is not able to realize sufficient cash flows for the benefit of M&amp;T, the Company may be required to recognize an other-than-temporary impairment charge in a future period for some portion of the $227 million book value of its investment in BLG. Information about the Company’s relationship with BLG and its affiliates is included in note 15 of Notes to Financial Statements.</w:t>
      </w:r>
    </w:p>
    <w:p>
      <w:pPr>
        <w:spacing w:after="0" w:line="290"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Other revenues from operations totaled $77 million in the recent quarter, compared with $106 million in 2009’s third quarter and $79 million in the second quarter of 2010. Reflected in such revenues in the third quarter of 2009 was the $29 million gain recorded on the Bradford acquisition transaction. Included in other revenues from operations were the following significant components. Letter of credit and other credit-related fees totaled $25 million in each of the third quarters of 2010 and 2009 and $26 million in the second quarter of 2010. Tax-exempt income from bank owned life insurance, which includes increases in the cash surrender value of life insurance policies and benefits received, totaled $12 million in the recent quarter and $14 million in each of the year-earlier quarter and the second quarter of 2010. Revenues from merchant discount and credit card fees were $12 million in each of the two most recent quarters, compared with $10 million in the third quarter of 2009. Insurance-related sales commissions and other revenues totaled $9 million in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each of the two most recent quarters, compared with $12 million in the quarter ended September 30,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income totaled $821 million in the first nine months of 2010, compared with $782 million in the similar 2009 period. Gains and losses on bank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investment securities (including other-than-temporary impairment losses) totaled to net losses of $57 million in the first nine months of 2010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$103 million in the corresponding 2009 period. Excluding gains and losses from bank investment securities and the $29 million Bradford-related gain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2009, other income was $878 million in the nine-month period ended September 30, 2010, compared with $856 million in the corresponding 2009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service charges on deposit accounts, largely the result of accounts obtained in the 2009 acquisition transactions, letter of credit and credit—related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 and merchant discount and credit card fees were partially offset by declines in mortgage banking, trust and brokerage services income.</w:t>
      </w:r>
    </w:p>
    <w:p>
      <w:pPr>
        <w:spacing w:after="0" w:line="103"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For the nine-month period ended September 30, 2010, mortgage banking revenues aggregated $150 million, down 5% from $157 million in the year-earlier period. Residential mortgage banking revenues declined 14% to $110 million during the first nine months of 2010 from $129 million in the similar 2009 period. New commitments to originate residential mortgage loans to be sold were $3.5 billion and $4.9 billion during the first nine months of 2010 and 2009 respectively. Closed residential mortgage loans originated for sale to other investors during the nine-month periods ended September 30, 2010 and 2009 were $3.1 billion and $4.9 billion, respectively. Realized gains from sales of residential mortgage loans and loan servicing rights and recognized unrealized gains and losses on residential mortgage loans held for sale, commitments to originate loans for sale and commitments to sell loans aggregated to gains of $47 million and $64 million during the nine-month periods ended September 30, 2010 and 2009, respectively. Lower origination activity was the primary contributor to the decline in such revenues, partially offset by wider margins on those loans.</w:t>
      </w:r>
    </w:p>
    <w:p>
      <w:pPr>
        <w:spacing w:after="0" w:line="7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Revenues from servicing residential mortgage loans for others were $60 million and $61 million for the first nine-months of 2010 and 2009, respectively. Included in such amounts were revenues related to purchased servicing rights associated with the previously noted small balance commercial mortgage loans of $20 million and $22 million for the nine-month periods ended September 30, 2010 and 2009, respectively. Commercial mortgage banking revenues totaled $40 million and $29 million during the first nine months of 2010 and 2009, respectively. That improvement reflected higher origination activity in the 2010 period.</w:t>
      </w:r>
    </w:p>
    <w:p>
      <w:pPr>
        <w:spacing w:after="0" w:line="8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Service charges on deposit accounts rose 7% to $367 million during the first nine months of 2010 from $342 million in the similar 2009 period. That improvement resulted largely from the impact of the 2009 acquisition transactions and increased debit card fees resulting from higher transaction volumes. Trust income declined 7% to $92 million from $99 million a year earlier, and brokerage services income decreased 12% to $38 million during the first nine months of 2010 from $43 million in the corresponding 2009 period. The declines in trust and brokerage services income reflect lower fees for providing services that are tied to the performance of bond and equity markets. Also reflected in trust income were $14 million and $7 million of fee waivers during the first nine months of 2010 and 2009, respectively, related to proprietary money-market funds. Trading account and foreign exchange activity resulted in gains of $15 million and $16 million for the nine-month periods ended September 30, 2010 and 2009, respectively. M&amp;T’s investment in BLG resulted in losses of $18 million for the nine months ended September 30, 2010, compared with losses of $15 million in the year-earlier period. Investment securities gains and losses totaled to net losses of $57 million and $103 million during the first nine months of 2010 and 2009, respectively. Included in those amounts were other-than-temporary impairment losses of $59 million and $104 million during those respective periods.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Other revenues from operations were $236 million in the first nine months of 2010, down from $243 million in the corresponding 2009 period. Excluding the $29 million gain recognized on the Bradford transaction in the third quarter of 2009, other revenues from operations were up $22 million, or 10%, in the first nine months of 2010 as compared with the similar 2009 period. Included in other revenues from operations during the nine-month periods ended September 30, 2010 and 2009 were: letter of credit and other credit-related fees of $80 million and $74 million, respectively; income from bank owned life insurance of $38 million and $37 million, respectively; merchant discount and credit card fees of $34 million and $30 million, respectively; and insurance-related sales commissions and other revenues of $30 million in each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Other expense aggregated $480 million in the third quarter of 2010, 4% below $500 million in the year-earlier period, but 1% higher than $476 million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2010’s second quarter. Included in the amounts noted above are expenses considered by management to be “nonoperating” in nature consisting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core deposit and other intangible assets of $14 million and $17 million in the third quarters of 2010 and 2009, respectively, and $15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second quarter of 2010 and merger-related expenses of $14 million in the three-month period ended September 30, 2009. There were no merger-related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in 2010. Exclusive of these nonoperating expenses, noninterest operating expenses totaled $467 million in the recent quarter,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$469 million in the third quarter of 2009 and $461 million in the second quarter of 2010. As compared with the third quarter of 2009, lower costs for salaries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FDIC assessments in the recent quarter were largely offset by increased costs for professional services. The increase in operating expenses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second to the third 2010 quarter was largely due to higher professional service expenses, partially offset by lower FDIC assessments.</w:t>
      </w:r>
    </w:p>
    <w:p>
      <w:pPr>
        <w:spacing w:after="0" w:line="10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Other expense for the nine-month period ended September 30, 2010 aggregated $1.45 billion, down $57 million or 4% from $1.50 billion in the similar 2009 period. Included in those amounts are expenses considered to be “nonoperating” in nature consisting of amortization of core deposit and other intangible assets of $45 million and $48 million in the first nine months of 2010 and 2009, respectively, and merger-related expenses of $83 million in the 2009 period. Exclusive of these nonoperating expenses, noninterest operating expenses through the first nine months of 2010 increased $29 million or 2% to $1.40 billion from $1.37 billion in the corresponding 2009 period. Contributing to the increased operating expenses were higher levels of personnel and occupancy expenses related to the acquired operations of Provident and an $18 million reduction of the allowance for impairment of capitalized residential mortgage servicing rights in the first nine months of 2009. In comparison, a $6 million addition to the impairment allowance was recognized during 2010’s first nine months. Partially offsetting those factors were decreases in expenses related to foreclosed residential real estate properties and FDIC assessments. Table 2 provides a reconciliation of other expense to noninterest operating expense.</w:t>
      </w:r>
    </w:p>
    <w:p>
      <w:pPr>
        <w:spacing w:after="0" w:line="74"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Salaries and employee benefits expense totaled $246 million in each of the second and third quarters of 2010, compared with $255 million in the third quarter of 2009. The decline in such expense in the recent quarter as compared with the year-earlier quarter reflected decreases in commissions, incentive compensation and salaries. For the first three quarters of 2010, salaries and employee benefits expense were $756 million, compared with $755 million in the year-earlier period. As noted in table 2, merger-related salaries and benefits costs were $10 million during the first nine months of 2009. Those expenses consisted predominantly of severance expense for Provident employees. Excluding those expenses, salaries and benefits expense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rose 1% or $11 million from the nine-month period ended September 30, 2009 to the corresponding 2010 period. That increase reflects the impact of operations associated with the May 23, 2009 acquisition of Provident. Stock-based compensation totaled $11 million, $10 million and $12 million during the quarters ended September 30, 2010, September 30, 2009 and June 30, 2010, respectively, and $43 million for each of the nine-month periods ended September 30, 2010 and 2009. The number of full-time equivalent employees was 12,837 at September 30, 2010, 13,921 at September 30, 2009, 13,639 at December 31, 2009 and 13,022 at June 30, 2010.</w:t>
      </w:r>
    </w:p>
    <w:p>
      <w:pPr>
        <w:spacing w:after="0" w:line="80" w:lineRule="exact"/>
        <w:rPr>
          <w:sz w:val="20"/>
          <w:szCs w:val="20"/>
          <w:color w:val="auto"/>
        </w:rPr>
      </w:pPr>
    </w:p>
    <w:p>
      <w:pPr>
        <w:ind w:right="140" w:firstLine="225"/>
        <w:spacing w:after="0" w:line="289" w:lineRule="auto"/>
        <w:rPr>
          <w:sz w:val="20"/>
          <w:szCs w:val="20"/>
          <w:color w:val="auto"/>
        </w:rPr>
      </w:pPr>
      <w:r>
        <w:rPr>
          <w:rFonts w:ascii="Arial" w:cs="Arial" w:eastAsia="Arial" w:hAnsi="Arial"/>
          <w:sz w:val="16"/>
          <w:szCs w:val="16"/>
          <w:color w:val="auto"/>
        </w:rPr>
        <w:t>Excluding the nonoperating expense items described earlier from each quarter, nonpersonnel operating expenses were $220 million in the third quarter of 2010, compared with $215 million in each of the corresponding quarter of 2009 and the second quarter of 2010. On the same basis, such expenses were $644 million and $627 million during the first nine months of 2010 and 2009, respectively. The increase in nonpersonnel operating expenses in the recent quarter as compared with the year-earlier quarter and the second quarter of 2010 was due, in large part, to higher costs for professional services, partially offset by lower FDIC assessments. Contributing to the rise in nonpersonnel expenses in the first nine months of 2010 as compared with the similar period in 2009 were higher costs for professional services, advertising and promotion, and occupancy expenses related to the acquired operations of Provident. In addition, during 2010’s first three quarters the Company recorded additions to the valuation allowance for impairment of capitalized residential mortgage servicing rights of $6 million, compared with reversals of the valuation allowance of $18 million during the nine-month period ended September 30, 2009. Those factors were partially offset by a decline in expenses related to foreclosed residential real estate properties and lower FDIC assessments in 2010.</w:t>
      </w:r>
    </w:p>
    <w:p>
      <w:pPr>
        <w:spacing w:after="0" w:line="59" w:lineRule="exact"/>
        <w:rPr>
          <w:sz w:val="20"/>
          <w:szCs w:val="20"/>
          <w:color w:val="auto"/>
        </w:rPr>
      </w:pPr>
    </w:p>
    <w:p>
      <w:pPr>
        <w:ind w:right="200" w:firstLine="222"/>
        <w:spacing w:after="0" w:line="288" w:lineRule="auto"/>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 income (exclusive of gains and losses from bank investment securities and gains on merger transactions), measures the relationship of noninterest operating expenses to revenues. The Company’s efficiency ratio was 53.4% and 55.2% during the quarters ended September 30, 2010 and 2009, respectively, and</w:t>
      </w:r>
    </w:p>
    <w:p>
      <w:pPr>
        <w:jc w:val="both"/>
        <w:ind w:right="180"/>
        <w:spacing w:after="0" w:line="292" w:lineRule="auto"/>
        <w:rPr>
          <w:sz w:val="20"/>
          <w:szCs w:val="20"/>
          <w:color w:val="auto"/>
        </w:rPr>
      </w:pPr>
      <w:r>
        <w:rPr>
          <w:rFonts w:ascii="Arial" w:cs="Arial" w:eastAsia="Arial" w:hAnsi="Arial"/>
          <w:sz w:val="16"/>
          <w:szCs w:val="16"/>
          <w:color w:val="auto"/>
        </w:rPr>
        <w:t>53.1% in the second quarter of 2010. The efficiency ratios for the nine months ended September 30, 2010 and 2009 were 54.1% and 57.9%, respectively. Noninterest operating expenses used in calculating the efficiency ratio exclude the amortization of core deposit and other intangible assets and the merger-related expenses noted earlier. If charges for amortization of core deposit and other intangible assets were included, the efficiency ratio for the three-month periods ended September 30, 2010 and 2009 would have been 55.0% and 57.2%, respectively, compared with 54.8% for the second quarter of 2010, and for the nine-month periods ended September 30, 2010 and 2009 would have been 55.8% and 59.9%,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for the third quarter of 2010 was $95 million, compared with $44 million in the third quarter of 2009 and $91 million in the second quarter of 2010. The provision for income taxes in the third quarter of 2009 was reduced as a result of a $10 million reversal of taxes accrued in earlier periods for previously uncertain tax positions in various jurisdictions. Exclusive of the impact of the $10 million credit to income taxes in that quarter, the effective tax rates were 33.0%, 31.5% and 32.5% in the three months ended September 30, 2010, September 30, 2009 and June 30, 2010, respectively. For the nine-month periods ended September 30, 2010 and 2009, the provision for income taxes was $254 million and $75 million, respectively, and the effective tax rates were 32.4% in 2010 and 23.6% in 2009. The effective tax rate is affected by the level of income earned that is exempt from tax relative to the overall level of pre-tax income, the level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income allocated to the various state and local jurisdictions where the Company operates, because tax rates differ among such jurisdictions, and the impact of any large but infrequently occurring items. For example, although the merger-related expenses incurred during 2009 are predominantly deductible for purposes of computing income tax expense, those charges had an impact on the effective tax rate because they lowered pre-tax income relative to the amounts of tax-exempt income and other permanent differences that impact the effective tax rate.</w:t>
      </w:r>
    </w:p>
    <w:p>
      <w:pPr>
        <w:spacing w:after="0" w:line="79"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Stockholders’ equity was $8.2 billion at September 30, 2010, representing 12.06% of total assets, compared with $7.6 billion or 11.03% of total assets a year earlier and $7.8 billion or 11.26% at December 31, 2009. Included in stockholders’ equity at those dates was $600 million of Fixed Rate Cumulative Perpetual Preferred Stock, Series A, and warrants to purchase M&amp;T common stock issued on December 23, 2008 as part of the U.S. Treasury Capital Purchase Program (“CPP”). The financial statement value of that preferred stock was $577 million at September 30, 2010, $571 million at September 30, 2009 and $573 million at December 31, 2009. Provident also participated in the CPP on November 14, 2008. As a result, Provident’s $151.5 million of preferred stock related thereto was converted to M&amp;T Fixed Rate Cumulative Perpetual Preferred Stock, Series C, with warrants to purchase M&amp;T common stock. The estimated fair value ascribed to the Series C Preferred Stock was $129 million on the May 23, 2009 acquisition date. The financial statement value of the Series C Preferred Stock was $134 million, $130 million and $131 million at September 30, 2010, September 30, 2009 and December 31, 2009, respectively. The holder of the Series A and Series C preferred stock is entitled to cumulative cash dividends of 5% per annum for five years after the date of initial issuance and 9% per annum thereafter, payable quarterly in arrears. That preferred stock is redeemable at the option of M&amp;T, subject to regulatory approval. M&amp;T also obtained another series of preferred stock as part of the Provident acquisition that was converted to $26.5 million of M&amp;T Series B Mandatory Convertible Non-Cumulative Preferred Stock, liquidation preference of $1,000 per share. The 26,500 shares of the Series B Preferred Stock will automatically convert into 433,148 shares of M&amp;T common stock on April 1, 2011. The Series B Preferred Stock pays dividends at a rate of 10% per annum on the liquidation preference of $1,000 per share, payable quarterly in arrears. The estimated acquisition date fair value of the Series B Preferred Stock was approximately equal to that stock’s $26.5 million redemption value. Further information concerning the Company’s preferred stock can be found in note 6 of Notes to Financial Statements.</w:t>
      </w:r>
    </w:p>
    <w:p>
      <w:pPr>
        <w:spacing w:after="0" w:line="7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Common stockholders’ equity was $7.5 billion, or $62.69 per share, at September 30, 2010, compared with $6.9 billion, or $58.22 per share, at September 30, 2009 and $7.0 billion, or $59.31 per share, at December 31, 2009. Tangible equity per common share, which excludes goodwill and core deposit and other intangible assets and applicable deferred tax balances, was $32.23 at the end of the recent quarter, compared with $27.03 a year earlier and $28.27 at December 31, 2009. The Company’s ratio of tangible common equity to tangible assets was 5.96% at September 30, 2010, compared with 4.89% a year earlier and 5.13% at December 31, 2009. A reconciliation of total common stockholders’ equity and tangible common equity and total assets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and tangible assets as of each of those respective dates is presented in table 2.</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Stockholders’ equity reflects accumulated other comprehensive income or loss, which includes the net after-tax impact of unrealized gains or losses on investment securities classified as available-for-sale, gains or losses associated with interest rate swap agreements designated as cash flow hedges, and adjustments to reflect the funded status of defined benefit pension and other postretirement plans. Net unrealized losses on available-for-sale investment securities, net of applicable tax effect, were $79 million, or $.66 per common share, at September 30, 2010, compared with similar losses of $248 million, or $2.09 per common share, at September 30, 2009 and $220 million, or $1.86 per common share, at December 31, 2009.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w:t>
      </w:r>
    </w:p>
    <w:p>
      <w:pPr>
        <w:spacing w:after="0" w:line="59"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Reflected in net unrealized losses at September 30, 2010 were pre-tax effect unrealized losses of $324 million on available-for-sale investment securities with an amortized cost of $1.8 billion and pre-tax effect unrealized gains of $255 million on securities with an amortized cost of $4.1 billion. The pre-tax effect unrealized losses reflect $259 million of losses on privately issued mortgage-backed securities with an amortized cost of $1.6 billion and an estimated fair value of $1.3 billion (considered Level 3 valuations) and $42 million of losses on trust preferred securities issued by financial institutions having an amortized cost of $127 million and an estimated fair value of $85 million (generally considered Level 2 valuations).</w:t>
      </w:r>
    </w:p>
    <w:p>
      <w:pPr>
        <w:spacing w:after="0" w:line="64"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Company’s privately issued mortgage-backed securities classified as available for sale are generally collateralized by prime and Alt-A residential mortgage loans as depicted in the accompanying table. Information in the table is as of September 30, 2010. As with any accounting estimate or other data, changes in fair values and investment ratings may occur at any time.</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PRIVATELY ISSUED MORTGAGE-BACKED SECURITIES CLASSIFIED AS AVAILABLE FOR SALE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jc w:val="center"/>
              <w:ind w:right="300"/>
              <w:spacing w:after="0"/>
              <w:rPr>
                <w:sz w:val="20"/>
                <w:szCs w:val="20"/>
                <w:color w:val="auto"/>
              </w:rPr>
            </w:pPr>
            <w:r>
              <w:rPr>
                <w:rFonts w:ascii="Arial" w:cs="Arial" w:eastAsia="Arial" w:hAnsi="Arial"/>
                <w:sz w:val="14"/>
                <w:szCs w:val="14"/>
                <w:color w:val="auto"/>
                <w:w w:val="90"/>
              </w:rPr>
              <w:t>As a percentage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2"/>
            <w:vMerge w:val="restart"/>
          </w:tcPr>
          <w:p>
            <w:pPr>
              <w:jc w:val="center"/>
              <w:ind w:right="600"/>
              <w:spacing w:after="0"/>
              <w:rPr>
                <w:sz w:val="20"/>
                <w:szCs w:val="20"/>
                <w:color w:val="auto"/>
              </w:rPr>
            </w:pPr>
            <w:r>
              <w:rPr>
                <w:rFonts w:ascii="Arial" w:cs="Arial" w:eastAsia="Arial" w:hAnsi="Arial"/>
                <w:sz w:val="14"/>
                <w:szCs w:val="14"/>
                <w:color w:val="auto"/>
                <w:w w:val="91"/>
              </w:rPr>
              <w:t>Net</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color w:val="auto"/>
                <w:w w:val="94"/>
              </w:rPr>
              <w:t>carrying value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5"/>
              </w:rPr>
              <w:t>Amortized</w:t>
            </w:r>
          </w:p>
        </w:tc>
        <w:tc>
          <w:tcPr>
            <w:tcW w:w="34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1"/>
              </w:rPr>
              <w:t>Fair</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unrealized</w:t>
            </w: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AAA</w:t>
            </w:r>
          </w:p>
        </w:tc>
        <w:tc>
          <w:tcPr>
            <w:tcW w:w="36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Investment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Senior</w:t>
            </w:r>
          </w:p>
        </w:tc>
        <w:tc>
          <w:tcPr>
            <w:tcW w:w="0" w:type="dxa"/>
            <w:vAlign w:val="bottom"/>
          </w:tcPr>
          <w:p>
            <w:pPr>
              <w:spacing w:after="0"/>
              <w:rPr>
                <w:sz w:val="1"/>
                <w:szCs w:val="1"/>
                <w:color w:val="auto"/>
              </w:rPr>
            </w:pPr>
          </w:p>
        </w:tc>
      </w:tr>
      <w:tr>
        <w:trPr>
          <w:trHeight w:val="167"/>
        </w:trPr>
        <w:tc>
          <w:tcPr>
            <w:tcW w:w="2740" w:type="dxa"/>
            <w:vAlign w:val="bottom"/>
            <w:gridSpan w:val="3"/>
          </w:tcPr>
          <w:p>
            <w:pPr>
              <w:spacing w:after="0"/>
              <w:rPr>
                <w:sz w:val="20"/>
                <w:szCs w:val="20"/>
                <w:color w:val="auto"/>
              </w:rPr>
            </w:pPr>
            <w:r>
              <w:rPr>
                <w:rFonts w:ascii="Arial" w:cs="Arial" w:eastAsia="Arial" w:hAnsi="Arial"/>
                <w:sz w:val="14"/>
                <w:szCs w:val="14"/>
                <w:color w:val="auto"/>
              </w:rPr>
              <w:t>Collateral type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rPr>
              <w:t>cost</w:t>
            </w:r>
          </w:p>
        </w:tc>
        <w:tc>
          <w:tcPr>
            <w:tcW w:w="34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color w:val="auto"/>
                <w:w w:val="89"/>
              </w:rPr>
              <w:t>value</w:t>
            </w: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89"/>
              </w:rPr>
              <w:t>gains(losses)</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rated</w:t>
            </w:r>
          </w:p>
        </w:tc>
        <w:tc>
          <w:tcPr>
            <w:tcW w:w="3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9"/>
              </w:rPr>
              <w:t>grade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tranche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6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Residential mortgage loans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Prime — Fixed</w:t>
            </w: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111,479</w:t>
            </w:r>
          </w:p>
        </w:tc>
        <w:tc>
          <w:tcPr>
            <w:tcW w:w="1780" w:type="dxa"/>
            <w:vAlign w:val="bottom"/>
            <w:tcBorders>
              <w:top w:val="single" w:sz="8" w:color="CCEEFF"/>
            </w:tcBorders>
            <w:gridSpan w:val="3"/>
          </w:tcPr>
          <w:p>
            <w:pPr>
              <w:jc w:val="right"/>
              <w:ind w:right="620"/>
              <w:spacing w:after="0"/>
              <w:rPr>
                <w:sz w:val="20"/>
                <w:szCs w:val="20"/>
                <w:color w:val="auto"/>
              </w:rPr>
            </w:pPr>
            <w:r>
              <w:rPr>
                <w:rFonts w:ascii="Arial" w:cs="Arial" w:eastAsia="Arial" w:hAnsi="Arial"/>
                <w:sz w:val="18"/>
                <w:szCs w:val="18"/>
                <w:color w:val="auto"/>
              </w:rPr>
              <w:t>118,447</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6,968</w:t>
            </w:r>
          </w:p>
        </w:tc>
        <w:tc>
          <w:tcPr>
            <w:tcW w:w="6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ind w:left="460"/>
              <w:spacing w:after="0"/>
              <w:rPr>
                <w:sz w:val="20"/>
                <w:szCs w:val="20"/>
                <w:color w:val="auto"/>
              </w:rPr>
            </w:pPr>
            <w:r>
              <w:rPr>
                <w:rFonts w:ascii="Arial" w:cs="Arial" w:eastAsia="Arial" w:hAnsi="Arial"/>
                <w:sz w:val="18"/>
                <w:szCs w:val="18"/>
                <w:color w:val="auto"/>
              </w:rPr>
              <w:t>69%</w:t>
            </w:r>
          </w:p>
        </w:tc>
        <w:tc>
          <w:tcPr>
            <w:tcW w:w="1720" w:type="dxa"/>
            <w:vAlign w:val="bottom"/>
            <w:tcBorders>
              <w:top w:val="single" w:sz="8" w:color="CCEEFF"/>
            </w:tcBorders>
            <w:gridSpan w:val="3"/>
          </w:tcPr>
          <w:p>
            <w:pPr>
              <w:jc w:val="right"/>
              <w:ind w:right="540"/>
              <w:spacing w:after="0"/>
              <w:rPr>
                <w:sz w:val="20"/>
                <w:szCs w:val="20"/>
                <w:color w:val="auto"/>
              </w:rPr>
            </w:pPr>
            <w:r>
              <w:rPr>
                <w:rFonts w:ascii="Arial" w:cs="Arial" w:eastAsia="Arial" w:hAnsi="Arial"/>
                <w:sz w:val="18"/>
                <w:szCs w:val="18"/>
                <w:color w:val="auto"/>
              </w:rPr>
              <w:t>71%</w:t>
            </w:r>
          </w:p>
        </w:tc>
        <w:tc>
          <w:tcPr>
            <w:tcW w:w="8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 Hybrid ARMs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1,461,848</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1,273,900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(187,948)</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Prime —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1,885</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1,697</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(188)</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Fixed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8,450</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9,863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Alt-A — Hybrid ARMs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180,554</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116,237</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(64,317)</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Option ARMs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165</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(182)</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5,232</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3,059</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(2,173)</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1,769,795</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1,523,368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(246,427)</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40" w:type="dxa"/>
            <w:vAlign w:val="bottom"/>
            <w:gridSpan w:val="3"/>
          </w:tcPr>
          <w:p>
            <w:pPr>
              <w:spacing w:after="0"/>
              <w:rPr>
                <w:sz w:val="20"/>
                <w:szCs w:val="20"/>
                <w:color w:val="auto"/>
              </w:rPr>
            </w:pPr>
            <w:r>
              <w:rPr>
                <w:rFonts w:ascii="Arial" w:cs="Arial" w:eastAsia="Arial" w:hAnsi="Arial"/>
                <w:sz w:val="18"/>
                <w:szCs w:val="18"/>
                <w:color w:val="auto"/>
              </w:rPr>
              <w:t>Commercial mortgage loans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28,116</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23,480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(4,636)</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15</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1,797,911</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1,546,848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(251,063)</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w:t>
            </w:r>
          </w:p>
        </w:tc>
        <w:tc>
          <w:tcPr>
            <w:tcW w:w="17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September 30, 2010.</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Reflecting the credit stress associated with residential mortgage loans, trading activity for privately issued mortgage-backed securities has been dramatically reduced. In estimating values for such securities, the Company was significantly restricted in the level of market observable assumptions used in the valuation of its privately issued mortgage-backed securities portfolio. Because of the relative inactivity and lack of observable valuation inputs, the Company classifies its privately issued mortgage-backed securities portfolio as Level 3. To assist in the determination of fair value for its privately issued mortgage-backed securities, the Company engaged two independent pricing sources at September 30, 2010 and December 31, 2009. In April 2009, guidance was provided by the FASB for estimating fair value when the volume and level of trading activity for an asset or liability have significantly decreased. In consideration of that guidance, the Company performed internal modeling to estimate the cash flows and fair value of 144 of its privately issued residential mortgage-backed securities with an amortized cost basis of $1.6 billion at September 30, 2010.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each of the 144 bonds under current market conditions, the Company computed values based on judgmentally applied weightings of the internal model valuations and the indications obtained from the average of the two independent pricing sources. Weightings applied to internal model valuations were generally dependent on bond structure and collateral type, with prices for bonds in non-senior tranches generally receiving lower weightings on the internal model results and greater weightings of the valuation data provided by the independent pricing sources. As a result, certain valuations of privately issued residential mortgage-backed securities were determined by reference to independent pricing sources without adjustment. The average weight placed on internal model valuations was 37%, compared with a 63% weighting on valuations provided by the independent sources. Generally, the range of weights placed on internal valuations was between 0% and 40%. Further information concerning the Company’s valuations of privately issued mortgage-backed securities can be found in note 12 of Notes to Financial Statements.</w:t>
      </w:r>
    </w:p>
    <w:p>
      <w:pPr>
        <w:spacing w:after="0" w:line="6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During the quarter ended September 30, 2010 the Company recognized $10 million (pre-tax) of other-than-temporary impairment losses related to privately issued residential mortgage-backed securities with an amortized cost basis (before impairment charge) of $207 million and securities backed by trust preferred securities issued by financial institutions with an amortized cost basis (before impairment charge) of $10 million. In assessing impairment losses for debt securities, the Company performed internal modeling to estimate bond-specific cash flows, which considered the placement of the bond in the overall securitization structure and the remaining levels of subordination. For privately issued residential mortgage-backed securities, the model utilized assumptions about the underlying performance of the mortgage loan collateral considering recent collateral performance and future assumptions regarding default and loss severity. At September 30, 2010, projected model default percentages on the underlying mortgage loan collateral ranged from 2% to 38% and loss severities ranged from 10% to 74%. For bonds in which the Company has recognized an other-than-temporary impairment charge, the weighted-average percentage of default collateral was 22% and the weighted-average loss severity was 47%. For bonds without other-than-temporary impairment losses, the weighted-average default percentage and loss severity were 10% and 36%, respectively. Underlying mortgage loan collateral cash flows, after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considering the impact of estimated credit losses, were distributed by the model to the various securities within the securitization structure to determine the timing and extent of losses at the bond-level, if any. As a result of the procedures, the Company recognized pre-tax other-than-temporary impairment losses of $7 million on privately issued mortgage-backed securities during the quarter ended September 30, 2010. Despite continuing high levels of delinquencies and losses in the underlying residential mortgage loan collateral, given credit enhancements resulting from the structures of individual bonds, the Company has concluded that as of September 30, 2010 its remaining privately issued mortgage-backed securities were not other-than-temporarily impaired. Nevertheless, given recent market conditions, it is possible that adverse changes in repayment performance and fair value could occur in the remainder of 2010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w:t>
      </w:r>
    </w:p>
    <w:p>
      <w:pPr>
        <w:spacing w:after="0" w:line="59" w:lineRule="exact"/>
        <w:rPr>
          <w:sz w:val="20"/>
          <w:szCs w:val="20"/>
          <w:color w:val="auto"/>
        </w:rPr>
      </w:pPr>
    </w:p>
    <w:p>
      <w:pPr>
        <w:ind w:right="20" w:firstLine="215"/>
        <w:spacing w:after="0" w:line="272" w:lineRule="auto"/>
        <w:rPr>
          <w:sz w:val="20"/>
          <w:szCs w:val="20"/>
          <w:color w:val="auto"/>
        </w:rPr>
      </w:pPr>
      <w:r>
        <w:rPr>
          <w:rFonts w:ascii="Arial" w:cs="Arial" w:eastAsia="Arial" w:hAnsi="Arial"/>
          <w:sz w:val="17"/>
          <w:szCs w:val="17"/>
          <w:color w:val="auto"/>
        </w:rPr>
        <w:t>At September 30, 2010, the Company also had net pre-tax unrealized losses of $2 million on $403 million of trust preferred securities issued by financial institutions, securities backed by trust preferred securities issued by financial institutions and other entities, and other debt securities (including $13 million of unrealized gains on $109 million of securities using a Level 3 valuation and $15 million of net unrealized losses on $294 million of securities classified as Level 2 valuations). Pre-tax net unrealized losses of $29 million existed on $384 million of such securities at December 31, 2009. After evaluating the expected repayment performance of financial institutions where trust preferred securities were held directly by the Company or were within the CDOs backed by trust preferred securities obtained in acquisitions, the Company recognized pre-tax other-than-temporary impairment losses of $3 million related to those securities during the quarter ended September 30, 2010.</w:t>
      </w:r>
    </w:p>
    <w:p>
      <w:pPr>
        <w:spacing w:after="0" w:line="70"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 also holds municipal bonds, mortgage-backed securities guaranteed by government agencies and certain collateralized mortgage obligations securitized by Bayview Financial Holdings, L.P. (together with its affiliates, “Bayview Financial”), a privately-held specialty mortgage finance company and the majority investor of BLG, in its held-to-maturity investment securities portfolio. The Company purchased certain private placement CMOs during the third quarter of 2008 that had been securitized by Bayview Financial. Given the Company’s relationship with Bayview Financial, at that time the Company reconsidered its intention to hold other CMOs securitized by Bayview Financial with a cost basis of $385 million and a fair value of $298 million and transferred such securities from its available-for-sale investment securities portfolio to its held-to-maturity investment securities portfolio. As a result, at September 30, 2010 and December 31, 2009, the Company had in its held-to-maturity portfolio CMOs securitized by Bayview Financial with an amortized cost basis of $325 million and $352 million, respectively, (including the effect of $61 million and $68 million, respectively, of unamortized fair value adjustment (pre-tax) residing in accumulated other comprehensive income from the time of transfer) and a fair value of $202 million and $201 million, respectively. Given the credit enhancements within each of the individual bond structures, the Company has determined that such securities were not other-than-temporarily impaired at September 30, 2010.</w:t>
      </w:r>
    </w:p>
    <w:p>
      <w:pPr>
        <w:spacing w:after="0" w:line="75" w:lineRule="exact"/>
        <w:rPr>
          <w:sz w:val="20"/>
          <w:szCs w:val="20"/>
          <w:color w:val="auto"/>
        </w:rPr>
      </w:pPr>
    </w:p>
    <w:p>
      <w:pPr>
        <w:ind w:right="280" w:firstLine="215"/>
        <w:spacing w:after="0" w:line="342" w:lineRule="auto"/>
        <w:rPr>
          <w:sz w:val="20"/>
          <w:szCs w:val="20"/>
          <w:color w:val="auto"/>
        </w:rPr>
      </w:pPr>
      <w:r>
        <w:rPr>
          <w:rFonts w:ascii="Arial" w:cs="Arial" w:eastAsia="Arial" w:hAnsi="Arial"/>
          <w:sz w:val="16"/>
          <w:szCs w:val="16"/>
          <w:color w:val="auto"/>
        </w:rPr>
        <w:t>As of September 30, 2010, based on a review of each of the remaining securities in the investment securities portfolio, the Company concluded that the declines in the values of those securities were temporary and that any additional other-than-temporary impairment charges were not appropriate at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September 30, 2010. As of that date, the Company did not intend to sell nor is it anticipated that it would be required to sell any of its impaired securities, that is where fair value is less than the cost basis of the security. The Company intends to continue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stockholders’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stockholders’ equity. Additional information concerning fair value measurements and the Company’s approach to the classification of such measurements is included in note 12 of Notes to Financial Statements.</w:t>
      </w:r>
    </w:p>
    <w:p>
      <w:pPr>
        <w:spacing w:after="0" w:line="74"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$114 million, or $.95 per common share, at September 30, 2010, $173 million, or $1.46 per common share, at September 30, 2009 and $117 million, or $.99 per common share, at December 31, 2009. During the second 2009 quarter, the Company contributed 900,000 shares of M&amp;T common stock having a then fair value of $44 million to the Company’s qualified defined benefit pension plan. Those shares were issued from previously held treasury stock.</w:t>
      </w:r>
    </w:p>
    <w:p>
      <w:pPr>
        <w:spacing w:after="0" w:line="80"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Cash dividends paid on M&amp;T’s common stock during each of the quarters ended June 30 and September 30, 2010 totaled $84 million, compared with $83 million in the quarter ended September 30, 2009, and represented a quarterly dividend payment of $.70 per common share in each of those quarters. Common stock dividends during the nine-month periods ended September 30, 2010 and 2009 were $251 million and $243 million, respectively. A cash dividend of $7.5 million, or $12.50 per share, was paid in each of the third quarters of 2010 and 2009 and in the second quarter of 2010 to the U.S. Treasury on M&amp;T’s Series A Preferred Stock, issued on December 23, 2008. For the first nine months of 2010, such dividends totaled $23 million, or $37.50 per share, compared with $19 million, or $32.22 in the corresponding 2009 period. Cash dividends of $663 thousand and $2 million ($25.00 per share and $12.50 per share) were paid on M&amp;T’s Series B and Series C Preferred Stock, respectively, during each of the quarters ended September 30, 2010, September 30, 2009 and June 30, 2010. For the nine-month periods ended September 30, 2010 and 2009, cash dividends paid on M&amp;T’s Series B Preferred Stock totaled</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 million ($75.00 per share) and $663 thousand ($25.00 per share), respectively, and on M&amp;T’s Series C Preferred Stock totaled $6 million ($37.50 per share) and $2 million ($12.50 per share), respectively.</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did not repurchase any shares of its common stock during 2009 or the first nine months of 2010.</w:t>
      </w:r>
    </w:p>
    <w:p>
      <w:pPr>
        <w:spacing w:after="0" w:line="117"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“Tier 1 leverage” ratio guideline of 3% of the quarterly average of total assets. At September 30, 2010, Tier 1 capital included trust preferred securities of $1.1 billion as described in note 5 of Notes to Financial Statements and total capital further included subordinated capital notes of $1.5 billion.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September 30, 2010 are presented in the accompanying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000" w:type="dxa"/>
            <w:vAlign w:val="bottom"/>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20" w:type="dxa"/>
            <w:vAlign w:val="bottom"/>
          </w:tcPr>
          <w:p>
            <w:pPr>
              <w:spacing w:after="0"/>
              <w:rPr>
                <w:sz w:val="14"/>
                <w:szCs w:val="14"/>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9.45%</w:t>
            </w:r>
          </w:p>
        </w:tc>
        <w:tc>
          <w:tcPr>
            <w:tcW w:w="1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8.70%</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24.26%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Total capital</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13.11%</w:t>
            </w:r>
          </w:p>
        </w:tc>
        <w:tc>
          <w:tcPr>
            <w:tcW w:w="1700" w:type="dxa"/>
            <w:vAlign w:val="bottom"/>
            <w:gridSpan w:val="2"/>
          </w:tcPr>
          <w:p>
            <w:pPr>
              <w:jc w:val="right"/>
              <w:ind w:right="228"/>
              <w:spacing w:after="0"/>
              <w:rPr>
                <w:sz w:val="20"/>
                <w:szCs w:val="20"/>
                <w:color w:val="auto"/>
              </w:rPr>
            </w:pPr>
            <w:r>
              <w:rPr>
                <w:rFonts w:ascii="Arial" w:cs="Arial" w:eastAsia="Arial" w:hAnsi="Arial"/>
                <w:sz w:val="18"/>
                <w:szCs w:val="18"/>
                <w:color w:val="auto"/>
              </w:rPr>
              <w:t>12.40%</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24.96%</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9.18%</w:t>
            </w:r>
          </w:p>
        </w:tc>
        <w:tc>
          <w:tcPr>
            <w:tcW w:w="1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8.40%</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21.77%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38"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Business Banking segment’s net income aggregated $24 million in 2010’s third quarter, down 28% from the $34 million earned in the similar 2009 quarter and 9% lower than the $27 million earned in the immediately preceding quarter. The decrease in net income as compared with the year-earlier quarter was the result of an $8 million rise in the provision for credit losses, due to higher net charge-offs of loans, combined with a $6 million decrease in net interest income, resulting from a narrowing of the net interest margin. When comparing the recent quarter with the second quarter of 2010, the primary contributor to the lower net income was a $5 million higher provision for credit losses, due to increased net charge-offs of loans. Net income recorded by the Business Banking segment totaled $76 million and $95 million for the first nine months of 2010 and 2009, respectively. The 19% decline in net income was predominantly due to a $26 million rise in the provision for credit losses, resulting from increased net loan charge-offs.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Commercial Banking segment contributed net income of $72 million for the three-month period ended September 30, 2010, 74% higher than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$41 million earned in the year-earlier quarter, but 12% below the $82 million recorded in 2010’s second quarter. As compared with the third quarter of 2009,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decline in the provision for credit losses, due to lower net charge-offs of loans, an $8 million improvement in net interest income and a $6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other noninterest expenses contributed to the favorable recent quarter performance. The higher net interest income was the result of a 23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 expansion of the net interest margin on loans and a $1.3 billion increase in average deposit balances, offset, in part, by a 24 basis point narrowing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interest margin on deposits. The lower net income in the recent quarter as compared with the second quarter of 2010 was mainly due to a $23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in the provision for credit losses, due to higher net charge-offs of loans. Net contribution for the Commercial Banking segment increased to</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$230 million in the first nine months of 2010, up 37% from the $168 million earned in the corresponding 2009 period. The main factors contributing to that improvement were a $57 million decrease in the provision for credit losses, due to lower net charge-offs of loans, and a $39 million rise in net interest income. A $2.2 billion increase in average deposit balances and a 28 basis point widening of the net interest margin on loans were the most significant factors contributing to the improved net interest income.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Net income in the Commercial Real Estate segment totaled $54 million in 2010’s third quarter, 27% above the $42 million recorded in the third quarter of 2009 and 23% higher than the $44 million earned in the quarter ended June 30, 2010. As compared with the third quarter of 2009, a $12 million decline in the provision for credit losses, due to lower net charge-offs of loans, a $7 million increase in mortgage banking revenues and a $5 million rise in net interest income were the main contributors for the recent quarter’s higher net income. The improvement in mortgage banking revenues was due to increased loan origination and sales activities. A 32 basis point widening of the net interest margin on loans and a $235 million increase in average deposit balances, partially offset by a $472 million decrease in average outstanding loan balances, contributed to the improved net interest income. The favorable recent quarter performance as compared with the second quarter of 2010 was largely attributable to an $8 million decrease in the provision for credit losses, the result of lower net charge-offs of loans, and a $6 million rise in mortgage banking revenues. Through September 30, net income for this segment increased 30% to $141 million in 2010 from $109 million in 2009. Contributing to that improvement were the following favorable factors: a $31 million rise in net interest income, the result of a 25 basis point expansion of the net interest margin on loans and increases in average loan and deposit balances of $542 million and $472 million, respectively; a $25 million decrease in the provision for credit losses, largely due to lower net charge-offs of loans; and higher revenues from mortgage banking activities of $10 million resulting from increased loan origination and sales activities. Partially offsetting those favorable factors were higher noninterest expenses, including personnel related costs ($5 million) and foreclosure-related expenses ($3 million).</w:t>
      </w:r>
    </w:p>
    <w:p>
      <w:pPr>
        <w:spacing w:after="0" w:line="67" w:lineRule="exact"/>
        <w:rPr>
          <w:sz w:val="20"/>
          <w:szCs w:val="20"/>
          <w:color w:val="auto"/>
        </w:rPr>
      </w:pPr>
    </w:p>
    <w:p>
      <w:pPr>
        <w:ind w:right="200" w:firstLine="222"/>
        <w:spacing w:after="0" w:line="284" w:lineRule="auto"/>
        <w:rPr>
          <w:sz w:val="20"/>
          <w:szCs w:val="20"/>
          <w:color w:val="auto"/>
        </w:rPr>
      </w:pPr>
      <w:r>
        <w:rPr>
          <w:rFonts w:ascii="Arial" w:cs="Arial" w:eastAsia="Arial" w:hAnsi="Arial"/>
          <w:sz w:val="16"/>
          <w:szCs w:val="16"/>
          <w:color w:val="auto"/>
        </w:rPr>
        <w:t>The Discretionary Portfolio segment incurred net losses of $3 million, $10 million and $4 million during the three-month periods ended September 30, 2010, September 30, 2009 and June 30, 2010, respectively. Reflected in each of the two most recent quarters were pre-tax other-than-temporary impairment charges of $10 million, compared with similar impairment charges of $47 million in the third quarter of 2009. The impairment charges recorded in those respective periods related predominantly to privately issued CMOs held in the Company’s available-for-sale investment securities portfolio. Excluding the impairment losses, the unfavorable performance in the recent quarter as compared with the third quarter of 2009 was attributable to a $26 million decline in net interest income, the result of a 37 basis point narrowing of this segment’s net interest margin, offset, in part, by a lower provision for credit losses of $4 million, due to lower net charge-offs of loans. The improved recent quarter results when compared with the second quarter of 2010 were due to an</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$8 million increase in net interest income, the result of a 13 basis point widening of the segment’s net interest margin, partly offset by lower income from bank owned life insurance and a higher provision for credit losses. The Discretionary Portfolio segment incurred a net loss for the first nine months of 2010 aggregating $23 million, compared with a net loss of $19 million in the similar 2009 period. Excluding the impact of impairment charges totaling $47 million and $104 million in those respective periods, the unfavorable performance in the 2010 period as compared with the 2009 period was due to an $84 million decrease in net interest income, the result of a 40 basis point narrowing of this segment’s net interest margin, partially offset by a $17 million decline in the provision for credit losses, due to lower net charge-offs of loans.</w:t>
      </w:r>
    </w:p>
    <w:p>
      <w:pPr>
        <w:spacing w:after="0" w:line="86"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Net contribution from the Residential Mortgage Banking segment totaled $9 million and $1 million in the third quarters of 2010 and 2009, respectively, compared with a net loss of $467 thousand in the second quarter of 2010. As compared with the year-earlier quarter, higher revenues from residential mortgage origination and sales activities of $6 million, a $6 million decrease in the provision for credit losses, due to lower net charge-offs of loans to builders and developers of residential real estate, and a $4</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million decline in personnel costs were partially offset by a $5 million decline in net interest income, resulting from a $365 million decrease in average outstanding loan balances. The increase in net income as compared with the previous quarter was attributable to a lower provision for credit losses of $10 million, due to reduced net charge-offs of loans to builders and developers of residential real estate, and an $8 million increase in revenues from residential mortgage origination and sales activities, offset, in part, by a $5 million rise in foreclosure-related expenses. This segment recorded $10 million of net income for the first nine months of 2010, compared with a net loss of $4 million in the similar 2009 period. A $28 million decrease in the provision for credit losses resulting from a decline in net charge-offs of loans to builders and developers of residential real estate, an $18 million decrease in foreclosure-related expenses (the result of updated appraised values on certain previously foreclosed-upon residential real estate development projects in 2009’s second quarter), and lower personnel expense of $12 million contributed to that improved performance. Those factors were partially offset by the following unfavorable items: a $13 million partial reversal of the capitalized mortgage servicing rights valuation allowance in the 2009 period (as compared with</w:t>
      </w:r>
    </w:p>
    <w:p>
      <w:pPr>
        <w:spacing w:after="0" w:line="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$3 million of expense recorded in the first three quarters of 2010) and lower revenues relating to residential mortgage origination and sales activities of $12 million.</w:t>
      </w:r>
    </w:p>
    <w:p>
      <w:pPr>
        <w:spacing w:after="0" w:line="76"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Net income recorded by the Retail Banking segment aggregated $56 million in the recent quarter, down 25% from $74 million in the third quarter of 2009 and 17% lower than $67 million in the quarter ended June 30, 2010. Contributing to the recent quarter’s decline in net income as compared with the year-earlier quarter were a $22 million decline in net interest income, due largely to a 26 basis point narrowing of the net interest margin on deposits and decreases in average deposit and loan balances of $1.0 billion and $581 million, respectively, and lower fees earned for providing deposit account services of</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$12 million. The decline in net income as compared with the second quarter of 2010 resulted largely from lower fees earned for providing deposit account services of $12 million and higher net occupancy expenses. Through September 30, net income for this segment was $182 million in 2010 and $181 million in 2009. A $20 million rise in fees earned for providing deposit services, a reduction in the provision for credit losses of $13 million, due to lower net charge-offs of loans, and a $10 million decline in FDIC assessments were predominantly offset by a $30 million decline in net interest income and higher net occupancy and personnel expenses of $9 million and $5 million, respectively. The lower net interest income was the result of a 28 basis point narrowing of the net interest margin on deposits, partially offset by increases in average loan and deposit balances of $259 million and $171 million, respectively.</w:t>
      </w:r>
    </w:p>
    <w:p>
      <w:pPr>
        <w:spacing w:after="0" w:line="56"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equity in the earnings (loss)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various components of the “All Other” category resulted in net losses of $20 million in the recently completed quarter, compared with net losses in the year-earlier quarter and the second quarter of 2010 of $54 million and $26 million, respectively. The lower net loss in the third quarter of 2010 as compared with the corresponding 2009 quarter was due to the favorable impact from the Company’s allocation methodologies for internal transfers for funding charges and credits associated with the earning assets and interest-bearing liabilities of the Company’s reportable segments and the provision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credit losses, and $14 million of merger-related expenses in the 2009 period associated with the Provident and Bradford acquisition transactions, partially offset by the $29 million (pre-tax) merger-related gain recorded on the Bradford transaction in the third quarter of 2009. The improved performance as compared with the second quarter of 2010 was largely the result of a $12 million OTTI charge recorded in 2010’s second quarter relating to AIB ADSs, which were obtained in M&amp;T’s acquisition of Allfirst in 2003. For the first nine months of 2010, the “All Other” category reported a net loss of $84 million, compared with a net loss of $286 million in the similar 2009 period. The improved performance was largely due to the favorable impact from the Company’s allocation methodologies for internal transfers for funding charges and credits associated with the earning assets and interest-bearing liabilities of the Company’s reportable segments and the provision for credit losses, as well as the impact of net merger-related expenses recorded in 2009 totaling $54 million. There were no merger-related expenses in 2010.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June 2009, the FASB amended accounting guidance relating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 The amended guidance became effective as of January 1, 2010.</w:t>
      </w:r>
    </w:p>
    <w:p>
      <w:pPr>
        <w:spacing w:after="0" w:line="8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June 2009, the FASB also issued amended accounting guidance relating to accounting for transfers of financial assets to eliminate the exceptions for qualifying special-purpose entities from the consolidation guidance and the exception that permitted sale accounting for certain mortgage securitizations when a transferor has not surrendered control over the transferred assets. The amended guidance became effective as of January 1, 2010. The recognition and measurement provisions of the amended guidance were applied to transfers that occur on or after the effective date. Additionally, beginning January 1, 2010, the concept of a qualifying special-purpose entity is no longer relevant for accounting purposes. Therefore, formerly qualifying special-purpose entities must now be evaluated for consolidation in accordance with applicable consolidation guidance, including the new accounting guidance relating to the consolidation of variable interest entities discussed in the previous paragraph.</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Effective January 1, 2010, the Company included in its consolidated financial statements one-to-four family residential mortgage loans that were included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two separate non-recourse securitization transactions using qualified special trusts. The effect of that consolidation was to increase loans receivable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$424 million, decrease the amortized cost of available-for-sale investment securities by $360 million (fair value of $355 million), and increase borrowings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$65 million as of January 1, 2010. Information concerning these securitization transactions is included in note 11 of Notes to Financial Statements.</w:t>
      </w:r>
    </w:p>
    <w:p>
      <w:pPr>
        <w:spacing w:after="0" w:line="114"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January 2010, the FASB amended fair value measurement and disclosure guidance to require disclosure of significant transfers in and out of Level 1 and Level 2 fair value measurements and the reasons for the transfers and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require separate presentation of information about purchases, sales, issuances and settlements in the rollforward of activity in Level 3 fair value measurements. The amended guidance also clarifies existing requirements that (i) fair value measurement disclosures should be disaggregated for each class of asset and liability and (ii) disclosures about valuation techniques and inputs for both recurring and nonrecurring Level 2 and Level 3 fair value measurements should be provided. The guidance is effective for interim and annual periods beginning after December 15, 2009, except for the disclosures about purchases, sales, issuances and settlements in the rollforward of activity in Level 3 fair value measurements, which are effective for fiscal years beginning after December 15, 2010 and for interim periods within those years. The adoption of this guidance did not impact the Company’s financial position or results of operations.</w:t>
      </w:r>
    </w:p>
    <w:p>
      <w:pPr>
        <w:spacing w:after="0" w:line="8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March 2010, the FASB amended accounting guidance relating to a scope exception for derivative accounting to clarify that only embedded credit derivative features related to the transfer of credit risk in the form of subordination of one financial instrument to another should not be analyzed for potential bifurcation from the host contract and separate accounting as a derivative. Embedded credit derivative features in a form other than subordination do not qualify for the scope exception, even if their effects are allocated according to subordination provisions. The guidance was effective at the beginning of the first quarter beginning after June 15, 2010. The adoption of this guidance did not have a significant impact on the reporting of the Company’s financial position or results of operations.</w:t>
      </w:r>
    </w:p>
    <w:p>
      <w:pPr>
        <w:spacing w:after="0" w:line="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April 2010, the FASB issued amended accounting guidance relating to the effect of a loan modification when the loan is part of a pool that is accounted for as a single asset under the guidance for loans and debt securities acquired with deteriorated credit quality. The amended guidance requires modifications of loans that are accounted for within a pool to remain in the pool even if the modification would be considered a troubled debt restructuring. Companies are required to continue to review the pool of assets in which the modified loan is included to determine whether the pool is impaired if the expected cash flows for the pool change. The guidance was effective for prospective modifications of loans accounted for within pools occurring in the first interim or annual period ending on or after July 15, 2010. The adoption of this guidance did not have a significant impact on the reporting of the Company’s financial position or results of operations.</w:t>
      </w:r>
    </w:p>
    <w:p>
      <w:pPr>
        <w:spacing w:after="0" w:line="8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 July 2010, the FASB issued amended disclosure guidance relating to credit risk inherent in an entity’s portfolio of financing receivables and the related allowance for credit losses. The amended disclosures will be required at two disaggregated levels. One level of disaggregation is the portfolio segment which represents the level at which an entity develops and documents a systematic method for determining its allowance for credit losses. The second level of disaggregation is the class of financing receivables which generally represents a disaggregation of a portfolio segment. The amended disclosures include a rollforward of the allowance for credit losses by portfolio segment with the ending balance further disaggregated on the basis of the impairment method, the related recorded investment in each portfolio segment, the nonaccrual status of financing receivables by class, the impaired financing receivables by class, the credit quality indicators of financing receivables at the end of the reporting period by class, the aging of past due financing receivables at the end of the reporting period by class, the nature and extent of troubled debt restructurings that occurred during the period by class and their effect on the allowance for credit losses, the nature and extent of financing receivables modified as troubled debt restructurings within the previous twelve months that defaulted during the reporting period by class and their effect on the allowance for credit losses, and the significant purchases and sales of financing receivables during the reporting period by portfolio</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segment. The disclosures as of the end of a reporting period are effective for interim and annual reporting periods ending on or after December 15, 2010 and the disclosures about activity that occurs during a reporting period are effective for interim and annual reporting periods beginning on or after December 15, 2010. Upon initial application, the disclosures are not required for earlier periods that are presented for comparative purposes. The Company intends to comply with the disclosure requirements when they become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color w:val="auto"/>
                <w:w w:val="89"/>
              </w:rPr>
              <w:t>Table 1</w:t>
            </w:r>
          </w:p>
        </w:tc>
      </w:tr>
      <w:tr>
        <w:trPr>
          <w:trHeight w:val="418"/>
        </w:trPr>
        <w:tc>
          <w:tcPr>
            <w:tcW w:w="248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2010 Quarters</w:t>
            </w:r>
          </w:p>
        </w:tc>
        <w:tc>
          <w:tcPr>
            <w:tcW w:w="1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Quarters</w:t>
            </w: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Third</w:t>
            </w:r>
          </w:p>
        </w:tc>
        <w:tc>
          <w:tcPr>
            <w:tcW w:w="144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Second</w:t>
            </w:r>
          </w:p>
        </w:tc>
        <w:tc>
          <w:tcPr>
            <w:tcW w:w="128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First</w:t>
            </w:r>
          </w:p>
        </w:tc>
        <w:tc>
          <w:tcPr>
            <w:tcW w:w="130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Fourth</w:t>
            </w:r>
          </w:p>
        </w:tc>
        <w:tc>
          <w:tcPr>
            <w:tcW w:w="1720" w:type="dxa"/>
            <w:vAlign w:val="bottom"/>
            <w:tcBorders>
              <w:bottom w:val="single" w:sz="8" w:color="auto"/>
            </w:tcBorders>
          </w:tcPr>
          <w:p>
            <w:pPr>
              <w:jc w:val="right"/>
              <w:ind w:right="868"/>
              <w:spacing w:after="0" w:line="142" w:lineRule="exact"/>
              <w:rPr>
                <w:sz w:val="20"/>
                <w:szCs w:val="20"/>
                <w:color w:val="auto"/>
              </w:rPr>
            </w:pPr>
            <w:r>
              <w:rPr>
                <w:rFonts w:ascii="Arial" w:cs="Arial" w:eastAsia="Arial" w:hAnsi="Arial"/>
                <w:sz w:val="14"/>
                <w:szCs w:val="14"/>
                <w:color w:val="auto"/>
              </w:rPr>
              <w:t>Third</w:t>
            </w:r>
          </w:p>
        </w:tc>
        <w:tc>
          <w:tcPr>
            <w:tcW w:w="96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w w:val="88"/>
              </w:rPr>
              <w:t>Second</w:t>
            </w:r>
          </w:p>
        </w:tc>
        <w:tc>
          <w:tcPr>
            <w:tcW w:w="11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and dividends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i w:val="1"/>
                <w:iCs w:val="1"/>
                <w:color w:val="auto"/>
              </w:rPr>
              <w:t>Amounts in thousands, except per</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60" w:type="dxa"/>
            <w:vAlign w:val="bottom"/>
          </w:tcPr>
          <w:p>
            <w:pPr>
              <w:ind w:left="200"/>
              <w:spacing w:after="0"/>
              <w:rPr>
                <w:sz w:val="20"/>
                <w:szCs w:val="20"/>
                <w:color w:val="auto"/>
              </w:rPr>
            </w:pPr>
            <w:r>
              <w:rPr>
                <w:rFonts w:ascii="Arial" w:cs="Arial" w:eastAsia="Arial" w:hAnsi="Arial"/>
                <w:sz w:val="14"/>
                <w:szCs w:val="14"/>
                <w:i w:val="1"/>
                <w:iCs w:val="1"/>
                <w:color w:val="auto"/>
              </w:rPr>
              <w:t>share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Interest income (taxable-equivalent</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basis)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86"/>
              </w:rPr>
              <w:t>691,765</w:t>
            </w:r>
          </w:p>
        </w:tc>
        <w:tc>
          <w:tcPr>
            <w:tcW w:w="14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690,889</w:t>
            </w:r>
          </w:p>
        </w:tc>
        <w:tc>
          <w:tcPr>
            <w:tcW w:w="12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682,309</w:t>
            </w:r>
          </w:p>
        </w:tc>
        <w:tc>
          <w:tcPr>
            <w:tcW w:w="13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698,556</w:t>
            </w:r>
          </w:p>
        </w:tc>
        <w:tc>
          <w:tcPr>
            <w:tcW w:w="172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706,388</w:t>
            </w:r>
          </w:p>
        </w:tc>
        <w:tc>
          <w:tcPr>
            <w:tcW w:w="9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86"/>
              </w:rPr>
              <w:t>682,637</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659,445</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4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w w:val="86"/>
              </w:rPr>
              <w:t>116,032</w:t>
            </w:r>
          </w:p>
        </w:tc>
        <w:tc>
          <w:tcPr>
            <w:tcW w:w="144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117,557</w:t>
            </w:r>
          </w:p>
        </w:tc>
        <w:tc>
          <w:tcPr>
            <w:tcW w:w="128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120,052</w:t>
            </w:r>
          </w:p>
        </w:tc>
        <w:tc>
          <w:tcPr>
            <w:tcW w:w="130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133,950</w:t>
            </w:r>
          </w:p>
        </w:tc>
        <w:tc>
          <w:tcPr>
            <w:tcW w:w="1720" w:type="dxa"/>
            <w:vAlign w:val="bottom"/>
            <w:tcBorders>
              <w:bottom w:val="single" w:sz="8" w:color="auto"/>
            </w:tcBorders>
          </w:tcPr>
          <w:p>
            <w:pPr>
              <w:jc w:val="right"/>
              <w:ind w:right="808"/>
              <w:spacing w:after="0" w:line="149" w:lineRule="exact"/>
              <w:rPr>
                <w:sz w:val="20"/>
                <w:szCs w:val="20"/>
                <w:color w:val="auto"/>
              </w:rPr>
            </w:pPr>
            <w:r>
              <w:rPr>
                <w:rFonts w:ascii="Arial" w:cs="Arial" w:eastAsia="Arial" w:hAnsi="Arial"/>
                <w:sz w:val="14"/>
                <w:szCs w:val="14"/>
                <w:color w:val="auto"/>
              </w:rPr>
              <w:t>152,938</w:t>
            </w:r>
          </w:p>
        </w:tc>
        <w:tc>
          <w:tcPr>
            <w:tcW w:w="96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w w:val="86"/>
              </w:rPr>
              <w:t>175,856</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206,705</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575,733</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573,332</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562,257</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564,606</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553,450</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86"/>
              </w:rPr>
              <w:t>506,781</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452,740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Less: provision for credit losses</w:t>
            </w:r>
          </w:p>
        </w:tc>
        <w:tc>
          <w:tcPr>
            <w:tcW w:w="26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93,000</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85,000</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105,000</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145,000</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154,000</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w w:val="86"/>
              </w:rPr>
              <w:t>147,000</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158,000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289,899</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273,557</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257,706</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265,890</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278,226</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86"/>
              </w:rPr>
              <w:t>271,649</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232,341</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Less: other expense</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w w:val="86"/>
              </w:rPr>
              <w:t>480,133</w:t>
            </w:r>
          </w:p>
        </w:tc>
        <w:tc>
          <w:tcPr>
            <w:tcW w:w="144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476,068</w:t>
            </w:r>
          </w:p>
        </w:tc>
        <w:tc>
          <w:tcPr>
            <w:tcW w:w="128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489,362</w:t>
            </w:r>
          </w:p>
        </w:tc>
        <w:tc>
          <w:tcPr>
            <w:tcW w:w="130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478,451</w:t>
            </w:r>
          </w:p>
        </w:tc>
        <w:tc>
          <w:tcPr>
            <w:tcW w:w="1720" w:type="dxa"/>
            <w:vAlign w:val="bottom"/>
            <w:tcBorders>
              <w:bottom w:val="single" w:sz="8" w:color="auto"/>
            </w:tcBorders>
          </w:tcPr>
          <w:p>
            <w:pPr>
              <w:jc w:val="right"/>
              <w:ind w:right="808"/>
              <w:spacing w:after="0" w:line="149" w:lineRule="exact"/>
              <w:rPr>
                <w:sz w:val="20"/>
                <w:szCs w:val="20"/>
                <w:color w:val="auto"/>
              </w:rPr>
            </w:pPr>
            <w:r>
              <w:rPr>
                <w:rFonts w:ascii="Arial" w:cs="Arial" w:eastAsia="Arial" w:hAnsi="Arial"/>
                <w:sz w:val="14"/>
                <w:szCs w:val="14"/>
                <w:color w:val="auto"/>
              </w:rPr>
              <w:t>500,056</w:t>
            </w:r>
          </w:p>
        </w:tc>
        <w:tc>
          <w:tcPr>
            <w:tcW w:w="96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w w:val="86"/>
              </w:rPr>
              <w:t>563,710</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438,346</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292,499</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285,821</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225,601</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207,045</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177,620</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67,720</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88,735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Applicable income taxes</w:t>
            </w:r>
          </w:p>
        </w:tc>
        <w:tc>
          <w:tcPr>
            <w:tcW w:w="26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94,619</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90,967</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68,723</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64,340</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44,161</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11,318</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19,581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Taxable-equivalent adjustment</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5,865</w:t>
            </w:r>
          </w:p>
        </w:tc>
        <w:tc>
          <w:tcPr>
            <w:tcW w:w="144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6,105</w:t>
            </w:r>
          </w:p>
        </w:tc>
        <w:tc>
          <w:tcPr>
            <w:tcW w:w="12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5,923</w:t>
            </w:r>
          </w:p>
        </w:tc>
        <w:tc>
          <w:tcPr>
            <w:tcW w:w="130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5,887</w:t>
            </w:r>
          </w:p>
        </w:tc>
        <w:tc>
          <w:tcPr>
            <w:tcW w:w="1720" w:type="dxa"/>
            <w:vAlign w:val="bottom"/>
            <w:tcBorders>
              <w:bottom w:val="single" w:sz="8" w:color="auto"/>
            </w:tcBorders>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5,795</w:t>
            </w:r>
          </w:p>
        </w:tc>
        <w:tc>
          <w:tcPr>
            <w:tcW w:w="96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5,214</w:t>
            </w:r>
          </w:p>
        </w:tc>
        <w:tc>
          <w:tcPr>
            <w:tcW w:w="112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4,933</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24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w w:val="86"/>
              </w:rPr>
              <w:t>192,015</w:t>
            </w:r>
          </w:p>
        </w:tc>
        <w:tc>
          <w:tcPr>
            <w:tcW w:w="144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rPr>
              <w:t>188,749</w:t>
            </w:r>
          </w:p>
        </w:tc>
        <w:tc>
          <w:tcPr>
            <w:tcW w:w="12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150,955</w:t>
            </w:r>
          </w:p>
        </w:tc>
        <w:tc>
          <w:tcPr>
            <w:tcW w:w="13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136,818</w:t>
            </w:r>
          </w:p>
        </w:tc>
        <w:tc>
          <w:tcPr>
            <w:tcW w:w="1720" w:type="dxa"/>
            <w:vAlign w:val="bottom"/>
            <w:tcBorders>
              <w:bottom w:val="single" w:sz="8" w:color="auto"/>
            </w:tcBorders>
          </w:tcPr>
          <w:p>
            <w:pPr>
              <w:jc w:val="right"/>
              <w:ind w:right="808"/>
              <w:spacing w:after="0" w:line="155" w:lineRule="exact"/>
              <w:rPr>
                <w:sz w:val="20"/>
                <w:szCs w:val="20"/>
                <w:color w:val="auto"/>
              </w:rPr>
            </w:pPr>
            <w:r>
              <w:rPr>
                <w:rFonts w:ascii="Arial" w:cs="Arial" w:eastAsia="Arial" w:hAnsi="Arial"/>
                <w:sz w:val="14"/>
                <w:szCs w:val="14"/>
                <w:color w:val="auto"/>
              </w:rPr>
              <w:t>127,664</w:t>
            </w:r>
          </w:p>
        </w:tc>
        <w:tc>
          <w:tcPr>
            <w:tcW w:w="96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51,188</w:t>
            </w:r>
          </w:p>
        </w:tc>
        <w:tc>
          <w:tcPr>
            <w:tcW w:w="11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64,221</w:t>
            </w:r>
          </w:p>
        </w:tc>
        <w:tc>
          <w:tcPr>
            <w:tcW w:w="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available to common</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86"/>
              </w:rPr>
              <w:t>179,306</w:t>
            </w:r>
          </w:p>
        </w:tc>
        <w:tc>
          <w:tcPr>
            <w:tcW w:w="14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176,088</w:t>
            </w:r>
          </w:p>
        </w:tc>
        <w:tc>
          <w:tcPr>
            <w:tcW w:w="12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138,341</w:t>
            </w:r>
          </w:p>
        </w:tc>
        <w:tc>
          <w:tcPr>
            <w:tcW w:w="13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124,251</w:t>
            </w:r>
          </w:p>
        </w:tc>
        <w:tc>
          <w:tcPr>
            <w:tcW w:w="172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115,143</w:t>
            </w:r>
          </w:p>
        </w:tc>
        <w:tc>
          <w:tcPr>
            <w:tcW w:w="9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40,964</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55,322</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Per common share data</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 earnings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1.49</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1.47</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1.16</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1.05</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.97</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.36</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Diluted earnings</w:t>
            </w:r>
          </w:p>
        </w:tc>
        <w:tc>
          <w:tcPr>
            <w:tcW w:w="26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1.48</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1.46</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1.15</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1.04</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.97</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.36</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.70</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.70</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.70</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.70</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.70</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.70</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Average common shares outstanding</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118,320</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118,054</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117,765</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117,506</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117,370</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86"/>
              </w:rPr>
              <w:t>113,218</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110,439</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w w:val="86"/>
              </w:rPr>
              <w:t>119,155</w:t>
            </w:r>
          </w:p>
        </w:tc>
        <w:tc>
          <w:tcPr>
            <w:tcW w:w="144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118,878</w:t>
            </w:r>
          </w:p>
        </w:tc>
        <w:tc>
          <w:tcPr>
            <w:tcW w:w="128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118,256</w:t>
            </w:r>
          </w:p>
        </w:tc>
        <w:tc>
          <w:tcPr>
            <w:tcW w:w="130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117,672</w:t>
            </w:r>
          </w:p>
        </w:tc>
        <w:tc>
          <w:tcPr>
            <w:tcW w:w="1720" w:type="dxa"/>
            <w:vAlign w:val="bottom"/>
            <w:tcBorders>
              <w:bottom w:val="single" w:sz="8" w:color="auto"/>
            </w:tcBorders>
          </w:tcPr>
          <w:p>
            <w:pPr>
              <w:jc w:val="right"/>
              <w:ind w:right="808"/>
              <w:spacing w:after="0" w:line="149" w:lineRule="exact"/>
              <w:rPr>
                <w:sz w:val="20"/>
                <w:szCs w:val="20"/>
                <w:color w:val="auto"/>
              </w:rPr>
            </w:pPr>
            <w:r>
              <w:rPr>
                <w:rFonts w:ascii="Arial" w:cs="Arial" w:eastAsia="Arial" w:hAnsi="Arial"/>
                <w:sz w:val="14"/>
                <w:szCs w:val="14"/>
                <w:color w:val="auto"/>
              </w:rPr>
              <w:t>117,547</w:t>
            </w:r>
          </w:p>
        </w:tc>
        <w:tc>
          <w:tcPr>
            <w:tcW w:w="96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w w:val="86"/>
              </w:rPr>
              <w:t>113,521</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110,439</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Performance ratios, annualized</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Return on</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assets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1.12%</w:t>
            </w:r>
          </w:p>
        </w:tc>
        <w:tc>
          <w:tcPr>
            <w:tcW w:w="14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1.11%</w:t>
            </w:r>
          </w:p>
        </w:tc>
        <w:tc>
          <w:tcPr>
            <w:tcW w:w="12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.89%</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.79%</w:t>
            </w:r>
          </w:p>
        </w:tc>
        <w:tc>
          <w:tcPr>
            <w:tcW w:w="1720" w:type="dxa"/>
            <w:vAlign w:val="bottom"/>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rPr>
              <w:t>.73%</w:t>
            </w:r>
          </w:p>
        </w:tc>
        <w:tc>
          <w:tcPr>
            <w:tcW w:w="9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.31%</w:t>
            </w:r>
          </w:p>
        </w:tc>
        <w:tc>
          <w:tcPr>
            <w:tcW w:w="11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60" w:type="dxa"/>
            <w:vAlign w:val="bottom"/>
          </w:tcPr>
          <w:p>
            <w:pPr>
              <w:ind w:left="200"/>
              <w:spacing w:after="0" w:line="130" w:lineRule="exact"/>
              <w:rPr>
                <w:sz w:val="20"/>
                <w:szCs w:val="20"/>
                <w:color w:val="auto"/>
              </w:rPr>
            </w:pPr>
            <w:r>
              <w:rPr>
                <w:rFonts w:ascii="Arial" w:cs="Arial" w:eastAsia="Arial" w:hAnsi="Arial"/>
                <w:sz w:val="14"/>
                <w:szCs w:val="14"/>
                <w:color w:val="auto"/>
              </w:rPr>
              <w:t>Average common stockholders’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60" w:type="dxa"/>
            <w:vAlign w:val="bottom"/>
          </w:tcPr>
          <w:p>
            <w:pPr>
              <w:ind w:left="400"/>
              <w:spacing w:after="0"/>
              <w:rPr>
                <w:sz w:val="20"/>
                <w:szCs w:val="20"/>
                <w:color w:val="auto"/>
              </w:rPr>
            </w:pPr>
            <w:r>
              <w:rPr>
                <w:rFonts w:ascii="Arial" w:cs="Arial" w:eastAsia="Arial" w:hAnsi="Arial"/>
                <w:sz w:val="14"/>
                <w:szCs w:val="14"/>
                <w:color w:val="auto"/>
              </w:rPr>
              <w:t>equity</w:t>
            </w:r>
          </w:p>
        </w:tc>
        <w:tc>
          <w:tcPr>
            <w:tcW w:w="26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9.56%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9.67%</w:t>
            </w:r>
          </w:p>
        </w:tc>
        <w:tc>
          <w:tcPr>
            <w:tcW w:w="1280" w:type="dxa"/>
            <w:vAlign w:val="bottom"/>
          </w:tcPr>
          <w:p>
            <w:pPr>
              <w:jc w:val="right"/>
              <w:ind w:right="308"/>
              <w:spacing w:after="0"/>
              <w:rPr>
                <w:sz w:val="20"/>
                <w:szCs w:val="20"/>
                <w:color w:val="auto"/>
              </w:rPr>
            </w:pPr>
            <w:r>
              <w:rPr>
                <w:rFonts w:ascii="Arial" w:cs="Arial" w:eastAsia="Arial" w:hAnsi="Arial"/>
                <w:sz w:val="14"/>
                <w:szCs w:val="14"/>
                <w:color w:val="auto"/>
              </w:rPr>
              <w:t>7.86%</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7.09%</w:t>
            </w:r>
          </w:p>
        </w:tc>
        <w:tc>
          <w:tcPr>
            <w:tcW w:w="1720" w:type="dxa"/>
            <w:vAlign w:val="bottom"/>
          </w:tcPr>
          <w:p>
            <w:pPr>
              <w:jc w:val="right"/>
              <w:ind w:right="688"/>
              <w:spacing w:after="0"/>
              <w:rPr>
                <w:sz w:val="20"/>
                <w:szCs w:val="20"/>
                <w:color w:val="auto"/>
              </w:rPr>
            </w:pPr>
            <w:r>
              <w:rPr>
                <w:rFonts w:ascii="Arial" w:cs="Arial" w:eastAsia="Arial" w:hAnsi="Arial"/>
                <w:sz w:val="14"/>
                <w:szCs w:val="14"/>
                <w:color w:val="auto"/>
              </w:rPr>
              <w:t>6.72%</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2.53%</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3.61%</w:t>
            </w:r>
          </w:p>
        </w:tc>
        <w:tc>
          <w:tcPr>
            <w:tcW w:w="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interest margin on average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 (taxable-equivalent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basis)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3.87%</w:t>
            </w:r>
          </w:p>
        </w:tc>
        <w:tc>
          <w:tcPr>
            <w:tcW w:w="14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3.84%</w:t>
            </w:r>
          </w:p>
        </w:tc>
        <w:tc>
          <w:tcPr>
            <w:tcW w:w="12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3.78%</w:t>
            </w:r>
          </w:p>
        </w:tc>
        <w:tc>
          <w:tcPr>
            <w:tcW w:w="13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3.71%</w:t>
            </w:r>
          </w:p>
        </w:tc>
        <w:tc>
          <w:tcPr>
            <w:tcW w:w="172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3.61%</w:t>
            </w:r>
          </w:p>
        </w:tc>
        <w:tc>
          <w:tcPr>
            <w:tcW w:w="9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3.43%</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3.19%</w:t>
            </w:r>
          </w:p>
        </w:tc>
        <w:tc>
          <w:tcPr>
            <w:tcW w:w="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Nonaccrual loans to total loans and</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60" w:type="dxa"/>
            <w:vAlign w:val="bottom"/>
          </w:tcPr>
          <w:p>
            <w:pPr>
              <w:ind w:left="200"/>
              <w:spacing w:after="0"/>
              <w:rPr>
                <w:sz w:val="20"/>
                <w:szCs w:val="20"/>
                <w:color w:val="auto"/>
              </w:rPr>
            </w:pPr>
            <w:r>
              <w:rPr>
                <w:rFonts w:ascii="Arial" w:cs="Arial" w:eastAsia="Arial" w:hAnsi="Arial"/>
                <w:sz w:val="14"/>
                <w:szCs w:val="14"/>
                <w:color w:val="auto"/>
              </w:rPr>
              <w:t>leases, net of unearned discount</w:t>
            </w:r>
          </w:p>
        </w:tc>
        <w:tc>
          <w:tcPr>
            <w:tcW w:w="26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2.16%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2.13%</w:t>
            </w:r>
          </w:p>
        </w:tc>
        <w:tc>
          <w:tcPr>
            <w:tcW w:w="1280" w:type="dxa"/>
            <w:vAlign w:val="bottom"/>
          </w:tcPr>
          <w:p>
            <w:pPr>
              <w:jc w:val="right"/>
              <w:ind w:right="308"/>
              <w:spacing w:after="0"/>
              <w:rPr>
                <w:sz w:val="20"/>
                <w:szCs w:val="20"/>
                <w:color w:val="auto"/>
              </w:rPr>
            </w:pPr>
            <w:r>
              <w:rPr>
                <w:rFonts w:ascii="Arial" w:cs="Arial" w:eastAsia="Arial" w:hAnsi="Arial"/>
                <w:sz w:val="14"/>
                <w:szCs w:val="14"/>
                <w:color w:val="auto"/>
              </w:rPr>
              <w:t>2.60%</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2.56%</w:t>
            </w:r>
          </w:p>
        </w:tc>
        <w:tc>
          <w:tcPr>
            <w:tcW w:w="1720" w:type="dxa"/>
            <w:vAlign w:val="bottom"/>
          </w:tcPr>
          <w:p>
            <w:pPr>
              <w:jc w:val="right"/>
              <w:ind w:right="688"/>
              <w:spacing w:after="0"/>
              <w:rPr>
                <w:sz w:val="20"/>
                <w:szCs w:val="20"/>
                <w:color w:val="auto"/>
              </w:rPr>
            </w:pPr>
            <w:r>
              <w:rPr>
                <w:rFonts w:ascii="Arial" w:cs="Arial" w:eastAsia="Arial" w:hAnsi="Arial"/>
                <w:sz w:val="14"/>
                <w:szCs w:val="14"/>
                <w:color w:val="auto"/>
              </w:rPr>
              <w:t>2.35%</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2.11%</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Efficiency ratio (a)</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54.95%</w:t>
            </w:r>
          </w:p>
        </w:tc>
        <w:tc>
          <w:tcPr>
            <w:tcW w:w="144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54.77%</w:t>
            </w:r>
          </w:p>
        </w:tc>
        <w:tc>
          <w:tcPr>
            <w:tcW w:w="128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57.82%</w:t>
            </w:r>
          </w:p>
        </w:tc>
        <w:tc>
          <w:tcPr>
            <w:tcW w:w="130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54.62%</w:t>
            </w:r>
          </w:p>
        </w:tc>
        <w:tc>
          <w:tcPr>
            <w:tcW w:w="1720" w:type="dxa"/>
            <w:vAlign w:val="bottom"/>
            <w:tcBorders>
              <w:bottom w:val="single" w:sz="8" w:color="auto"/>
            </w:tcBorders>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rPr>
              <w:t>57.21%</w:t>
            </w:r>
          </w:p>
        </w:tc>
        <w:tc>
          <w:tcPr>
            <w:tcW w:w="9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61.93%</w:t>
            </w:r>
          </w:p>
        </w:tc>
        <w:tc>
          <w:tcPr>
            <w:tcW w:w="112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60.82%</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60" w:type="dxa"/>
            <w:vAlign w:val="bottom"/>
          </w:tcPr>
          <w:p>
            <w:pPr>
              <w:spacing w:after="0" w:line="155" w:lineRule="exact"/>
              <w:rPr>
                <w:sz w:val="20"/>
                <w:szCs w:val="20"/>
                <w:color w:val="auto"/>
              </w:rPr>
            </w:pPr>
            <w:r>
              <w:rPr>
                <w:rFonts w:ascii="Arial" w:cs="Arial" w:eastAsia="Arial" w:hAnsi="Arial"/>
                <w:sz w:val="14"/>
                <w:szCs w:val="14"/>
                <w:b w:val="1"/>
                <w:bCs w:val="1"/>
                <w:color w:val="auto"/>
              </w:rPr>
              <w:t>Net operating (tangible) results (b)</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operating income (in thousands)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86"/>
              </w:rPr>
              <w:t>200,225</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197,752</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160,953</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150,776</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128,761</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86"/>
              </w:rPr>
              <w:t>100,805</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75,034</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Diluted net operating income per</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60" w:type="dxa"/>
            <w:vAlign w:val="bottom"/>
          </w:tcPr>
          <w:p>
            <w:pPr>
              <w:ind w:left="200"/>
              <w:spacing w:after="0"/>
              <w:rPr>
                <w:sz w:val="20"/>
                <w:szCs w:val="20"/>
                <w:color w:val="auto"/>
              </w:rPr>
            </w:pPr>
            <w:r>
              <w:rPr>
                <w:rFonts w:ascii="Arial" w:cs="Arial" w:eastAsia="Arial" w:hAnsi="Arial"/>
                <w:sz w:val="14"/>
                <w:szCs w:val="14"/>
                <w:color w:val="auto"/>
              </w:rPr>
              <w:t>common share</w:t>
            </w:r>
          </w:p>
        </w:tc>
        <w:tc>
          <w:tcPr>
            <w:tcW w:w="26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1.55</w:t>
            </w:r>
          </w:p>
        </w:tc>
        <w:tc>
          <w:tcPr>
            <w:tcW w:w="1440" w:type="dxa"/>
            <w:vAlign w:val="bottom"/>
          </w:tcPr>
          <w:p>
            <w:pPr>
              <w:jc w:val="right"/>
              <w:ind w:right="448"/>
              <w:spacing w:after="0"/>
              <w:rPr>
                <w:sz w:val="20"/>
                <w:szCs w:val="20"/>
                <w:color w:val="auto"/>
              </w:rPr>
            </w:pPr>
            <w:r>
              <w:rPr>
                <w:rFonts w:ascii="Arial" w:cs="Arial" w:eastAsia="Arial" w:hAnsi="Arial"/>
                <w:sz w:val="14"/>
                <w:szCs w:val="14"/>
                <w:color w:val="auto"/>
              </w:rPr>
              <w:t>1.53</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1.23</w:t>
            </w: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1.16</w:t>
            </w:r>
          </w:p>
        </w:tc>
        <w:tc>
          <w:tcPr>
            <w:tcW w:w="1720" w:type="dxa"/>
            <w:vAlign w:val="bottom"/>
          </w:tcPr>
          <w:p>
            <w:pPr>
              <w:jc w:val="right"/>
              <w:ind w:right="808"/>
              <w:spacing w:after="0"/>
              <w:rPr>
                <w:sz w:val="20"/>
                <w:szCs w:val="20"/>
                <w:color w:val="auto"/>
              </w:rPr>
            </w:pPr>
            <w:r>
              <w:rPr>
                <w:rFonts w:ascii="Arial" w:cs="Arial" w:eastAsia="Arial" w:hAnsi="Arial"/>
                <w:sz w:val="14"/>
                <w:szCs w:val="14"/>
                <w:color w:val="auto"/>
              </w:rPr>
              <w:t>.98</w:t>
            </w: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.79</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Annualized return on</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260" w:type="dxa"/>
            <w:vAlign w:val="bottom"/>
          </w:tcPr>
          <w:p>
            <w:pPr>
              <w:spacing w:after="0"/>
              <w:rPr>
                <w:sz w:val="12"/>
                <w:szCs w:val="12"/>
                <w:color w:val="auto"/>
              </w:rPr>
            </w:pP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1.24%</w:t>
            </w:r>
          </w:p>
        </w:tc>
        <w:tc>
          <w:tcPr>
            <w:tcW w:w="14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1.23%</w:t>
            </w:r>
          </w:p>
        </w:tc>
        <w:tc>
          <w:tcPr>
            <w:tcW w:w="12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1.00%</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.92%</w:t>
            </w:r>
          </w:p>
        </w:tc>
        <w:tc>
          <w:tcPr>
            <w:tcW w:w="1720" w:type="dxa"/>
            <w:vAlign w:val="bottom"/>
          </w:tcPr>
          <w:p>
            <w:pPr>
              <w:jc w:val="right"/>
              <w:ind w:right="688"/>
              <w:spacing w:after="0" w:line="149" w:lineRule="exact"/>
              <w:rPr>
                <w:sz w:val="20"/>
                <w:szCs w:val="20"/>
                <w:color w:val="auto"/>
              </w:rPr>
            </w:pPr>
            <w:r>
              <w:rPr>
                <w:rFonts w:ascii="Arial" w:cs="Arial" w:eastAsia="Arial" w:hAnsi="Arial"/>
                <w:sz w:val="14"/>
                <w:szCs w:val="14"/>
                <w:color w:val="auto"/>
              </w:rPr>
              <w:t>.78%</w:t>
            </w:r>
          </w:p>
        </w:tc>
        <w:tc>
          <w:tcPr>
            <w:tcW w:w="9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.64%</w:t>
            </w:r>
          </w:p>
        </w:tc>
        <w:tc>
          <w:tcPr>
            <w:tcW w:w="11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common equity</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19.58%</w:t>
            </w:r>
          </w:p>
        </w:tc>
        <w:tc>
          <w:tcPr>
            <w:tcW w:w="14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20.36%</w:t>
            </w:r>
          </w:p>
        </w:tc>
        <w:tc>
          <w:tcPr>
            <w:tcW w:w="12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17.34%</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16.73%</w:t>
            </w:r>
          </w:p>
        </w:tc>
        <w:tc>
          <w:tcPr>
            <w:tcW w:w="1720" w:type="dxa"/>
            <w:vAlign w:val="bottom"/>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rPr>
              <w:t>14.87%</w:t>
            </w:r>
          </w:p>
        </w:tc>
        <w:tc>
          <w:tcPr>
            <w:tcW w:w="9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12.08%</w:t>
            </w:r>
          </w:p>
        </w:tc>
        <w:tc>
          <w:tcPr>
            <w:tcW w:w="11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9.36%</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Efficiency ratio (a)</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53.40%</w:t>
            </w:r>
          </w:p>
        </w:tc>
        <w:tc>
          <w:tcPr>
            <w:tcW w:w="144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53.06%</w:t>
            </w:r>
          </w:p>
        </w:tc>
        <w:tc>
          <w:tcPr>
            <w:tcW w:w="128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55.88%</w:t>
            </w:r>
          </w:p>
        </w:tc>
        <w:tc>
          <w:tcPr>
            <w:tcW w:w="13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52.69%</w:t>
            </w:r>
          </w:p>
        </w:tc>
        <w:tc>
          <w:tcPr>
            <w:tcW w:w="1720" w:type="dxa"/>
            <w:vAlign w:val="bottom"/>
            <w:tcBorders>
              <w:bottom w:val="single" w:sz="8" w:color="auto"/>
            </w:tcBorders>
          </w:tcPr>
          <w:p>
            <w:pPr>
              <w:jc w:val="right"/>
              <w:ind w:right="688"/>
              <w:spacing w:after="0" w:line="149" w:lineRule="exact"/>
              <w:rPr>
                <w:sz w:val="20"/>
                <w:szCs w:val="20"/>
                <w:color w:val="auto"/>
              </w:rPr>
            </w:pPr>
            <w:r>
              <w:rPr>
                <w:rFonts w:ascii="Arial" w:cs="Arial" w:eastAsia="Arial" w:hAnsi="Arial"/>
                <w:sz w:val="14"/>
                <w:szCs w:val="14"/>
                <w:color w:val="auto"/>
              </w:rPr>
              <w:t>55.21%</w:t>
            </w:r>
          </w:p>
        </w:tc>
        <w:tc>
          <w:tcPr>
            <w:tcW w:w="96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60.03%</w:t>
            </w:r>
          </w:p>
        </w:tc>
        <w:tc>
          <w:tcPr>
            <w:tcW w:w="112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58.68%</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 except per share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balances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Total assets (c)</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67,811</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68,334</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68,883</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68,919</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69,154</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66,984</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64,766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 (c)</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64,167</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64,679</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65,216</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65,240</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65,462</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63,500</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61,420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26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59,066</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59,811</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60,331</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60,451</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60,900</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59,297</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57,509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7,993</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8,376</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8,172</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8,197</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8,420</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8,508</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8,490</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60" w:type="dxa"/>
            <w:vAlign w:val="bottom"/>
          </w:tcPr>
          <w:p>
            <w:pPr>
              <w:ind w:left="200"/>
              <w:spacing w:after="0" w:line="130" w:lineRule="exact"/>
              <w:rPr>
                <w:sz w:val="20"/>
                <w:szCs w:val="20"/>
                <w:color w:val="auto"/>
              </w:rPr>
            </w:pPr>
            <w:r>
              <w:rPr>
                <w:rFonts w:ascii="Arial" w:cs="Arial" w:eastAsia="Arial" w:hAnsi="Arial"/>
                <w:sz w:val="14"/>
                <w:szCs w:val="14"/>
                <w:color w:val="auto"/>
              </w:rPr>
              <w:t>Loans and leases, net of unearned</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60" w:type="dxa"/>
            <w:vAlign w:val="bottom"/>
          </w:tcPr>
          <w:p>
            <w:pPr>
              <w:ind w:left="400"/>
              <w:spacing w:after="0"/>
              <w:rPr>
                <w:sz w:val="20"/>
                <w:szCs w:val="20"/>
                <w:color w:val="auto"/>
              </w:rPr>
            </w:pPr>
            <w:r>
              <w:rPr>
                <w:rFonts w:ascii="Arial" w:cs="Arial" w:eastAsia="Arial" w:hAnsi="Arial"/>
                <w:sz w:val="14"/>
                <w:szCs w:val="14"/>
                <w:color w:val="auto"/>
              </w:rPr>
              <w:t>discount</w:t>
            </w:r>
          </w:p>
        </w:tc>
        <w:tc>
          <w:tcPr>
            <w:tcW w:w="26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50,835</w:t>
            </w:r>
          </w:p>
        </w:tc>
        <w:tc>
          <w:tcPr>
            <w:tcW w:w="1440" w:type="dxa"/>
            <w:vAlign w:val="bottom"/>
          </w:tcPr>
          <w:p>
            <w:pPr>
              <w:jc w:val="right"/>
              <w:ind w:right="448"/>
              <w:spacing w:after="0"/>
              <w:rPr>
                <w:sz w:val="20"/>
                <w:szCs w:val="20"/>
                <w:color w:val="auto"/>
              </w:rPr>
            </w:pPr>
            <w:r>
              <w:rPr>
                <w:rFonts w:ascii="Arial" w:cs="Arial" w:eastAsia="Arial" w:hAnsi="Arial"/>
                <w:sz w:val="14"/>
                <w:szCs w:val="14"/>
                <w:color w:val="auto"/>
              </w:rPr>
              <w:t>51,278</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51,948</w:t>
            </w: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52,087</w:t>
            </w:r>
          </w:p>
        </w:tc>
        <w:tc>
          <w:tcPr>
            <w:tcW w:w="1720" w:type="dxa"/>
            <w:vAlign w:val="bottom"/>
          </w:tcPr>
          <w:p>
            <w:pPr>
              <w:jc w:val="right"/>
              <w:ind w:right="808"/>
              <w:spacing w:after="0"/>
              <w:rPr>
                <w:sz w:val="20"/>
                <w:szCs w:val="20"/>
                <w:color w:val="auto"/>
              </w:rPr>
            </w:pPr>
            <w:r>
              <w:rPr>
                <w:rFonts w:ascii="Arial" w:cs="Arial" w:eastAsia="Arial" w:hAnsi="Arial"/>
                <w:sz w:val="14"/>
                <w:szCs w:val="14"/>
                <w:color w:val="auto"/>
              </w:rPr>
              <w:t>52,320</w:t>
            </w: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50,554</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48,824</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47,530</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47,932</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47,394</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47,365</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46,720</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43,846</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41,487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Common equity (c)</w:t>
            </w:r>
          </w:p>
        </w:tc>
        <w:tc>
          <w:tcPr>
            <w:tcW w:w="26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7,444</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7,302</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7,136</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6,957</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6,794</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6,491</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6,212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common equity (c)</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3,800</w:t>
            </w:r>
          </w:p>
        </w:tc>
        <w:tc>
          <w:tcPr>
            <w:tcW w:w="144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3,647</w:t>
            </w:r>
          </w:p>
        </w:tc>
        <w:tc>
          <w:tcPr>
            <w:tcW w:w="12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3,469</w:t>
            </w:r>
          </w:p>
        </w:tc>
        <w:tc>
          <w:tcPr>
            <w:tcW w:w="130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3,278</w:t>
            </w:r>
          </w:p>
        </w:tc>
        <w:tc>
          <w:tcPr>
            <w:tcW w:w="1720" w:type="dxa"/>
            <w:vAlign w:val="bottom"/>
            <w:tcBorders>
              <w:bottom w:val="single" w:sz="8" w:color="auto"/>
            </w:tcBorders>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3,102</w:t>
            </w:r>
          </w:p>
        </w:tc>
        <w:tc>
          <w:tcPr>
            <w:tcW w:w="96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3,007</w:t>
            </w:r>
          </w:p>
        </w:tc>
        <w:tc>
          <w:tcPr>
            <w:tcW w:w="112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2,866</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60" w:type="dxa"/>
            <w:vAlign w:val="bottom"/>
          </w:tcPr>
          <w:p>
            <w:pPr>
              <w:spacing w:after="0" w:line="155" w:lineRule="exact"/>
              <w:rPr>
                <w:sz w:val="20"/>
                <w:szCs w:val="20"/>
                <w:color w:val="auto"/>
              </w:rPr>
            </w:pPr>
            <w:r>
              <w:rPr>
                <w:rFonts w:ascii="Arial" w:cs="Arial" w:eastAsia="Arial" w:hAnsi="Arial"/>
                <w:sz w:val="14"/>
                <w:szCs w:val="14"/>
                <w:color w:val="auto"/>
              </w:rPr>
              <w:t>At end of quarter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assets (c)</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68,247</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68,154</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68,439</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68,880</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68,997</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69,913</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64,883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Total tangible assets (c)</w:t>
            </w:r>
          </w:p>
        </w:tc>
        <w:tc>
          <w:tcPr>
            <w:tcW w:w="26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64,609</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64,505</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64,778</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65,208</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65,312</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66,215</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61,544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59,388</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59,368</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59,741</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59,928</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59,993</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61,044</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56,823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26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7,663</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8,098</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8,105</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7,781</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7,634</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8,155</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7,687</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Loans and leases, net of unearned</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discount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50,792</w:t>
            </w:r>
          </w:p>
        </w:tc>
        <w:tc>
          <w:tcPr>
            <w:tcW w:w="14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51,061</w:t>
            </w:r>
          </w:p>
        </w:tc>
        <w:tc>
          <w:tcPr>
            <w:tcW w:w="12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51,444</w:t>
            </w:r>
          </w:p>
        </w:tc>
        <w:tc>
          <w:tcPr>
            <w:tcW w:w="13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51,937</w:t>
            </w:r>
          </w:p>
        </w:tc>
        <w:tc>
          <w:tcPr>
            <w:tcW w:w="172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52,204</w:t>
            </w:r>
          </w:p>
        </w:tc>
        <w:tc>
          <w:tcPr>
            <w:tcW w:w="9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52,715</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48,918</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26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48,655</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47,523</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47,538</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47,450</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46,862</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46,755</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42,477</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equity, net of</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undeclared preferred</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dividends (c)</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7,488</w:t>
            </w:r>
          </w:p>
        </w:tc>
        <w:tc>
          <w:tcPr>
            <w:tcW w:w="14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7,360</w:t>
            </w:r>
          </w:p>
        </w:tc>
        <w:tc>
          <w:tcPr>
            <w:tcW w:w="12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7,177</w:t>
            </w:r>
          </w:p>
        </w:tc>
        <w:tc>
          <w:tcPr>
            <w:tcW w:w="13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7,017</w:t>
            </w:r>
          </w:p>
        </w:tc>
        <w:tc>
          <w:tcPr>
            <w:tcW w:w="172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6,879</w:t>
            </w:r>
          </w:p>
        </w:tc>
        <w:tc>
          <w:tcPr>
            <w:tcW w:w="9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6,669</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6,329</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Tangible common equity (c)</w:t>
            </w:r>
          </w:p>
        </w:tc>
        <w:tc>
          <w:tcPr>
            <w:tcW w:w="260" w:type="dxa"/>
            <w:vAlign w:val="bottom"/>
          </w:tcPr>
          <w:p>
            <w:pPr>
              <w:spacing w:after="0"/>
              <w:rPr>
                <w:sz w:val="12"/>
                <w:szCs w:val="12"/>
                <w:color w:val="auto"/>
              </w:rPr>
            </w:pP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3,850</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3,711</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3,516</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3,345</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3,194</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2,971</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2,990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per common share</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62.69</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61.77</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60.40</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59.31</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58.22</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56.51</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56.95</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60" w:type="dxa"/>
            <w:vAlign w:val="bottom"/>
          </w:tcPr>
          <w:p>
            <w:pPr>
              <w:ind w:left="200"/>
              <w:spacing w:after="0" w:line="130" w:lineRule="exact"/>
              <w:rPr>
                <w:sz w:val="20"/>
                <w:szCs w:val="20"/>
                <w:color w:val="auto"/>
              </w:rPr>
            </w:pPr>
            <w:r>
              <w:rPr>
                <w:rFonts w:ascii="Arial" w:cs="Arial" w:eastAsia="Arial" w:hAnsi="Arial"/>
                <w:sz w:val="14"/>
                <w:szCs w:val="14"/>
                <w:color w:val="auto"/>
              </w:rPr>
              <w:t>Tangible equity per common</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24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share</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32.23</w:t>
            </w:r>
          </w:p>
        </w:tc>
        <w:tc>
          <w:tcPr>
            <w:tcW w:w="14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31.15</w:t>
            </w: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29.59</w:t>
            </w:r>
          </w:p>
        </w:tc>
        <w:tc>
          <w:tcPr>
            <w:tcW w:w="13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28.27</w:t>
            </w:r>
          </w:p>
        </w:tc>
        <w:tc>
          <w:tcPr>
            <w:tcW w:w="172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27.03</w:t>
            </w: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25.17</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26.90</w:t>
            </w:r>
          </w:p>
        </w:tc>
        <w:tc>
          <w:tcPr>
            <w:tcW w:w="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 price per common share</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High</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95.00</w:t>
            </w:r>
          </w:p>
        </w:tc>
        <w:tc>
          <w:tcPr>
            <w:tcW w:w="14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96.15</w:t>
            </w:r>
          </w:p>
        </w:tc>
        <w:tc>
          <w:tcPr>
            <w:tcW w:w="12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85.00</w:t>
            </w: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69.89</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67.46</w:t>
            </w: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61.87</w:t>
            </w:r>
          </w:p>
        </w:tc>
        <w:tc>
          <w:tcPr>
            <w:tcW w:w="11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59.08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Low</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81.08</w:t>
            </w:r>
          </w:p>
        </w:tc>
        <w:tc>
          <w:tcPr>
            <w:tcW w:w="14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74.11</w:t>
            </w:r>
          </w:p>
        </w:tc>
        <w:tc>
          <w:tcPr>
            <w:tcW w:w="12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66.32</w:t>
            </w:r>
          </w:p>
        </w:tc>
        <w:tc>
          <w:tcPr>
            <w:tcW w:w="13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59.09</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50.33</w:t>
            </w: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43.50</w:t>
            </w:r>
          </w:p>
        </w:tc>
        <w:tc>
          <w:tcPr>
            <w:tcW w:w="11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29.11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Closing</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81.81</w:t>
            </w:r>
          </w:p>
        </w:tc>
        <w:tc>
          <w:tcPr>
            <w:tcW w:w="144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84.95</w:t>
            </w:r>
          </w:p>
        </w:tc>
        <w:tc>
          <w:tcPr>
            <w:tcW w:w="128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79.38</w:t>
            </w:r>
          </w:p>
        </w:tc>
        <w:tc>
          <w:tcPr>
            <w:tcW w:w="130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66.89</w:t>
            </w:r>
          </w:p>
        </w:tc>
        <w:tc>
          <w:tcPr>
            <w:tcW w:w="1720" w:type="dxa"/>
            <w:vAlign w:val="bottom"/>
            <w:tcBorders>
              <w:bottom w:val="single" w:sz="8" w:color="auto"/>
            </w:tcBorders>
          </w:tcPr>
          <w:p>
            <w:pPr>
              <w:jc w:val="right"/>
              <w:ind w:right="808"/>
              <w:spacing w:after="0" w:line="149" w:lineRule="exact"/>
              <w:rPr>
                <w:sz w:val="20"/>
                <w:szCs w:val="20"/>
                <w:color w:val="auto"/>
              </w:rPr>
            </w:pPr>
            <w:r>
              <w:rPr>
                <w:rFonts w:ascii="Arial" w:cs="Arial" w:eastAsia="Arial" w:hAnsi="Arial"/>
                <w:sz w:val="14"/>
                <w:szCs w:val="14"/>
                <w:color w:val="auto"/>
              </w:rPr>
              <w:t>62.32</w:t>
            </w:r>
          </w:p>
        </w:tc>
        <w:tc>
          <w:tcPr>
            <w:tcW w:w="96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rPr>
              <w:t>50.93</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45.24</w:t>
            </w:r>
          </w:p>
        </w:tc>
        <w:tc>
          <w:tcPr>
            <w:tcW w:w="20" w:type="dxa"/>
            <w:vAlign w:val="bottom"/>
          </w:tcPr>
          <w:p>
            <w:pPr>
              <w:spacing w:after="0"/>
              <w:rPr>
                <w:sz w:val="12"/>
                <w:szCs w:val="12"/>
                <w:color w:val="auto"/>
              </w:rPr>
            </w:pPr>
          </w:p>
        </w:tc>
      </w:tr>
    </w:tbl>
    <w:p>
      <w:pPr>
        <w:spacing w:after="0" w:line="17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76" w:lineRule="exact"/>
        <w:rPr>
          <w:rFonts w:ascii="Arial" w:cs="Arial" w:eastAsia="Arial" w:hAnsi="Arial"/>
          <w:sz w:val="18"/>
          <w:szCs w:val="18"/>
          <w:i w:val="1"/>
          <w:iCs w:val="1"/>
          <w:color w:val="auto"/>
        </w:rPr>
      </w:pPr>
    </w:p>
    <w:p>
      <w:pPr>
        <w:ind w:left="460" w:right="320" w:hanging="452"/>
        <w:spacing w:after="0" w:line="264"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spacing w:after="0" w:line="32" w:lineRule="exact"/>
        <w:rPr>
          <w:rFonts w:ascii="Arial" w:cs="Arial" w:eastAsia="Arial" w:hAnsi="Arial"/>
          <w:sz w:val="18"/>
          <w:szCs w:val="18"/>
          <w:i w:val="1"/>
          <w:iCs w:val="1"/>
          <w:color w:val="auto"/>
        </w:rPr>
      </w:pPr>
    </w:p>
    <w:p>
      <w:pPr>
        <w:ind w:left="460" w:right="280" w:hanging="452"/>
        <w:spacing w:after="0" w:line="277"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difference between total assets and total tangible assets, and common equity and tangible common equity, represents goodwill, core deposit and other intangible assets, net of applicable deferred tax balances. A reconciliation of such balances appears in table 2.</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788"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color w:val="auto"/>
                <w:w w:val="89"/>
              </w:rPr>
              <w:t>Table 2</w:t>
            </w:r>
          </w:p>
        </w:tc>
      </w:tr>
      <w:tr>
        <w:trPr>
          <w:trHeight w:val="418"/>
        </w:trPr>
        <w:tc>
          <w:tcPr>
            <w:tcW w:w="6300" w:type="dxa"/>
            <w:vAlign w:val="bottom"/>
            <w:gridSpan w:val="6"/>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2010 Quarters</w:t>
            </w:r>
          </w:p>
        </w:tc>
        <w:tc>
          <w:tcPr>
            <w:tcW w:w="1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Quarters</w:t>
            </w:r>
          </w:p>
        </w:tc>
        <w:tc>
          <w:tcPr>
            <w:tcW w:w="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Third</w:t>
            </w:r>
          </w:p>
        </w:tc>
        <w:tc>
          <w:tcPr>
            <w:tcW w:w="148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Second</w:t>
            </w:r>
          </w:p>
        </w:tc>
        <w:tc>
          <w:tcPr>
            <w:tcW w:w="126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4"/>
                <w:szCs w:val="14"/>
                <w:color w:val="auto"/>
              </w:rPr>
              <w:t>First</w:t>
            </w:r>
          </w:p>
        </w:tc>
        <w:tc>
          <w:tcPr>
            <w:tcW w:w="132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Fourth</w:t>
            </w:r>
          </w:p>
        </w:tc>
        <w:tc>
          <w:tcPr>
            <w:tcW w:w="1720" w:type="dxa"/>
            <w:vAlign w:val="bottom"/>
            <w:tcBorders>
              <w:bottom w:val="single" w:sz="8" w:color="auto"/>
            </w:tcBorders>
          </w:tcPr>
          <w:p>
            <w:pPr>
              <w:jc w:val="right"/>
              <w:ind w:right="848"/>
              <w:spacing w:after="0" w:line="142" w:lineRule="exact"/>
              <w:rPr>
                <w:sz w:val="20"/>
                <w:szCs w:val="20"/>
                <w:color w:val="auto"/>
              </w:rPr>
            </w:pPr>
            <w:r>
              <w:rPr>
                <w:rFonts w:ascii="Arial" w:cs="Arial" w:eastAsia="Arial" w:hAnsi="Arial"/>
                <w:sz w:val="14"/>
                <w:szCs w:val="14"/>
                <w:color w:val="auto"/>
              </w:rPr>
              <w:t>Third</w:t>
            </w:r>
          </w:p>
        </w:tc>
        <w:tc>
          <w:tcPr>
            <w:tcW w:w="94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w w:val="92"/>
              </w:rPr>
              <w:t>Second</w:t>
            </w:r>
          </w:p>
        </w:tc>
        <w:tc>
          <w:tcPr>
            <w:tcW w:w="11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w w:val="86"/>
              </w:rPr>
              <w:t>192,015</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188,749</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150,955</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136,818</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127,664</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51,188</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64,221</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core deposit and</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intangible assets (a)</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8,210</w:t>
            </w:r>
          </w:p>
        </w:tc>
        <w:tc>
          <w:tcPr>
            <w:tcW w:w="14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9,003</w:t>
            </w:r>
          </w:p>
        </w:tc>
        <w:tc>
          <w:tcPr>
            <w:tcW w:w="12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9,998</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10,152</w:t>
            </w:r>
          </w:p>
        </w:tc>
        <w:tc>
          <w:tcPr>
            <w:tcW w:w="172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10,270</w:t>
            </w:r>
          </w:p>
        </w:tc>
        <w:tc>
          <w:tcPr>
            <w:tcW w:w="9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9,247</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9,337</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Merger-related gain (a)</w:t>
            </w:r>
          </w:p>
        </w:tc>
        <w:tc>
          <w:tcPr>
            <w:tcW w:w="280" w:type="dxa"/>
            <w:vAlign w:val="bottom"/>
          </w:tcPr>
          <w:p>
            <w:pPr>
              <w:spacing w:after="0"/>
              <w:rPr>
                <w:sz w:val="12"/>
                <w:szCs w:val="12"/>
                <w:color w:val="auto"/>
              </w:rPr>
            </w:pP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728"/>
              <w:spacing w:after="0" w:line="149" w:lineRule="exact"/>
              <w:rPr>
                <w:sz w:val="20"/>
                <w:szCs w:val="20"/>
                <w:color w:val="auto"/>
              </w:rPr>
            </w:pPr>
            <w:r>
              <w:rPr>
                <w:rFonts w:ascii="Arial" w:cs="Arial" w:eastAsia="Arial" w:hAnsi="Arial"/>
                <w:sz w:val="14"/>
                <w:szCs w:val="14"/>
                <w:color w:val="auto"/>
              </w:rPr>
              <w:t>(17,684)</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 (a)</w:t>
            </w: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3,806</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8,511</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40,370</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1,476</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24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Net operating income</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w w:val="86"/>
              </w:rPr>
              <w:t>200,225</w:t>
            </w:r>
          </w:p>
        </w:tc>
        <w:tc>
          <w:tcPr>
            <w:tcW w:w="148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rPr>
              <w:t>197,752</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160,953</w:t>
            </w:r>
          </w:p>
        </w:tc>
        <w:tc>
          <w:tcPr>
            <w:tcW w:w="13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150,776</w:t>
            </w:r>
          </w:p>
        </w:tc>
        <w:tc>
          <w:tcPr>
            <w:tcW w:w="1720" w:type="dxa"/>
            <w:vAlign w:val="bottom"/>
            <w:tcBorders>
              <w:bottom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rPr>
              <w:t>128,761</w:t>
            </w: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w w:val="90"/>
              </w:rPr>
              <w:t>100,805</w:t>
            </w:r>
          </w:p>
        </w:tc>
        <w:tc>
          <w:tcPr>
            <w:tcW w:w="11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75,034</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per common share</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1.48</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1.46</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1.15</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1.04</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.97</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.36</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core deposit and</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intangible assets (a)</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.07</w:t>
            </w:r>
          </w:p>
        </w:tc>
        <w:tc>
          <w:tcPr>
            <w:tcW w:w="14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.07</w:t>
            </w:r>
          </w:p>
        </w:tc>
        <w:tc>
          <w:tcPr>
            <w:tcW w:w="12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.08</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.09</w:t>
            </w:r>
          </w:p>
        </w:tc>
        <w:tc>
          <w:tcPr>
            <w:tcW w:w="172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.09</w:t>
            </w:r>
          </w:p>
        </w:tc>
        <w:tc>
          <w:tcPr>
            <w:tcW w:w="9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.08</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Merger-related gain (a)</w:t>
            </w:r>
          </w:p>
        </w:tc>
        <w:tc>
          <w:tcPr>
            <w:tcW w:w="280" w:type="dxa"/>
            <w:vAlign w:val="bottom"/>
          </w:tcPr>
          <w:p>
            <w:pPr>
              <w:spacing w:after="0"/>
              <w:rPr>
                <w:sz w:val="12"/>
                <w:szCs w:val="12"/>
                <w:color w:val="auto"/>
              </w:rPr>
            </w:pP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728"/>
              <w:spacing w:after="0" w:line="149" w:lineRule="exact"/>
              <w:rPr>
                <w:sz w:val="20"/>
                <w:szCs w:val="20"/>
                <w:color w:val="auto"/>
              </w:rPr>
            </w:pPr>
            <w:r>
              <w:rPr>
                <w:rFonts w:ascii="Arial" w:cs="Arial" w:eastAsia="Arial" w:hAnsi="Arial"/>
                <w:sz w:val="14"/>
                <w:szCs w:val="14"/>
                <w:color w:val="auto"/>
              </w:rPr>
              <w:t>(.15)</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 (a)</w:t>
            </w: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.03</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.07</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.35</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r>
      <w:tr>
        <w:trPr>
          <w:trHeight w:val="137"/>
        </w:trPr>
        <w:tc>
          <w:tcPr>
            <w:tcW w:w="20" w:type="dxa"/>
            <w:vAlign w:val="bottom"/>
          </w:tcPr>
          <w:p>
            <w:pPr>
              <w:spacing w:after="0"/>
              <w:rPr>
                <w:sz w:val="11"/>
                <w:szCs w:val="11"/>
                <w:color w:val="auto"/>
              </w:rPr>
            </w:pPr>
          </w:p>
        </w:tc>
        <w:tc>
          <w:tcPr>
            <w:tcW w:w="2440" w:type="dxa"/>
            <w:vAlign w:val="bottom"/>
          </w:tcPr>
          <w:p>
            <w:pPr>
              <w:ind w:left="200"/>
              <w:spacing w:after="0" w:line="137" w:lineRule="exact"/>
              <w:rPr>
                <w:sz w:val="20"/>
                <w:szCs w:val="20"/>
                <w:color w:val="auto"/>
              </w:rPr>
            </w:pPr>
            <w:r>
              <w:rPr>
                <w:rFonts w:ascii="Arial" w:cs="Arial" w:eastAsia="Arial" w:hAnsi="Arial"/>
                <w:sz w:val="14"/>
                <w:szCs w:val="14"/>
                <w:color w:val="auto"/>
              </w:rPr>
              <w:t>Diluted net operating earnings</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24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per common share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1.55</w:t>
            </w:r>
          </w:p>
        </w:tc>
        <w:tc>
          <w:tcPr>
            <w:tcW w:w="14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1.53</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1.23</w:t>
            </w: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1.16</w:t>
            </w:r>
          </w:p>
        </w:tc>
        <w:tc>
          <w:tcPr>
            <w:tcW w:w="17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.98</w:t>
            </w: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.79</w:t>
            </w: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expense</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w w:val="86"/>
              </w:rPr>
              <w:t>480,133</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476,068</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489,362</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478,451</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500,056</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w w:val="90"/>
              </w:rPr>
              <w:t>563,710</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438,346</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core deposit and</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intangible 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95"/>
              </w:rPr>
              <w:t>(13,526)</w:t>
            </w:r>
          </w:p>
        </w:tc>
        <w:tc>
          <w:tcPr>
            <w:tcW w:w="14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(14,833)</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(16,475)</w:t>
            </w:r>
          </w:p>
        </w:tc>
        <w:tc>
          <w:tcPr>
            <w:tcW w:w="13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(16,730)</w:t>
            </w:r>
          </w:p>
        </w:tc>
        <w:tc>
          <w:tcPr>
            <w:tcW w:w="17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(16,924)</w:t>
            </w:r>
          </w:p>
        </w:tc>
        <w:tc>
          <w:tcPr>
            <w:tcW w:w="9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95"/>
              </w:rPr>
              <w:t>(15,231)</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(15,370)</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Merger-related expenses</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(6,264)</w:t>
            </w:r>
          </w:p>
        </w:tc>
        <w:tc>
          <w:tcPr>
            <w:tcW w:w="1720" w:type="dxa"/>
            <w:vAlign w:val="bottom"/>
            <w:tcBorders>
              <w:bottom w:val="single" w:sz="8" w:color="auto"/>
            </w:tcBorders>
          </w:tcPr>
          <w:p>
            <w:pPr>
              <w:jc w:val="right"/>
              <w:ind w:right="728"/>
              <w:spacing w:after="0" w:line="149" w:lineRule="exact"/>
              <w:rPr>
                <w:sz w:val="20"/>
                <w:szCs w:val="20"/>
                <w:color w:val="auto"/>
              </w:rPr>
            </w:pPr>
            <w:r>
              <w:rPr>
                <w:rFonts w:ascii="Arial" w:cs="Arial" w:eastAsia="Arial" w:hAnsi="Arial"/>
                <w:sz w:val="14"/>
                <w:szCs w:val="14"/>
                <w:color w:val="auto"/>
              </w:rPr>
              <w:t>(14,010)</w:t>
            </w:r>
          </w:p>
        </w:tc>
        <w:tc>
          <w:tcPr>
            <w:tcW w:w="94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w w:val="95"/>
              </w:rPr>
              <w:t>(66,457)</w:t>
            </w:r>
          </w:p>
        </w:tc>
        <w:tc>
          <w:tcPr>
            <w:tcW w:w="114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(2,426)</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w w:val="86"/>
              </w:rPr>
              <w:t>466,607</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461,235</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472,887</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455,457</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469,122</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w w:val="90"/>
              </w:rPr>
              <w:t>482,022</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420,550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55" w:lineRule="exact"/>
              <w:rPr>
                <w:sz w:val="20"/>
                <w:szCs w:val="20"/>
                <w:color w:val="auto"/>
              </w:rPr>
            </w:pPr>
            <w:r>
              <w:rPr>
                <w:rFonts w:ascii="Arial" w:cs="Arial" w:eastAsia="Arial" w:hAnsi="Arial"/>
                <w:sz w:val="14"/>
                <w:szCs w:val="14"/>
                <w:b w:val="1"/>
                <w:bCs w:val="1"/>
                <w:color w:val="auto"/>
              </w:rPr>
              <w:t>Merger-related expenses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381</w:t>
            </w:r>
          </w:p>
        </w:tc>
        <w:tc>
          <w:tcPr>
            <w:tcW w:w="17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870</w:t>
            </w:r>
          </w:p>
        </w:tc>
        <w:tc>
          <w:tcPr>
            <w:tcW w:w="9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8,768</w:t>
            </w:r>
          </w:p>
        </w:tc>
        <w:tc>
          <w:tcPr>
            <w:tcW w:w="11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Equipment and net occupancy</w:t>
            </w:r>
          </w:p>
        </w:tc>
        <w:tc>
          <w:tcPr>
            <w:tcW w:w="280" w:type="dxa"/>
            <w:vAlign w:val="bottom"/>
          </w:tcPr>
          <w:p>
            <w:pPr>
              <w:spacing w:after="0"/>
              <w:rPr>
                <w:sz w:val="12"/>
                <w:szCs w:val="12"/>
                <w:color w:val="auto"/>
              </w:rPr>
            </w:pP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545</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1,845</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581</w:t>
            </w:r>
          </w:p>
        </w:tc>
        <w:tc>
          <w:tcPr>
            <w:tcW w:w="11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233</w:t>
            </w:r>
          </w:p>
        </w:tc>
        <w:tc>
          <w:tcPr>
            <w:tcW w:w="17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629</w:t>
            </w:r>
          </w:p>
        </w:tc>
        <w:tc>
          <w:tcPr>
            <w:tcW w:w="9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2,514</w:t>
            </w:r>
          </w:p>
        </w:tc>
        <w:tc>
          <w:tcPr>
            <w:tcW w:w="114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301</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 costs of operations</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5,105</w:t>
            </w:r>
          </w:p>
        </w:tc>
        <w:tc>
          <w:tcPr>
            <w:tcW w:w="17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10,666</w:t>
            </w:r>
          </w:p>
        </w:tc>
        <w:tc>
          <w:tcPr>
            <w:tcW w:w="94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54,594</w:t>
            </w:r>
          </w:p>
        </w:tc>
        <w:tc>
          <w:tcPr>
            <w:tcW w:w="11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2,110</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6,264</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14,010</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66,457</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2,426</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sheet data</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assets</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67,811</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68,334</w:t>
            </w:r>
          </w:p>
        </w:tc>
        <w:tc>
          <w:tcPr>
            <w:tcW w:w="12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68,883</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68,919</w:t>
            </w:r>
          </w:p>
        </w:tc>
        <w:tc>
          <w:tcPr>
            <w:tcW w:w="17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69,154</w:t>
            </w:r>
          </w:p>
        </w:tc>
        <w:tc>
          <w:tcPr>
            <w:tcW w:w="9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66,984</w:t>
            </w:r>
          </w:p>
        </w:tc>
        <w:tc>
          <w:tcPr>
            <w:tcW w:w="11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64,766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2"/>
                <w:szCs w:val="12"/>
                <w:color w:val="auto"/>
              </w:rPr>
            </w:pPr>
          </w:p>
        </w:tc>
        <w:tc>
          <w:tcPr>
            <w:tcW w:w="8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(3,525)</w:t>
            </w:r>
          </w:p>
        </w:tc>
        <w:tc>
          <w:tcPr>
            <w:tcW w:w="14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(3,525)</w:t>
            </w:r>
          </w:p>
        </w:tc>
        <w:tc>
          <w:tcPr>
            <w:tcW w:w="12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(3,525)</w:t>
            </w:r>
          </w:p>
        </w:tc>
        <w:tc>
          <w:tcPr>
            <w:tcW w:w="13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(3,525)</w:t>
            </w:r>
          </w:p>
        </w:tc>
        <w:tc>
          <w:tcPr>
            <w:tcW w:w="1720" w:type="dxa"/>
            <w:vAlign w:val="bottom"/>
          </w:tcPr>
          <w:p>
            <w:pPr>
              <w:jc w:val="right"/>
              <w:ind w:right="728"/>
              <w:spacing w:after="0" w:line="149" w:lineRule="exact"/>
              <w:rPr>
                <w:sz w:val="20"/>
                <w:szCs w:val="20"/>
                <w:color w:val="auto"/>
              </w:rPr>
            </w:pPr>
            <w:r>
              <w:rPr>
                <w:rFonts w:ascii="Arial" w:cs="Arial" w:eastAsia="Arial" w:hAnsi="Arial"/>
                <w:sz w:val="14"/>
                <w:szCs w:val="14"/>
                <w:color w:val="auto"/>
              </w:rPr>
              <w:t>(3,525)</w:t>
            </w:r>
          </w:p>
        </w:tc>
        <w:tc>
          <w:tcPr>
            <w:tcW w:w="9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(3,326)</w:t>
            </w:r>
          </w:p>
        </w:tc>
        <w:tc>
          <w:tcPr>
            <w:tcW w:w="11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(3,192)</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Core deposit and other intangible</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(146)</w:t>
            </w:r>
          </w:p>
        </w:tc>
        <w:tc>
          <w:tcPr>
            <w:tcW w:w="14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(160)</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(176)</w:t>
            </w:r>
          </w:p>
        </w:tc>
        <w:tc>
          <w:tcPr>
            <w:tcW w:w="13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(191)</w:t>
            </w:r>
          </w:p>
        </w:tc>
        <w:tc>
          <w:tcPr>
            <w:tcW w:w="17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(208)</w:t>
            </w:r>
          </w:p>
        </w:tc>
        <w:tc>
          <w:tcPr>
            <w:tcW w:w="9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(188)</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(176)</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Deferred taxes</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27</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30</w:t>
            </w:r>
          </w:p>
        </w:tc>
        <w:tc>
          <w:tcPr>
            <w:tcW w:w="12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34</w:t>
            </w:r>
          </w:p>
        </w:tc>
        <w:tc>
          <w:tcPr>
            <w:tcW w:w="132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37</w:t>
            </w:r>
          </w:p>
        </w:tc>
        <w:tc>
          <w:tcPr>
            <w:tcW w:w="17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41</w:t>
            </w:r>
          </w:p>
        </w:tc>
        <w:tc>
          <w:tcPr>
            <w:tcW w:w="94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30</w:t>
            </w:r>
          </w:p>
        </w:tc>
        <w:tc>
          <w:tcPr>
            <w:tcW w:w="114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64,167</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64,679</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65,216</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65,240</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65,462</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63,500</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61,420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55" w:lineRule="exact"/>
              <w:rPr>
                <w:sz w:val="20"/>
                <w:szCs w:val="20"/>
                <w:color w:val="auto"/>
              </w:rPr>
            </w:pPr>
            <w:r>
              <w:rPr>
                <w:rFonts w:ascii="Arial" w:cs="Arial" w:eastAsia="Arial" w:hAnsi="Arial"/>
                <w:sz w:val="14"/>
                <w:szCs w:val="14"/>
                <w:b w:val="1"/>
                <w:bCs w:val="1"/>
                <w:color w:val="auto"/>
              </w:rPr>
              <w:t>Average common equity</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total equity</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8,181</w:t>
            </w:r>
          </w:p>
        </w:tc>
        <w:tc>
          <w:tcPr>
            <w:tcW w:w="148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8,036</w:t>
            </w:r>
          </w:p>
        </w:tc>
        <w:tc>
          <w:tcPr>
            <w:tcW w:w="12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7,868</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7,686</w:t>
            </w:r>
          </w:p>
        </w:tc>
        <w:tc>
          <w:tcPr>
            <w:tcW w:w="17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7,521</w:t>
            </w:r>
          </w:p>
        </w:tc>
        <w:tc>
          <w:tcPr>
            <w:tcW w:w="9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7,127</w:t>
            </w:r>
          </w:p>
        </w:tc>
        <w:tc>
          <w:tcPr>
            <w:tcW w:w="11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6,780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Preferred stock</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color w:val="auto"/>
              </w:rPr>
              <w:t>(737)</w:t>
            </w:r>
          </w:p>
        </w:tc>
        <w:tc>
          <w:tcPr>
            <w:tcW w:w="148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(734)</w:t>
            </w:r>
          </w:p>
        </w:tc>
        <w:tc>
          <w:tcPr>
            <w:tcW w:w="126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(732)</w:t>
            </w:r>
          </w:p>
        </w:tc>
        <w:tc>
          <w:tcPr>
            <w:tcW w:w="132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(729)</w:t>
            </w:r>
          </w:p>
        </w:tc>
        <w:tc>
          <w:tcPr>
            <w:tcW w:w="1720" w:type="dxa"/>
            <w:vAlign w:val="bottom"/>
            <w:tcBorders>
              <w:bottom w:val="single" w:sz="8" w:color="auto"/>
            </w:tcBorders>
          </w:tcPr>
          <w:p>
            <w:pPr>
              <w:jc w:val="right"/>
              <w:ind w:right="728"/>
              <w:spacing w:after="0" w:line="149" w:lineRule="exact"/>
              <w:rPr>
                <w:sz w:val="20"/>
                <w:szCs w:val="20"/>
                <w:color w:val="auto"/>
              </w:rPr>
            </w:pPr>
            <w:r>
              <w:rPr>
                <w:rFonts w:ascii="Arial" w:cs="Arial" w:eastAsia="Arial" w:hAnsi="Arial"/>
                <w:sz w:val="14"/>
                <w:szCs w:val="14"/>
                <w:color w:val="auto"/>
              </w:rPr>
              <w:t>(727)</w:t>
            </w:r>
          </w:p>
        </w:tc>
        <w:tc>
          <w:tcPr>
            <w:tcW w:w="94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rPr>
              <w:t>(636)</w:t>
            </w:r>
          </w:p>
        </w:tc>
        <w:tc>
          <w:tcPr>
            <w:tcW w:w="114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(568)</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Average common equity</w:t>
            </w: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7,444</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7,302</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7,136</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6,957</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6,794</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6,491</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6,212</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55" w:lineRule="exact"/>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3"/>
                <w:szCs w:val="13"/>
                <w:color w:val="auto"/>
              </w:rPr>
            </w:pPr>
          </w:p>
        </w:tc>
        <w:tc>
          <w:tcPr>
            <w:tcW w:w="8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(3,525)</w:t>
            </w:r>
          </w:p>
        </w:tc>
        <w:tc>
          <w:tcPr>
            <w:tcW w:w="148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(3,525)</w:t>
            </w:r>
          </w:p>
        </w:tc>
        <w:tc>
          <w:tcPr>
            <w:tcW w:w="12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(3,525)</w:t>
            </w:r>
          </w:p>
        </w:tc>
        <w:tc>
          <w:tcPr>
            <w:tcW w:w="132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(3,525)</w:t>
            </w:r>
          </w:p>
        </w:tc>
        <w:tc>
          <w:tcPr>
            <w:tcW w:w="1720" w:type="dxa"/>
            <w:vAlign w:val="bottom"/>
          </w:tcPr>
          <w:p>
            <w:pPr>
              <w:jc w:val="right"/>
              <w:ind w:right="728"/>
              <w:spacing w:after="0" w:line="155" w:lineRule="exact"/>
              <w:rPr>
                <w:sz w:val="20"/>
                <w:szCs w:val="20"/>
                <w:color w:val="auto"/>
              </w:rPr>
            </w:pPr>
            <w:r>
              <w:rPr>
                <w:rFonts w:ascii="Arial" w:cs="Arial" w:eastAsia="Arial" w:hAnsi="Arial"/>
                <w:sz w:val="14"/>
                <w:szCs w:val="14"/>
                <w:color w:val="auto"/>
              </w:rPr>
              <w:t>(3,525)</w:t>
            </w:r>
          </w:p>
        </w:tc>
        <w:tc>
          <w:tcPr>
            <w:tcW w:w="94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(3,326)</w:t>
            </w:r>
          </w:p>
        </w:tc>
        <w:tc>
          <w:tcPr>
            <w:tcW w:w="114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(3,192)</w:t>
            </w:r>
          </w:p>
        </w:tc>
        <w:tc>
          <w:tcPr>
            <w:tcW w:w="2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Core deposit and other intangible</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(146)</w:t>
            </w:r>
          </w:p>
        </w:tc>
        <w:tc>
          <w:tcPr>
            <w:tcW w:w="14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(160)</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(176)</w:t>
            </w:r>
          </w:p>
        </w:tc>
        <w:tc>
          <w:tcPr>
            <w:tcW w:w="13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(191)</w:t>
            </w:r>
          </w:p>
        </w:tc>
        <w:tc>
          <w:tcPr>
            <w:tcW w:w="17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(208)</w:t>
            </w:r>
          </w:p>
        </w:tc>
        <w:tc>
          <w:tcPr>
            <w:tcW w:w="9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(188)</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(176)</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Deferred taxes</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27</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30</w:t>
            </w:r>
          </w:p>
        </w:tc>
        <w:tc>
          <w:tcPr>
            <w:tcW w:w="12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34</w:t>
            </w:r>
          </w:p>
        </w:tc>
        <w:tc>
          <w:tcPr>
            <w:tcW w:w="132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37</w:t>
            </w:r>
          </w:p>
        </w:tc>
        <w:tc>
          <w:tcPr>
            <w:tcW w:w="17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41</w:t>
            </w:r>
          </w:p>
        </w:tc>
        <w:tc>
          <w:tcPr>
            <w:tcW w:w="94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30</w:t>
            </w:r>
          </w:p>
        </w:tc>
        <w:tc>
          <w:tcPr>
            <w:tcW w:w="114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common equity</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3,800</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3,647</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3,469</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3,278</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3,102</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3,007</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2,866</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55" w:lineRule="exact"/>
              <w:rPr>
                <w:sz w:val="20"/>
                <w:szCs w:val="20"/>
                <w:color w:val="auto"/>
              </w:rPr>
            </w:pPr>
            <w:r>
              <w:rPr>
                <w:rFonts w:ascii="Arial" w:cs="Arial" w:eastAsia="Arial" w:hAnsi="Arial"/>
                <w:sz w:val="14"/>
                <w:szCs w:val="14"/>
                <w:b w:val="1"/>
                <w:bCs w:val="1"/>
                <w:color w:val="auto"/>
              </w:rPr>
              <w:t>At end of quarter</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68,247</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68,154</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68,439</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68,880</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68,997</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69,913</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64,883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(3,525)</w:t>
            </w:r>
          </w:p>
        </w:tc>
        <w:tc>
          <w:tcPr>
            <w:tcW w:w="14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(3,525)</w:t>
            </w:r>
          </w:p>
        </w:tc>
        <w:tc>
          <w:tcPr>
            <w:tcW w:w="12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(3,525)</w:t>
            </w:r>
          </w:p>
        </w:tc>
        <w:tc>
          <w:tcPr>
            <w:tcW w:w="13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(3,525)</w:t>
            </w:r>
          </w:p>
        </w:tc>
        <w:tc>
          <w:tcPr>
            <w:tcW w:w="1720" w:type="dxa"/>
            <w:vAlign w:val="bottom"/>
            <w:shd w:val="clear" w:color="auto" w:fill="CCEEFF"/>
          </w:tcPr>
          <w:p>
            <w:pPr>
              <w:jc w:val="right"/>
              <w:ind w:right="728"/>
              <w:spacing w:after="0" w:line="149" w:lineRule="exact"/>
              <w:rPr>
                <w:sz w:val="20"/>
                <w:szCs w:val="20"/>
                <w:color w:val="auto"/>
              </w:rPr>
            </w:pPr>
            <w:r>
              <w:rPr>
                <w:rFonts w:ascii="Arial" w:cs="Arial" w:eastAsia="Arial" w:hAnsi="Arial"/>
                <w:sz w:val="14"/>
                <w:szCs w:val="14"/>
                <w:color w:val="auto"/>
              </w:rPr>
              <w:t>(3,525)</w:t>
            </w:r>
          </w:p>
        </w:tc>
        <w:tc>
          <w:tcPr>
            <w:tcW w:w="9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(3,525)</w:t>
            </w:r>
          </w:p>
        </w:tc>
        <w:tc>
          <w:tcPr>
            <w:tcW w:w="11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(3,192)</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Core deposit and other intangible</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200"/>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(139)</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(152)</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(167)</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(182)</w:t>
            </w:r>
          </w:p>
        </w:tc>
        <w:tc>
          <w:tcPr>
            <w:tcW w:w="1720" w:type="dxa"/>
            <w:vAlign w:val="bottom"/>
          </w:tcPr>
          <w:p>
            <w:pPr>
              <w:jc w:val="right"/>
              <w:ind w:right="728"/>
              <w:spacing w:after="0"/>
              <w:rPr>
                <w:sz w:val="20"/>
                <w:szCs w:val="20"/>
                <w:color w:val="auto"/>
              </w:rPr>
            </w:pPr>
            <w:r>
              <w:rPr>
                <w:rFonts w:ascii="Arial" w:cs="Arial" w:eastAsia="Arial" w:hAnsi="Arial"/>
                <w:sz w:val="14"/>
                <w:szCs w:val="14"/>
                <w:color w:val="auto"/>
              </w:rPr>
              <w:t>(199)</w:t>
            </w:r>
          </w:p>
        </w:tc>
        <w:tc>
          <w:tcPr>
            <w:tcW w:w="940" w:type="dxa"/>
            <w:vAlign w:val="bottom"/>
          </w:tcPr>
          <w:p>
            <w:pPr>
              <w:jc w:val="right"/>
              <w:ind w:right="348"/>
              <w:spacing w:after="0"/>
              <w:rPr>
                <w:sz w:val="20"/>
                <w:szCs w:val="20"/>
                <w:color w:val="auto"/>
              </w:rPr>
            </w:pPr>
            <w:r>
              <w:rPr>
                <w:rFonts w:ascii="Arial" w:cs="Arial" w:eastAsia="Arial" w:hAnsi="Arial"/>
                <w:sz w:val="14"/>
                <w:szCs w:val="14"/>
                <w:color w:val="auto"/>
              </w:rPr>
              <w:t>(216)</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(168)</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2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26</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28</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31</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35</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39</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43</w:t>
            </w:r>
          </w:p>
        </w:tc>
        <w:tc>
          <w:tcPr>
            <w:tcW w:w="11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24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Total tangible assets</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64,609</w:t>
            </w:r>
          </w:p>
        </w:tc>
        <w:tc>
          <w:tcPr>
            <w:tcW w:w="148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rPr>
              <w:t>64,505</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64,778</w:t>
            </w:r>
          </w:p>
        </w:tc>
        <w:tc>
          <w:tcPr>
            <w:tcW w:w="13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65,208</w:t>
            </w:r>
          </w:p>
        </w:tc>
        <w:tc>
          <w:tcPr>
            <w:tcW w:w="1720" w:type="dxa"/>
            <w:vAlign w:val="bottom"/>
            <w:tcBorders>
              <w:bottom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rPr>
              <w:t>65,312</w:t>
            </w: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66,215</w:t>
            </w:r>
          </w:p>
        </w:tc>
        <w:tc>
          <w:tcPr>
            <w:tcW w:w="11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61,544</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Total equity</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8,232</w:t>
            </w:r>
          </w:p>
        </w:tc>
        <w:tc>
          <w:tcPr>
            <w:tcW w:w="148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8,102</w:t>
            </w:r>
          </w:p>
        </w:tc>
        <w:tc>
          <w:tcPr>
            <w:tcW w:w="12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7,916</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7,753</w:t>
            </w:r>
          </w:p>
        </w:tc>
        <w:tc>
          <w:tcPr>
            <w:tcW w:w="17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7,612</w:t>
            </w: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7,400</w:t>
            </w: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6,902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(738)</w:t>
            </w:r>
          </w:p>
        </w:tc>
        <w:tc>
          <w:tcPr>
            <w:tcW w:w="14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(735)</w:t>
            </w:r>
          </w:p>
        </w:tc>
        <w:tc>
          <w:tcPr>
            <w:tcW w:w="12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(733)</w:t>
            </w:r>
          </w:p>
        </w:tc>
        <w:tc>
          <w:tcPr>
            <w:tcW w:w="13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(730)</w:t>
            </w:r>
          </w:p>
        </w:tc>
        <w:tc>
          <w:tcPr>
            <w:tcW w:w="1720" w:type="dxa"/>
            <w:vAlign w:val="bottom"/>
            <w:shd w:val="clear" w:color="auto" w:fill="CCEEFF"/>
          </w:tcPr>
          <w:p>
            <w:pPr>
              <w:jc w:val="right"/>
              <w:ind w:right="728"/>
              <w:spacing w:after="0" w:line="149" w:lineRule="exact"/>
              <w:rPr>
                <w:sz w:val="20"/>
                <w:szCs w:val="20"/>
                <w:color w:val="auto"/>
              </w:rPr>
            </w:pPr>
            <w:r>
              <w:rPr>
                <w:rFonts w:ascii="Arial" w:cs="Arial" w:eastAsia="Arial" w:hAnsi="Arial"/>
                <w:sz w:val="14"/>
                <w:szCs w:val="14"/>
                <w:color w:val="auto"/>
              </w:rPr>
              <w:t>(728)</w:t>
            </w:r>
          </w:p>
        </w:tc>
        <w:tc>
          <w:tcPr>
            <w:tcW w:w="9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(725)</w:t>
            </w:r>
          </w:p>
        </w:tc>
        <w:tc>
          <w:tcPr>
            <w:tcW w:w="11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(568)</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Undeclared dividends - preferred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24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stock</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w:t>
            </w:r>
          </w:p>
        </w:tc>
        <w:tc>
          <w:tcPr>
            <w:tcW w:w="14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(7)</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w:t>
            </w:r>
          </w:p>
        </w:tc>
        <w:tc>
          <w:tcPr>
            <w:tcW w:w="13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w:t>
            </w:r>
          </w:p>
        </w:tc>
        <w:tc>
          <w:tcPr>
            <w:tcW w:w="17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w:t>
            </w: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equity, net of undeclared</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preferred dividends</w:t>
            </w:r>
          </w:p>
        </w:tc>
        <w:tc>
          <w:tcPr>
            <w:tcW w:w="2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7,488</w:t>
            </w:r>
          </w:p>
        </w:tc>
        <w:tc>
          <w:tcPr>
            <w:tcW w:w="14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7,360</w:t>
            </w:r>
          </w:p>
        </w:tc>
        <w:tc>
          <w:tcPr>
            <w:tcW w:w="12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7,177</w:t>
            </w: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7,017</w:t>
            </w:r>
          </w:p>
        </w:tc>
        <w:tc>
          <w:tcPr>
            <w:tcW w:w="172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6,879</w:t>
            </w:r>
          </w:p>
        </w:tc>
        <w:tc>
          <w:tcPr>
            <w:tcW w:w="9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6,669</w:t>
            </w:r>
          </w:p>
        </w:tc>
        <w:tc>
          <w:tcPr>
            <w:tcW w:w="11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6,329</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55" w:lineRule="exact"/>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3"/>
                <w:szCs w:val="13"/>
                <w:color w:val="auto"/>
              </w:rPr>
            </w:pPr>
          </w:p>
        </w:tc>
        <w:tc>
          <w:tcPr>
            <w:tcW w:w="8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(3,525)</w:t>
            </w:r>
          </w:p>
        </w:tc>
        <w:tc>
          <w:tcPr>
            <w:tcW w:w="148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(3,525)</w:t>
            </w:r>
          </w:p>
        </w:tc>
        <w:tc>
          <w:tcPr>
            <w:tcW w:w="12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(3,525)</w:t>
            </w:r>
          </w:p>
        </w:tc>
        <w:tc>
          <w:tcPr>
            <w:tcW w:w="132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(3,525)</w:t>
            </w:r>
          </w:p>
        </w:tc>
        <w:tc>
          <w:tcPr>
            <w:tcW w:w="1720" w:type="dxa"/>
            <w:vAlign w:val="bottom"/>
          </w:tcPr>
          <w:p>
            <w:pPr>
              <w:jc w:val="right"/>
              <w:ind w:right="728"/>
              <w:spacing w:after="0" w:line="155" w:lineRule="exact"/>
              <w:rPr>
                <w:sz w:val="20"/>
                <w:szCs w:val="20"/>
                <w:color w:val="auto"/>
              </w:rPr>
            </w:pPr>
            <w:r>
              <w:rPr>
                <w:rFonts w:ascii="Arial" w:cs="Arial" w:eastAsia="Arial" w:hAnsi="Arial"/>
                <w:sz w:val="14"/>
                <w:szCs w:val="14"/>
                <w:color w:val="auto"/>
              </w:rPr>
              <w:t>(3,525)</w:t>
            </w:r>
          </w:p>
        </w:tc>
        <w:tc>
          <w:tcPr>
            <w:tcW w:w="94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(3,525)</w:t>
            </w:r>
          </w:p>
        </w:tc>
        <w:tc>
          <w:tcPr>
            <w:tcW w:w="114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(3,192)</w:t>
            </w:r>
          </w:p>
        </w:tc>
        <w:tc>
          <w:tcPr>
            <w:tcW w:w="2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Core deposit and other intangible</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(139)</w:t>
            </w:r>
          </w:p>
        </w:tc>
        <w:tc>
          <w:tcPr>
            <w:tcW w:w="14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(152)</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(167)</w:t>
            </w:r>
          </w:p>
        </w:tc>
        <w:tc>
          <w:tcPr>
            <w:tcW w:w="13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(182)</w:t>
            </w:r>
          </w:p>
        </w:tc>
        <w:tc>
          <w:tcPr>
            <w:tcW w:w="17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(199)</w:t>
            </w:r>
          </w:p>
        </w:tc>
        <w:tc>
          <w:tcPr>
            <w:tcW w:w="9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(216)</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(168)</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Deferred taxes</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26</w:t>
            </w:r>
          </w:p>
        </w:tc>
        <w:tc>
          <w:tcPr>
            <w:tcW w:w="148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28</w:t>
            </w:r>
          </w:p>
        </w:tc>
        <w:tc>
          <w:tcPr>
            <w:tcW w:w="12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31</w:t>
            </w:r>
          </w:p>
        </w:tc>
        <w:tc>
          <w:tcPr>
            <w:tcW w:w="132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35</w:t>
            </w:r>
          </w:p>
        </w:tc>
        <w:tc>
          <w:tcPr>
            <w:tcW w:w="17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39</w:t>
            </w:r>
          </w:p>
        </w:tc>
        <w:tc>
          <w:tcPr>
            <w:tcW w:w="94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43</w:t>
            </w:r>
          </w:p>
        </w:tc>
        <w:tc>
          <w:tcPr>
            <w:tcW w:w="114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common equity</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3,850</w:t>
            </w:r>
          </w:p>
        </w:tc>
        <w:tc>
          <w:tcPr>
            <w:tcW w:w="148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3,711</w:t>
            </w:r>
          </w:p>
        </w:tc>
        <w:tc>
          <w:tcPr>
            <w:tcW w:w="12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3,516</w:t>
            </w:r>
          </w:p>
        </w:tc>
        <w:tc>
          <w:tcPr>
            <w:tcW w:w="13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3,345</w:t>
            </w:r>
          </w:p>
        </w:tc>
        <w:tc>
          <w:tcPr>
            <w:tcW w:w="17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3,194</w:t>
            </w:r>
          </w:p>
        </w:tc>
        <w:tc>
          <w:tcPr>
            <w:tcW w:w="9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2,971</w:t>
            </w:r>
          </w:p>
        </w:tc>
        <w:tc>
          <w:tcPr>
            <w:tcW w:w="11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2,990</w:t>
            </w:r>
          </w:p>
        </w:tc>
        <w:tc>
          <w:tcPr>
            <w:tcW w:w="20" w:type="dxa"/>
            <w:vAlign w:val="bottom"/>
          </w:tcPr>
          <w:p>
            <w:pPr>
              <w:spacing w:after="0"/>
              <w:rPr>
                <w:sz w:val="12"/>
                <w:szCs w:val="12"/>
                <w:color w:val="auto"/>
              </w:rPr>
            </w:pPr>
          </w:p>
        </w:tc>
      </w:tr>
    </w:tbl>
    <w:p>
      <w:pPr>
        <w:spacing w:after="0" w:line="17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310"/>
        </w:trPr>
        <w:tc>
          <w:tcPr>
            <w:tcW w:w="7920" w:type="dxa"/>
            <w:vAlign w:val="bottom"/>
            <w:gridSpan w:val="9"/>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4"/>
                <w:szCs w:val="14"/>
                <w:color w:val="auto"/>
                <w:w w:val="91"/>
              </w:rPr>
              <w:t>Average</w:t>
            </w:r>
          </w:p>
        </w:tc>
        <w:tc>
          <w:tcPr>
            <w:tcW w:w="1240" w:type="dxa"/>
            <w:vAlign w:val="bottom"/>
          </w:tcPr>
          <w:p>
            <w:pPr>
              <w:jc w:val="right"/>
              <w:spacing w:after="0"/>
              <w:rPr>
                <w:sz w:val="20"/>
                <w:szCs w:val="20"/>
                <w:color w:val="auto"/>
              </w:rPr>
            </w:pPr>
            <w:r>
              <w:rPr>
                <w:rFonts w:ascii="Arial" w:cs="Arial" w:eastAsia="Arial" w:hAnsi="Arial"/>
                <w:sz w:val="14"/>
                <w:szCs w:val="14"/>
                <w:color w:val="auto"/>
                <w:w w:val="96"/>
              </w:rPr>
              <w:t>2010 Third Quarter</w:t>
            </w:r>
          </w:p>
        </w:tc>
        <w:tc>
          <w:tcPr>
            <w:tcW w:w="760" w:type="dxa"/>
            <w:vAlign w:val="bottom"/>
            <w:vMerge w:val="restart"/>
          </w:tcPr>
          <w:p>
            <w:pPr>
              <w:jc w:val="right"/>
              <w:ind w:right="91"/>
              <w:spacing w:after="0"/>
              <w:rPr>
                <w:sz w:val="20"/>
                <w:szCs w:val="20"/>
                <w:color w:val="auto"/>
              </w:rPr>
            </w:pPr>
            <w:r>
              <w:rPr>
                <w:rFonts w:ascii="Arial" w:cs="Arial" w:eastAsia="Arial" w:hAnsi="Arial"/>
                <w:sz w:val="14"/>
                <w:szCs w:val="14"/>
                <w:color w:val="auto"/>
              </w:rPr>
              <w:t>Average</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Average</w:t>
            </w:r>
          </w:p>
        </w:tc>
        <w:tc>
          <w:tcPr>
            <w:tcW w:w="1320" w:type="dxa"/>
            <w:vAlign w:val="bottom"/>
          </w:tcPr>
          <w:p>
            <w:pPr>
              <w:jc w:val="right"/>
              <w:spacing w:after="0"/>
              <w:rPr>
                <w:sz w:val="20"/>
                <w:szCs w:val="20"/>
                <w:color w:val="auto"/>
              </w:rPr>
            </w:pPr>
            <w:r>
              <w:rPr>
                <w:rFonts w:ascii="Arial" w:cs="Arial" w:eastAsia="Arial" w:hAnsi="Arial"/>
                <w:sz w:val="14"/>
                <w:szCs w:val="14"/>
                <w:color w:val="auto"/>
                <w:w w:val="92"/>
              </w:rPr>
              <w:t>2010 Second Quarter</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w w:val="99"/>
              </w:rPr>
              <w:t>Average</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1260" w:type="dxa"/>
            <w:vAlign w:val="bottom"/>
          </w:tcPr>
          <w:p>
            <w:pPr>
              <w:ind w:left="80"/>
              <w:spacing w:after="0"/>
              <w:rPr>
                <w:sz w:val="20"/>
                <w:szCs w:val="20"/>
                <w:color w:val="auto"/>
              </w:rPr>
            </w:pPr>
            <w:r>
              <w:rPr>
                <w:rFonts w:ascii="Arial" w:cs="Arial" w:eastAsia="Arial" w:hAnsi="Arial"/>
                <w:sz w:val="14"/>
                <w:szCs w:val="14"/>
                <w:color w:val="auto"/>
              </w:rPr>
              <w:t>2010 First Quarter</w:t>
            </w:r>
          </w:p>
        </w:tc>
        <w:tc>
          <w:tcPr>
            <w:tcW w:w="700" w:type="dxa"/>
            <w:vAlign w:val="bottom"/>
            <w:vMerge w:val="restart"/>
          </w:tcPr>
          <w:p>
            <w:pPr>
              <w:jc w:val="right"/>
              <w:ind w:right="31"/>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40" w:type="dxa"/>
            <w:vAlign w:val="bottom"/>
            <w:gridSpan w:val="3"/>
          </w:tcPr>
          <w:p>
            <w:pPr>
              <w:spacing w:after="0"/>
              <w:rPr>
                <w:sz w:val="20"/>
                <w:szCs w:val="20"/>
                <w:color w:val="auto"/>
              </w:rPr>
            </w:pPr>
            <w:r>
              <w:rPr>
                <w:rFonts w:ascii="Arial" w:cs="Arial" w:eastAsia="Arial" w:hAnsi="Arial"/>
                <w:sz w:val="14"/>
                <w:szCs w:val="14"/>
                <w:i w:val="1"/>
                <w:iCs w:val="1"/>
                <w:color w:val="auto"/>
                <w:w w:val="98"/>
              </w:rPr>
              <w:t>Average balance in millions; interest in thousands</w:t>
            </w:r>
          </w:p>
        </w:tc>
        <w:tc>
          <w:tcPr>
            <w:tcW w:w="220" w:type="dxa"/>
            <w:vAlign w:val="bottom"/>
          </w:tcPr>
          <w:p>
            <w:pPr>
              <w:spacing w:after="0"/>
              <w:rPr>
                <w:sz w:val="15"/>
                <w:szCs w:val="15"/>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w w:val="94"/>
              </w:rPr>
              <w:t>Balance</w:t>
            </w:r>
          </w:p>
        </w:tc>
        <w:tc>
          <w:tcPr>
            <w:tcW w:w="1240" w:type="dxa"/>
            <w:vAlign w:val="bottom"/>
          </w:tcPr>
          <w:p>
            <w:pPr>
              <w:jc w:val="right"/>
              <w:ind w:right="271"/>
              <w:spacing w:after="0"/>
              <w:rPr>
                <w:sz w:val="20"/>
                <w:szCs w:val="20"/>
                <w:color w:val="auto"/>
              </w:rPr>
            </w:pPr>
            <w:r>
              <w:rPr>
                <w:rFonts w:ascii="Arial" w:cs="Arial" w:eastAsia="Arial" w:hAnsi="Arial"/>
                <w:sz w:val="14"/>
                <w:szCs w:val="14"/>
                <w:color w:val="auto"/>
              </w:rPr>
              <w:t>Interest</w:t>
            </w:r>
          </w:p>
        </w:tc>
        <w:tc>
          <w:tcPr>
            <w:tcW w:w="760" w:type="dxa"/>
            <w:vAlign w:val="bottom"/>
          </w:tcPr>
          <w:p>
            <w:pPr>
              <w:jc w:val="right"/>
              <w:ind w:right="191"/>
              <w:spacing w:after="0"/>
              <w:rPr>
                <w:sz w:val="20"/>
                <w:szCs w:val="20"/>
                <w:color w:val="auto"/>
              </w:rPr>
            </w:pPr>
            <w:r>
              <w:rPr>
                <w:rFonts w:ascii="Arial" w:cs="Arial" w:eastAsia="Arial" w:hAnsi="Arial"/>
                <w:sz w:val="14"/>
                <w:szCs w:val="14"/>
                <w:color w:val="auto"/>
              </w:rPr>
              <w:t>Rate</w:t>
            </w:r>
          </w:p>
        </w:tc>
        <w:tc>
          <w:tcPr>
            <w:tcW w:w="740" w:type="dxa"/>
            <w:vAlign w:val="bottom"/>
          </w:tcPr>
          <w:p>
            <w:pPr>
              <w:jc w:val="right"/>
              <w:spacing w:after="0"/>
              <w:rPr>
                <w:sz w:val="20"/>
                <w:szCs w:val="20"/>
                <w:color w:val="auto"/>
              </w:rPr>
            </w:pPr>
            <w:r>
              <w:rPr>
                <w:rFonts w:ascii="Arial" w:cs="Arial" w:eastAsia="Arial" w:hAnsi="Arial"/>
                <w:sz w:val="14"/>
                <w:szCs w:val="14"/>
                <w:color w:val="auto"/>
              </w:rPr>
              <w:t>Balance</w:t>
            </w:r>
          </w:p>
        </w:tc>
        <w:tc>
          <w:tcPr>
            <w:tcW w:w="1320" w:type="dxa"/>
            <w:vAlign w:val="bottom"/>
          </w:tcPr>
          <w:p>
            <w:pPr>
              <w:jc w:val="right"/>
              <w:ind w:right="331"/>
              <w:spacing w:after="0"/>
              <w:rPr>
                <w:sz w:val="20"/>
                <w:szCs w:val="20"/>
                <w:color w:val="auto"/>
              </w:rPr>
            </w:pPr>
            <w:r>
              <w:rPr>
                <w:rFonts w:ascii="Arial" w:cs="Arial" w:eastAsia="Arial" w:hAnsi="Arial"/>
                <w:sz w:val="14"/>
                <w:szCs w:val="14"/>
                <w:color w:val="auto"/>
              </w:rPr>
              <w:t>Interest</w:t>
            </w:r>
          </w:p>
        </w:tc>
        <w:tc>
          <w:tcPr>
            <w:tcW w:w="74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Balance</w:t>
            </w:r>
          </w:p>
        </w:tc>
        <w:tc>
          <w:tcPr>
            <w:tcW w:w="1260" w:type="dxa"/>
            <w:vAlign w:val="bottom"/>
          </w:tcPr>
          <w:p>
            <w:pPr>
              <w:jc w:val="right"/>
              <w:ind w:right="291"/>
              <w:spacing w:after="0"/>
              <w:rPr>
                <w:sz w:val="20"/>
                <w:szCs w:val="20"/>
                <w:color w:val="auto"/>
              </w:rPr>
            </w:pPr>
            <w:r>
              <w:rPr>
                <w:rFonts w:ascii="Arial" w:cs="Arial" w:eastAsia="Arial" w:hAnsi="Arial"/>
                <w:sz w:val="14"/>
                <w:szCs w:val="14"/>
                <w:color w:val="auto"/>
              </w:rPr>
              <w:t>Interest</w:t>
            </w:r>
          </w:p>
        </w:tc>
        <w:tc>
          <w:tcPr>
            <w:tcW w:w="700" w:type="dxa"/>
            <w:vAlign w:val="bottom"/>
          </w:tcPr>
          <w:p>
            <w:pPr>
              <w:jc w:val="right"/>
              <w:ind w:right="131"/>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discount*</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Commercial, financial, etc.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12,856</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$128,578</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3.97%</w:t>
            </w:r>
          </w:p>
        </w:tc>
        <w:tc>
          <w:tcPr>
            <w:tcW w:w="740" w:type="dxa"/>
            <w:vAlign w:val="bottom"/>
          </w:tcPr>
          <w:p>
            <w:pPr>
              <w:jc w:val="right"/>
              <w:spacing w:after="0"/>
              <w:rPr>
                <w:sz w:val="20"/>
                <w:szCs w:val="20"/>
                <w:color w:val="auto"/>
              </w:rPr>
            </w:pPr>
            <w:r>
              <w:rPr>
                <w:rFonts w:ascii="Arial" w:cs="Arial" w:eastAsia="Arial" w:hAnsi="Arial"/>
                <w:sz w:val="18"/>
                <w:szCs w:val="18"/>
                <w:color w:val="auto"/>
              </w:rPr>
              <w:t>13,096</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131,460</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4.03%</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13,408</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128,147</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Real estate — commercial</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7"/>
              </w:rPr>
              <w:t>20,612</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250,038</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240,728</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4.64</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20,867</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233,561</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Real estate — consumer</w:t>
            </w:r>
          </w:p>
        </w:tc>
        <w:tc>
          <w:tcPr>
            <w:tcW w:w="22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5,680</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75,312</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5.30</w:t>
            </w:r>
          </w:p>
        </w:tc>
        <w:tc>
          <w:tcPr>
            <w:tcW w:w="740" w:type="dxa"/>
            <w:vAlign w:val="bottom"/>
          </w:tcPr>
          <w:p>
            <w:pPr>
              <w:jc w:val="right"/>
              <w:spacing w:after="0"/>
              <w:rPr>
                <w:sz w:val="20"/>
                <w:szCs w:val="20"/>
                <w:color w:val="auto"/>
              </w:rPr>
            </w:pPr>
            <w:r>
              <w:rPr>
                <w:rFonts w:ascii="Arial" w:cs="Arial" w:eastAsia="Arial" w:hAnsi="Arial"/>
                <w:sz w:val="18"/>
                <w:szCs w:val="18"/>
                <w:color w:val="auto"/>
              </w:rPr>
              <w:t>5,653</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75,643</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5.35</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5,742</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76,283</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11,687</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153,763</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5.22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153,728</w:t>
            </w: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5.24</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11,931</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154,688</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 loans and leases, net</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50,835</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607,691</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4.74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51,278</w:t>
            </w: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601,559</w:t>
            </w: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4.71</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51,948</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592,679</w:t>
            </w: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34</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.02</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w w:val="98"/>
              </w:rPr>
              <w:t>Federal funds sold and agreements to</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resell securities</w:t>
            </w:r>
          </w:p>
        </w:tc>
        <w:tc>
          <w:tcPr>
            <w:tcW w:w="22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41</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.26</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11</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.41</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13</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134</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159</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.96</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121</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U.S. Treasury and federal agencies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4,541</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48,018</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51,282</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4.32</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4,396</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49,131</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Pr>
          <w:p>
            <w:pPr>
              <w:ind w:left="60"/>
              <w:spacing w:after="0" w:line="201" w:lineRule="exact"/>
              <w:rPr>
                <w:sz w:val="20"/>
                <w:szCs w:val="20"/>
                <w:color w:val="auto"/>
              </w:rPr>
            </w:pPr>
            <w:r>
              <w:rPr>
                <w:rFonts w:ascii="Arial" w:cs="Arial" w:eastAsia="Arial" w:hAnsi="Arial"/>
                <w:sz w:val="18"/>
                <w:szCs w:val="18"/>
                <w:color w:val="auto"/>
              </w:rPr>
              <w:t>Obligations of states and political</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subdivisions</w:t>
            </w:r>
          </w:p>
        </w:tc>
        <w:tc>
          <w:tcPr>
            <w:tcW w:w="22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3,740</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5.48</w:t>
            </w:r>
          </w:p>
        </w:tc>
        <w:tc>
          <w:tcPr>
            <w:tcW w:w="740" w:type="dxa"/>
            <w:vAlign w:val="bottom"/>
          </w:tcPr>
          <w:p>
            <w:pPr>
              <w:jc w:val="right"/>
              <w:spacing w:after="0"/>
              <w:rPr>
                <w:sz w:val="20"/>
                <w:szCs w:val="20"/>
                <w:color w:val="auto"/>
              </w:rPr>
            </w:pPr>
            <w:r>
              <w:rPr>
                <w:rFonts w:ascii="Arial" w:cs="Arial" w:eastAsia="Arial" w:hAnsi="Arial"/>
                <w:sz w:val="18"/>
                <w:szCs w:val="18"/>
                <w:color w:val="auto"/>
              </w:rPr>
              <w:t>272</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3,963</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5.85</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3,741</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3,181</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32,107</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33,910</w:t>
            </w: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4.07</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3,508</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36,618</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 investment securities</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7,993</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83,865</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89,155</w:t>
            </w: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4.27</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8,172</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89,490</w:t>
            </w: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earning assets</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59,066</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691,765</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4.65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59,811</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690,889</w:t>
            </w: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4.63</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60,331</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682,309</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Allowance for credit losses</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(908)</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(905)</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1,081</w:t>
            </w:r>
          </w:p>
        </w:tc>
        <w:tc>
          <w:tcPr>
            <w:tcW w:w="1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1,136</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8,572</w:t>
            </w:r>
          </w:p>
        </w:tc>
        <w:tc>
          <w:tcPr>
            <w:tcW w:w="1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1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8,316</w:t>
            </w: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67,811</w:t>
            </w:r>
          </w:p>
        </w:tc>
        <w:tc>
          <w:tcPr>
            <w:tcW w:w="1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68,334</w:t>
            </w:r>
          </w:p>
        </w:tc>
        <w:tc>
          <w:tcPr>
            <w:tcW w:w="1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68,883</w:t>
            </w:r>
          </w:p>
        </w:tc>
        <w:tc>
          <w:tcPr>
            <w:tcW w:w="1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NOW accounts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219</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219</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200</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Savings deposits</w:t>
            </w:r>
          </w:p>
        </w:tc>
        <w:tc>
          <w:tcPr>
            <w:tcW w:w="22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26,177</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21,453</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.33</w:t>
            </w:r>
          </w:p>
        </w:tc>
        <w:tc>
          <w:tcPr>
            <w:tcW w:w="740" w:type="dxa"/>
            <w:vAlign w:val="bottom"/>
          </w:tcPr>
          <w:p>
            <w:pPr>
              <w:jc w:val="right"/>
              <w:spacing w:after="0"/>
              <w:rPr>
                <w:sz w:val="20"/>
                <w:szCs w:val="20"/>
                <w:color w:val="auto"/>
              </w:rPr>
            </w:pPr>
            <w:r>
              <w:rPr>
                <w:rFonts w:ascii="Arial" w:cs="Arial" w:eastAsia="Arial" w:hAnsi="Arial"/>
                <w:sz w:val="18"/>
                <w:szCs w:val="18"/>
                <w:color w:val="auto"/>
              </w:rPr>
              <w:t>25,942</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21,464</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.33</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25,068</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20,449</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6,312</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23,309</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26,254</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7,210</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29,446</w:t>
            </w:r>
          </w:p>
        </w:tc>
        <w:tc>
          <w:tcPr>
            <w:tcW w:w="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Deposits at foreign office</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802</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315</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376</w:t>
            </w: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.16</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1,237</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325</w:t>
            </w: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33,883</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45,296</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34,322</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48,313</w:t>
            </w: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.56</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34,100</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50,420</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22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1,858</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760</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.16</w:t>
            </w:r>
          </w:p>
        </w:tc>
        <w:tc>
          <w:tcPr>
            <w:tcW w:w="740" w:type="dxa"/>
            <w:vAlign w:val="bottom"/>
          </w:tcPr>
          <w:p>
            <w:pPr>
              <w:jc w:val="right"/>
              <w:spacing w:after="0"/>
              <w:rPr>
                <w:sz w:val="20"/>
                <w:szCs w:val="20"/>
                <w:color w:val="auto"/>
              </w:rPr>
            </w:pPr>
            <w:r>
              <w:rPr>
                <w:rFonts w:ascii="Arial" w:cs="Arial" w:eastAsia="Arial" w:hAnsi="Arial"/>
                <w:sz w:val="18"/>
                <w:szCs w:val="18"/>
                <w:color w:val="auto"/>
              </w:rPr>
              <w:t>1,763</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726</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.17</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2,367</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887</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8,948</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69,976</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68,518</w:t>
            </w: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2.91</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10,160</w:t>
            </w: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68,745</w:t>
            </w: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7"/>
              </w:rPr>
              <w:t>Total interest-bearing liabilities</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44,689</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116,032</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45,539</w:t>
            </w: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117,557</w:t>
            </w: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1.04</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46,627</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120,052</w:t>
            </w: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7"/>
              </w:rPr>
              <w:t>13,647</w:t>
            </w:r>
          </w:p>
        </w:tc>
        <w:tc>
          <w:tcPr>
            <w:tcW w:w="1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13,294</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1,294</w:t>
            </w:r>
          </w:p>
        </w:tc>
        <w:tc>
          <w:tcPr>
            <w:tcW w:w="1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1,094</w:t>
            </w: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59,630</w:t>
            </w:r>
          </w:p>
        </w:tc>
        <w:tc>
          <w:tcPr>
            <w:tcW w:w="1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60,298</w:t>
            </w:r>
          </w:p>
        </w:tc>
        <w:tc>
          <w:tcPr>
            <w:tcW w:w="1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61,015</w:t>
            </w:r>
          </w:p>
        </w:tc>
        <w:tc>
          <w:tcPr>
            <w:tcW w:w="1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8,181</w:t>
            </w:r>
          </w:p>
        </w:tc>
        <w:tc>
          <w:tcPr>
            <w:tcW w:w="1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1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7,868</w:t>
            </w:r>
          </w:p>
        </w:tc>
        <w:tc>
          <w:tcPr>
            <w:tcW w:w="1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Total liabilities and stockholders’</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8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67,811</w:t>
            </w:r>
          </w:p>
        </w:tc>
        <w:tc>
          <w:tcPr>
            <w:tcW w:w="1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68,334</w:t>
            </w:r>
          </w:p>
        </w:tc>
        <w:tc>
          <w:tcPr>
            <w:tcW w:w="1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68,883</w:t>
            </w:r>
          </w:p>
        </w:tc>
        <w:tc>
          <w:tcPr>
            <w:tcW w:w="1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interest spread</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3.62</w:t>
            </w:r>
          </w:p>
        </w:tc>
        <w:tc>
          <w:tcPr>
            <w:tcW w:w="7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rPr>
              <w:t>3.59</w:t>
            </w:r>
          </w:p>
        </w:tc>
        <w:tc>
          <w:tcPr>
            <w:tcW w:w="8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.25</w:t>
            </w:r>
          </w:p>
        </w:tc>
        <w:tc>
          <w:tcPr>
            <w:tcW w:w="7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.25</w:t>
            </w:r>
          </w:p>
        </w:tc>
        <w:tc>
          <w:tcPr>
            <w:tcW w:w="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w w:val="98"/>
              </w:rPr>
              <w:t>Net interest income/margin on earning</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$575,733</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3.87%</w:t>
            </w:r>
          </w:p>
        </w:tc>
        <w:tc>
          <w:tcPr>
            <w:tcW w:w="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573,332</w:t>
            </w: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3.84%</w:t>
            </w: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562,257</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0" w:type="dxa"/>
            <w:vAlign w:val="bottom"/>
            <w:gridSpan w:val="2"/>
          </w:tcPr>
          <w:p>
            <w:pPr>
              <w:spacing w:after="0"/>
              <w:rPr>
                <w:sz w:val="20"/>
                <w:szCs w:val="20"/>
                <w:color w:val="auto"/>
              </w:rPr>
            </w:pPr>
            <w:r>
              <w:rPr>
                <w:rFonts w:ascii="Arial" w:cs="Arial" w:eastAsia="Arial" w:hAnsi="Arial"/>
                <w:sz w:val="18"/>
                <w:szCs w:val="18"/>
                <w:i w:val="1"/>
                <w:iCs w:val="1"/>
                <w:color w:val="auto"/>
              </w:rPr>
              <w:t>*</w:t>
            </w:r>
          </w:p>
        </w:tc>
        <w:tc>
          <w:tcPr>
            <w:tcW w:w="2880" w:type="dxa"/>
            <w:vAlign w:val="bottom"/>
          </w:tcPr>
          <w:p>
            <w:pPr>
              <w:ind w:left="300"/>
              <w:spacing w:after="0"/>
              <w:rPr>
                <w:sz w:val="20"/>
                <w:szCs w:val="20"/>
                <w:color w:val="auto"/>
              </w:rPr>
            </w:pPr>
            <w:r>
              <w:rPr>
                <w:rFonts w:ascii="Arial" w:cs="Arial" w:eastAsia="Arial" w:hAnsi="Arial"/>
                <w:sz w:val="18"/>
                <w:szCs w:val="18"/>
                <w:i w:val="1"/>
                <w:iCs w:val="1"/>
                <w:color w:val="auto"/>
              </w:rPr>
              <w:t>Includes nonaccrual loans.</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60" w:type="dxa"/>
            <w:vAlign w:val="bottom"/>
          </w:tcPr>
          <w:p>
            <w:pPr>
              <w:ind w:left="80"/>
              <w:spacing w:after="0"/>
              <w:rPr>
                <w:sz w:val="20"/>
                <w:szCs w:val="20"/>
                <w:color w:val="auto"/>
              </w:rPr>
            </w:pPr>
            <w:r>
              <w:rPr>
                <w:rFonts w:ascii="Arial" w:cs="Arial" w:eastAsia="Arial" w:hAnsi="Arial"/>
                <w:sz w:val="18"/>
                <w:szCs w:val="18"/>
                <w:color w:val="auto"/>
              </w:rPr>
              <w:t>(continued)</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Table 3 (continued)</w:t>
            </w:r>
          </w:p>
        </w:tc>
      </w:tr>
      <w:tr>
        <w:trPr>
          <w:trHeight w:val="310"/>
        </w:trPr>
        <w:tc>
          <w:tcPr>
            <w:tcW w:w="7760" w:type="dxa"/>
            <w:vAlign w:val="bottom"/>
            <w:gridSpan w:val="6"/>
          </w:tcPr>
          <w:p>
            <w:pPr>
              <w:spacing w:after="0"/>
              <w:rPr>
                <w:sz w:val="20"/>
                <w:szCs w:val="20"/>
                <w:color w:val="auto"/>
              </w:rPr>
            </w:pPr>
            <w:r>
              <w:rPr>
                <w:rFonts w:ascii="Arial" w:cs="Arial" w:eastAsia="Arial" w:hAnsi="Arial"/>
                <w:sz w:val="18"/>
                <w:szCs w:val="18"/>
                <w:color w:val="auto"/>
                <w:w w:val="99"/>
              </w:rPr>
              <w:t>AVERAGE BALANCE SHEETS AND ANNUALIZED TAXABLE-EQUIVALENT RATES (continued)</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jc w:val="right"/>
              <w:ind w:right="211"/>
              <w:spacing w:after="0"/>
              <w:rPr>
                <w:sz w:val="20"/>
                <w:szCs w:val="20"/>
                <w:color w:val="auto"/>
              </w:rPr>
            </w:pPr>
            <w:r>
              <w:rPr>
                <w:rFonts w:ascii="Arial" w:cs="Arial" w:eastAsia="Arial" w:hAnsi="Arial"/>
                <w:sz w:val="14"/>
                <w:szCs w:val="14"/>
                <w:color w:val="auto"/>
              </w:rPr>
              <w:t>2009 Fourth Quarter</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20" w:type="dxa"/>
            <w:vAlign w:val="bottom"/>
            <w:gridSpan w:val="2"/>
          </w:tcPr>
          <w:p>
            <w:pPr>
              <w:jc w:val="right"/>
              <w:ind w:right="1251"/>
              <w:spacing w:after="0"/>
              <w:rPr>
                <w:sz w:val="20"/>
                <w:szCs w:val="20"/>
                <w:color w:val="auto"/>
              </w:rPr>
            </w:pPr>
            <w:r>
              <w:rPr>
                <w:rFonts w:ascii="Arial" w:cs="Arial" w:eastAsia="Arial" w:hAnsi="Arial"/>
                <w:sz w:val="14"/>
                <w:szCs w:val="14"/>
                <w:color w:val="auto"/>
              </w:rPr>
              <w:t>2009 Third Quarter</w:t>
            </w: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211"/>
              <w:spacing w:after="0" w:line="149" w:lineRule="exact"/>
              <w:rPr>
                <w:sz w:val="20"/>
                <w:szCs w:val="20"/>
                <w:color w:val="auto"/>
              </w:rPr>
            </w:pPr>
            <w:r>
              <w:rPr>
                <w:rFonts w:ascii="Arial" w:cs="Arial" w:eastAsia="Arial" w:hAnsi="Arial"/>
                <w:sz w:val="14"/>
                <w:szCs w:val="14"/>
                <w:color w:val="auto"/>
                <w:w w:val="91"/>
              </w:rPr>
              <w:t>Average</w:t>
            </w:r>
          </w:p>
        </w:tc>
        <w:tc>
          <w:tcPr>
            <w:tcW w:w="1720" w:type="dxa"/>
            <w:vAlign w:val="bottom"/>
          </w:tcPr>
          <w:p>
            <w:pPr>
              <w:spacing w:after="0"/>
              <w:rPr>
                <w:sz w:val="12"/>
                <w:szCs w:val="12"/>
                <w:color w:val="auto"/>
              </w:rPr>
            </w:pPr>
          </w:p>
        </w:tc>
        <w:tc>
          <w:tcPr>
            <w:tcW w:w="1520" w:type="dxa"/>
            <w:vAlign w:val="bottom"/>
          </w:tcPr>
          <w:p>
            <w:pPr>
              <w:jc w:val="right"/>
              <w:ind w:right="631"/>
              <w:spacing w:after="0" w:line="149" w:lineRule="exact"/>
              <w:rPr>
                <w:sz w:val="20"/>
                <w:szCs w:val="20"/>
                <w:color w:val="auto"/>
              </w:rPr>
            </w:pPr>
            <w:r>
              <w:rPr>
                <w:rFonts w:ascii="Arial" w:cs="Arial" w:eastAsia="Arial" w:hAnsi="Arial"/>
                <w:sz w:val="14"/>
                <w:szCs w:val="14"/>
                <w:color w:val="auto"/>
              </w:rPr>
              <w:t>Average</w:t>
            </w:r>
          </w:p>
        </w:tc>
        <w:tc>
          <w:tcPr>
            <w:tcW w:w="94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Average</w:t>
            </w:r>
          </w:p>
        </w:tc>
        <w:tc>
          <w:tcPr>
            <w:tcW w:w="1260" w:type="dxa"/>
            <w:vAlign w:val="bottom"/>
          </w:tcPr>
          <w:p>
            <w:pPr>
              <w:spacing w:after="0"/>
              <w:rPr>
                <w:sz w:val="12"/>
                <w:szCs w:val="12"/>
                <w:color w:val="auto"/>
              </w:rPr>
            </w:pPr>
          </w:p>
        </w:tc>
        <w:tc>
          <w:tcPr>
            <w:tcW w:w="14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60" w:type="dxa"/>
            <w:vAlign w:val="bottom"/>
          </w:tcPr>
          <w:p>
            <w:pPr>
              <w:spacing w:after="0"/>
              <w:rPr>
                <w:sz w:val="15"/>
                <w:szCs w:val="15"/>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color w:val="auto"/>
                <w:w w:val="90"/>
              </w:rPr>
              <w:t>Balance</w:t>
            </w:r>
          </w:p>
        </w:tc>
        <w:tc>
          <w:tcPr>
            <w:tcW w:w="1720" w:type="dxa"/>
            <w:vAlign w:val="bottom"/>
          </w:tcPr>
          <w:p>
            <w:pPr>
              <w:jc w:val="right"/>
              <w:ind w:right="511"/>
              <w:spacing w:after="0"/>
              <w:rPr>
                <w:sz w:val="20"/>
                <w:szCs w:val="20"/>
                <w:color w:val="auto"/>
              </w:rPr>
            </w:pPr>
            <w:r>
              <w:rPr>
                <w:rFonts w:ascii="Arial" w:cs="Arial" w:eastAsia="Arial" w:hAnsi="Arial"/>
                <w:sz w:val="14"/>
                <w:szCs w:val="14"/>
                <w:color w:val="auto"/>
              </w:rPr>
              <w:t>Interest</w:t>
            </w:r>
          </w:p>
        </w:tc>
        <w:tc>
          <w:tcPr>
            <w:tcW w:w="1520" w:type="dxa"/>
            <w:vAlign w:val="bottom"/>
          </w:tcPr>
          <w:p>
            <w:pPr>
              <w:jc w:val="right"/>
              <w:ind w:right="751"/>
              <w:spacing w:after="0"/>
              <w:rPr>
                <w:sz w:val="20"/>
                <w:szCs w:val="20"/>
                <w:color w:val="auto"/>
              </w:rPr>
            </w:pPr>
            <w:r>
              <w:rPr>
                <w:rFonts w:ascii="Arial" w:cs="Arial" w:eastAsia="Arial" w:hAnsi="Arial"/>
                <w:sz w:val="14"/>
                <w:szCs w:val="14"/>
                <w:color w:val="auto"/>
              </w:rPr>
              <w:t>Rate</w:t>
            </w:r>
          </w:p>
        </w:tc>
        <w:tc>
          <w:tcPr>
            <w:tcW w:w="940" w:type="dxa"/>
            <w:vAlign w:val="bottom"/>
          </w:tcPr>
          <w:p>
            <w:pPr>
              <w:jc w:val="right"/>
              <w:ind w:right="251"/>
              <w:spacing w:after="0"/>
              <w:rPr>
                <w:sz w:val="20"/>
                <w:szCs w:val="20"/>
                <w:color w:val="auto"/>
              </w:rPr>
            </w:pPr>
            <w:r>
              <w:rPr>
                <w:rFonts w:ascii="Arial" w:cs="Arial" w:eastAsia="Arial" w:hAnsi="Arial"/>
                <w:sz w:val="14"/>
                <w:szCs w:val="14"/>
                <w:color w:val="auto"/>
              </w:rPr>
              <w:t>Balance</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Interest</w:t>
            </w:r>
          </w:p>
        </w:tc>
        <w:tc>
          <w:tcPr>
            <w:tcW w:w="1460" w:type="dxa"/>
            <w:vAlign w:val="bottom"/>
          </w:tcPr>
          <w:p>
            <w:pPr>
              <w:jc w:val="right"/>
              <w:ind w:right="211"/>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Earning assets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1"/>
              <w:spacing w:after="0"/>
              <w:rPr>
                <w:sz w:val="20"/>
                <w:szCs w:val="20"/>
                <w:color w:val="auto"/>
              </w:rPr>
            </w:pPr>
            <w:r>
              <w:rPr>
                <w:rFonts w:ascii="Arial" w:cs="Arial" w:eastAsia="Arial" w:hAnsi="Arial"/>
                <w:sz w:val="18"/>
                <w:szCs w:val="18"/>
                <w:color w:val="auto"/>
                <w:w w:val="87"/>
              </w:rPr>
              <w:t>13,527</w:t>
            </w:r>
          </w:p>
        </w:tc>
        <w:tc>
          <w:tcPr>
            <w:tcW w:w="1720" w:type="dxa"/>
            <w:vAlign w:val="bottom"/>
          </w:tcPr>
          <w:p>
            <w:pPr>
              <w:jc w:val="right"/>
              <w:ind w:right="431"/>
              <w:spacing w:after="0"/>
              <w:rPr>
                <w:sz w:val="20"/>
                <w:szCs w:val="20"/>
                <w:color w:val="auto"/>
              </w:rPr>
            </w:pPr>
            <w:r>
              <w:rPr>
                <w:rFonts w:ascii="Arial" w:cs="Arial" w:eastAsia="Arial" w:hAnsi="Arial"/>
                <w:sz w:val="18"/>
                <w:szCs w:val="18"/>
                <w:color w:val="auto"/>
              </w:rPr>
              <w:t>$132,068</w:t>
            </w:r>
          </w:p>
        </w:tc>
        <w:tc>
          <w:tcPr>
            <w:tcW w:w="1520" w:type="dxa"/>
            <w:vAlign w:val="bottom"/>
          </w:tcPr>
          <w:p>
            <w:pPr>
              <w:jc w:val="right"/>
              <w:ind w:right="591"/>
              <w:spacing w:after="0"/>
              <w:rPr>
                <w:sz w:val="20"/>
                <w:szCs w:val="20"/>
                <w:color w:val="auto"/>
              </w:rPr>
            </w:pPr>
            <w:r>
              <w:rPr>
                <w:rFonts w:ascii="Arial" w:cs="Arial" w:eastAsia="Arial" w:hAnsi="Arial"/>
                <w:sz w:val="18"/>
                <w:szCs w:val="18"/>
                <w:color w:val="auto"/>
              </w:rPr>
              <w:t>3.87%</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13,801</w:t>
            </w:r>
          </w:p>
        </w:tc>
        <w:tc>
          <w:tcPr>
            <w:tcW w:w="1260" w:type="dxa"/>
            <w:vAlign w:val="bottom"/>
          </w:tcPr>
          <w:p>
            <w:pPr>
              <w:jc w:val="right"/>
              <w:spacing w:after="0"/>
              <w:rPr>
                <w:sz w:val="20"/>
                <w:szCs w:val="20"/>
                <w:color w:val="auto"/>
              </w:rPr>
            </w:pPr>
            <w:r>
              <w:rPr>
                <w:rFonts w:ascii="Arial" w:cs="Arial" w:eastAsia="Arial" w:hAnsi="Arial"/>
                <w:sz w:val="18"/>
                <w:szCs w:val="18"/>
                <w:color w:val="auto"/>
              </w:rPr>
              <w:t>131,433</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3.78%</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7"/>
              </w:rPr>
              <w:t>20,950</w:t>
            </w:r>
          </w:p>
        </w:tc>
        <w:tc>
          <w:tcPr>
            <w:tcW w:w="17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234,541</w:t>
            </w:r>
          </w:p>
        </w:tc>
        <w:tc>
          <w:tcPr>
            <w:tcW w:w="15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4.48</w:t>
            </w: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20,843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233,370</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6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5,457</w:t>
            </w:r>
          </w:p>
        </w:tc>
        <w:tc>
          <w:tcPr>
            <w:tcW w:w="1720" w:type="dxa"/>
            <w:vAlign w:val="bottom"/>
          </w:tcPr>
          <w:p>
            <w:pPr>
              <w:jc w:val="right"/>
              <w:ind w:right="431"/>
              <w:spacing w:after="0"/>
              <w:rPr>
                <w:sz w:val="20"/>
                <w:szCs w:val="20"/>
                <w:color w:val="auto"/>
              </w:rPr>
            </w:pPr>
            <w:r>
              <w:rPr>
                <w:rFonts w:ascii="Arial" w:cs="Arial" w:eastAsia="Arial" w:hAnsi="Arial"/>
                <w:sz w:val="18"/>
                <w:szCs w:val="18"/>
                <w:color w:val="auto"/>
              </w:rPr>
              <w:t>73,290</w:t>
            </w:r>
          </w:p>
        </w:tc>
        <w:tc>
          <w:tcPr>
            <w:tcW w:w="1520" w:type="dxa"/>
            <w:vAlign w:val="bottom"/>
          </w:tcPr>
          <w:p>
            <w:pPr>
              <w:jc w:val="right"/>
              <w:ind w:right="731"/>
              <w:spacing w:after="0"/>
              <w:rPr>
                <w:sz w:val="20"/>
                <w:szCs w:val="20"/>
                <w:color w:val="auto"/>
              </w:rPr>
            </w:pPr>
            <w:r>
              <w:rPr>
                <w:rFonts w:ascii="Arial" w:cs="Arial" w:eastAsia="Arial" w:hAnsi="Arial"/>
                <w:sz w:val="18"/>
                <w:szCs w:val="18"/>
                <w:color w:val="auto"/>
              </w:rPr>
              <w:t>5.37</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5,429</w:t>
            </w:r>
          </w:p>
        </w:tc>
        <w:tc>
          <w:tcPr>
            <w:tcW w:w="1260" w:type="dxa"/>
            <w:vAlign w:val="bottom"/>
          </w:tcPr>
          <w:p>
            <w:pPr>
              <w:jc w:val="right"/>
              <w:spacing w:after="0"/>
              <w:rPr>
                <w:sz w:val="20"/>
                <w:szCs w:val="20"/>
                <w:color w:val="auto"/>
              </w:rPr>
            </w:pPr>
            <w:r>
              <w:rPr>
                <w:rFonts w:ascii="Arial" w:cs="Arial" w:eastAsia="Arial" w:hAnsi="Arial"/>
                <w:sz w:val="18"/>
                <w:szCs w:val="18"/>
                <w:color w:val="auto"/>
              </w:rPr>
              <w:t>73,752</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5.43</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12,153</w:t>
            </w:r>
          </w:p>
        </w:tc>
        <w:tc>
          <w:tcPr>
            <w:tcW w:w="17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162,832</w:t>
            </w:r>
          </w:p>
        </w:tc>
        <w:tc>
          <w:tcPr>
            <w:tcW w:w="15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5.32</w:t>
            </w: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12,247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165,665</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5.37</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87"/>
              </w:rPr>
              <w:t>52,087</w:t>
            </w:r>
          </w:p>
        </w:tc>
        <w:tc>
          <w:tcPr>
            <w:tcW w:w="17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602,731</w:t>
            </w: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4.59</w:t>
            </w: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52,320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604,220</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4.58</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74</w:t>
            </w:r>
          </w:p>
        </w:tc>
        <w:tc>
          <w:tcPr>
            <w:tcW w:w="17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14</w:t>
            </w:r>
          </w:p>
        </w:tc>
        <w:tc>
          <w:tcPr>
            <w:tcW w:w="15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.08</w:t>
            </w: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.04</w:t>
            </w: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460" w:type="dxa"/>
            <w:vAlign w:val="bottom"/>
          </w:tcPr>
          <w:p>
            <w:pPr>
              <w:spacing w:after="0"/>
              <w:rPr>
                <w:sz w:val="20"/>
                <w:szCs w:val="20"/>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23</w:t>
            </w:r>
          </w:p>
        </w:tc>
        <w:tc>
          <w:tcPr>
            <w:tcW w:w="1720" w:type="dxa"/>
            <w:vAlign w:val="bottom"/>
          </w:tcPr>
          <w:p>
            <w:pPr>
              <w:jc w:val="right"/>
              <w:ind w:right="431"/>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731"/>
              <w:spacing w:after="0"/>
              <w:rPr>
                <w:sz w:val="20"/>
                <w:szCs w:val="20"/>
                <w:color w:val="auto"/>
              </w:rPr>
            </w:pPr>
            <w:r>
              <w:rPr>
                <w:rFonts w:ascii="Arial" w:cs="Arial" w:eastAsia="Arial" w:hAnsi="Arial"/>
                <w:sz w:val="18"/>
                <w:szCs w:val="18"/>
                <w:color w:val="auto"/>
              </w:rPr>
              <w:t>.19</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11</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70</w:t>
            </w:r>
          </w:p>
        </w:tc>
        <w:tc>
          <w:tcPr>
            <w:tcW w:w="17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117</w:t>
            </w:r>
          </w:p>
        </w:tc>
        <w:tc>
          <w:tcPr>
            <w:tcW w:w="15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.66</w:t>
            </w: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Investment securities**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3,880</w:t>
            </w:r>
          </w:p>
        </w:tc>
        <w:tc>
          <w:tcPr>
            <w:tcW w:w="17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44,984</w:t>
            </w:r>
          </w:p>
        </w:tc>
        <w:tc>
          <w:tcPr>
            <w:tcW w:w="15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4.60</w:t>
            </w: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3,803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45,216</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4.72</w:t>
            </w: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60" w:type="dxa"/>
            <w:vAlign w:val="bottom"/>
          </w:tcPr>
          <w:p>
            <w:pPr>
              <w:spacing w:after="0"/>
              <w:rPr>
                <w:sz w:val="20"/>
                <w:szCs w:val="20"/>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270</w:t>
            </w:r>
          </w:p>
        </w:tc>
        <w:tc>
          <w:tcPr>
            <w:tcW w:w="1720" w:type="dxa"/>
            <w:vAlign w:val="bottom"/>
          </w:tcPr>
          <w:p>
            <w:pPr>
              <w:jc w:val="right"/>
              <w:ind w:right="431"/>
              <w:spacing w:after="0"/>
              <w:rPr>
                <w:sz w:val="20"/>
                <w:szCs w:val="20"/>
                <w:color w:val="auto"/>
              </w:rPr>
            </w:pPr>
            <w:r>
              <w:rPr>
                <w:rFonts w:ascii="Arial" w:cs="Arial" w:eastAsia="Arial" w:hAnsi="Arial"/>
                <w:sz w:val="18"/>
                <w:szCs w:val="18"/>
                <w:color w:val="auto"/>
              </w:rPr>
              <w:t>4,084</w:t>
            </w:r>
          </w:p>
        </w:tc>
        <w:tc>
          <w:tcPr>
            <w:tcW w:w="1520" w:type="dxa"/>
            <w:vAlign w:val="bottom"/>
          </w:tcPr>
          <w:p>
            <w:pPr>
              <w:jc w:val="right"/>
              <w:ind w:right="731"/>
              <w:spacing w:after="0"/>
              <w:rPr>
                <w:sz w:val="20"/>
                <w:szCs w:val="20"/>
                <w:color w:val="auto"/>
              </w:rPr>
            </w:pPr>
            <w:r>
              <w:rPr>
                <w:rFonts w:ascii="Arial" w:cs="Arial" w:eastAsia="Arial" w:hAnsi="Arial"/>
                <w:sz w:val="18"/>
                <w:szCs w:val="18"/>
                <w:color w:val="auto"/>
              </w:rPr>
              <w:t>5.99</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278</w:t>
            </w:r>
          </w:p>
        </w:tc>
        <w:tc>
          <w:tcPr>
            <w:tcW w:w="1260" w:type="dxa"/>
            <w:vAlign w:val="bottom"/>
          </w:tcPr>
          <w:p>
            <w:pPr>
              <w:jc w:val="right"/>
              <w:spacing w:after="0"/>
              <w:rPr>
                <w:sz w:val="20"/>
                <w:szCs w:val="20"/>
                <w:color w:val="auto"/>
              </w:rPr>
            </w:pPr>
            <w:r>
              <w:rPr>
                <w:rFonts w:ascii="Arial" w:cs="Arial" w:eastAsia="Arial" w:hAnsi="Arial"/>
                <w:sz w:val="18"/>
                <w:szCs w:val="18"/>
                <w:color w:val="auto"/>
              </w:rPr>
              <w:t>3,965</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5.66</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4,047</w:t>
            </w:r>
          </w:p>
        </w:tc>
        <w:tc>
          <w:tcPr>
            <w:tcW w:w="17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46,615</w:t>
            </w:r>
          </w:p>
        </w:tc>
        <w:tc>
          <w:tcPr>
            <w:tcW w:w="15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4.57</w:t>
            </w: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4,339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52,794</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4.83</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8,197</w:t>
            </w:r>
          </w:p>
        </w:tc>
        <w:tc>
          <w:tcPr>
            <w:tcW w:w="17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95,683</w:t>
            </w: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4.63</w:t>
            </w: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8,420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101,975</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4.81</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60,451</w:t>
            </w:r>
          </w:p>
        </w:tc>
        <w:tc>
          <w:tcPr>
            <w:tcW w:w="17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698,556</w:t>
            </w:r>
          </w:p>
        </w:tc>
        <w:tc>
          <w:tcPr>
            <w:tcW w:w="15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4.58</w:t>
            </w: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60,900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706,388</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4.60</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6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(890)</w:t>
            </w:r>
          </w:p>
        </w:tc>
        <w:tc>
          <w:tcPr>
            <w:tcW w:w="1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(882)</w:t>
            </w: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1,184</w:t>
            </w:r>
          </w:p>
        </w:tc>
        <w:tc>
          <w:tcPr>
            <w:tcW w:w="1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1,135</w:t>
            </w:r>
          </w:p>
        </w:tc>
        <w:tc>
          <w:tcPr>
            <w:tcW w:w="1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8,174</w:t>
            </w:r>
          </w:p>
        </w:tc>
        <w:tc>
          <w:tcPr>
            <w:tcW w:w="1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8,001</w:t>
            </w:r>
          </w:p>
        </w:tc>
        <w:tc>
          <w:tcPr>
            <w:tcW w:w="1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68,919</w:t>
            </w:r>
          </w:p>
        </w:tc>
        <w:tc>
          <w:tcPr>
            <w:tcW w:w="17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69,154</w:t>
            </w:r>
          </w:p>
        </w:tc>
        <w:tc>
          <w:tcPr>
            <w:tcW w:w="1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579</w:t>
            </w:r>
          </w:p>
        </w:tc>
        <w:tc>
          <w:tcPr>
            <w:tcW w:w="17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261</w:t>
            </w:r>
          </w:p>
        </w:tc>
        <w:tc>
          <w:tcPr>
            <w:tcW w:w="15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541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6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w w:val="87"/>
              </w:rPr>
              <w:t>24,237</w:t>
            </w:r>
          </w:p>
        </w:tc>
        <w:tc>
          <w:tcPr>
            <w:tcW w:w="1720" w:type="dxa"/>
            <w:vAlign w:val="bottom"/>
          </w:tcPr>
          <w:p>
            <w:pPr>
              <w:jc w:val="right"/>
              <w:ind w:right="431"/>
              <w:spacing w:after="0"/>
              <w:rPr>
                <w:sz w:val="20"/>
                <w:szCs w:val="20"/>
                <w:color w:val="auto"/>
              </w:rPr>
            </w:pPr>
            <w:r>
              <w:rPr>
                <w:rFonts w:ascii="Arial" w:cs="Arial" w:eastAsia="Arial" w:hAnsi="Arial"/>
                <w:sz w:val="18"/>
                <w:szCs w:val="18"/>
                <w:color w:val="auto"/>
              </w:rPr>
              <w:t>22,190</w:t>
            </w:r>
          </w:p>
        </w:tc>
        <w:tc>
          <w:tcPr>
            <w:tcW w:w="1520" w:type="dxa"/>
            <w:vAlign w:val="bottom"/>
          </w:tcPr>
          <w:p>
            <w:pPr>
              <w:jc w:val="right"/>
              <w:ind w:right="731"/>
              <w:spacing w:after="0"/>
              <w:rPr>
                <w:sz w:val="20"/>
                <w:szCs w:val="20"/>
                <w:color w:val="auto"/>
              </w:rPr>
            </w:pPr>
            <w:r>
              <w:rPr>
                <w:rFonts w:ascii="Arial" w:cs="Arial" w:eastAsia="Arial" w:hAnsi="Arial"/>
                <w:sz w:val="18"/>
                <w:szCs w:val="18"/>
                <w:color w:val="auto"/>
              </w:rPr>
              <w:t>.36</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23,367</w:t>
            </w:r>
          </w:p>
        </w:tc>
        <w:tc>
          <w:tcPr>
            <w:tcW w:w="1260" w:type="dxa"/>
            <w:vAlign w:val="bottom"/>
          </w:tcPr>
          <w:p>
            <w:pPr>
              <w:jc w:val="right"/>
              <w:spacing w:after="0"/>
              <w:rPr>
                <w:sz w:val="20"/>
                <w:szCs w:val="20"/>
                <w:color w:val="auto"/>
              </w:rPr>
            </w:pPr>
            <w:r>
              <w:rPr>
                <w:rFonts w:ascii="Arial" w:cs="Arial" w:eastAsia="Arial" w:hAnsi="Arial"/>
                <w:sz w:val="18"/>
                <w:szCs w:val="18"/>
                <w:color w:val="auto"/>
              </w:rPr>
              <w:t>22,076</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8,304</w:t>
            </w:r>
          </w:p>
        </w:tc>
        <w:tc>
          <w:tcPr>
            <w:tcW w:w="17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39,516</w:t>
            </w:r>
          </w:p>
        </w:tc>
        <w:tc>
          <w:tcPr>
            <w:tcW w:w="15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1.89</w:t>
            </w: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9,246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50,678</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2.17</w:t>
            </w: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1,300</w:t>
            </w:r>
          </w:p>
        </w:tc>
        <w:tc>
          <w:tcPr>
            <w:tcW w:w="17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353</w:t>
            </w: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.11</w:t>
            </w: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1,444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34,420</w:t>
            </w:r>
          </w:p>
        </w:tc>
        <w:tc>
          <w:tcPr>
            <w:tcW w:w="17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62,320</w:t>
            </w:r>
          </w:p>
        </w:tc>
        <w:tc>
          <w:tcPr>
            <w:tcW w:w="15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.72</w:t>
            </w: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34,598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73,523</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.84</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Short-term borrowings</w:t>
            </w:r>
          </w:p>
        </w:tc>
        <w:tc>
          <w:tcPr>
            <w:tcW w:w="460" w:type="dxa"/>
            <w:vAlign w:val="bottom"/>
          </w:tcPr>
          <w:p>
            <w:pPr>
              <w:spacing w:after="0"/>
              <w:rPr>
                <w:sz w:val="19"/>
                <w:szCs w:val="19"/>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2,308</w:t>
            </w:r>
          </w:p>
        </w:tc>
        <w:tc>
          <w:tcPr>
            <w:tcW w:w="1720" w:type="dxa"/>
            <w:vAlign w:val="bottom"/>
          </w:tcPr>
          <w:p>
            <w:pPr>
              <w:jc w:val="right"/>
              <w:ind w:right="431"/>
              <w:spacing w:after="0"/>
              <w:rPr>
                <w:sz w:val="20"/>
                <w:szCs w:val="20"/>
                <w:color w:val="auto"/>
              </w:rPr>
            </w:pPr>
            <w:r>
              <w:rPr>
                <w:rFonts w:ascii="Arial" w:cs="Arial" w:eastAsia="Arial" w:hAnsi="Arial"/>
                <w:sz w:val="18"/>
                <w:szCs w:val="18"/>
                <w:color w:val="auto"/>
              </w:rPr>
              <w:t>1,002</w:t>
            </w:r>
          </w:p>
        </w:tc>
        <w:tc>
          <w:tcPr>
            <w:tcW w:w="1520" w:type="dxa"/>
            <w:vAlign w:val="bottom"/>
          </w:tcPr>
          <w:p>
            <w:pPr>
              <w:jc w:val="right"/>
              <w:ind w:right="731"/>
              <w:spacing w:after="0"/>
              <w:rPr>
                <w:sz w:val="20"/>
                <w:szCs w:val="20"/>
                <w:color w:val="auto"/>
              </w:rPr>
            </w:pPr>
            <w:r>
              <w:rPr>
                <w:rFonts w:ascii="Arial" w:cs="Arial" w:eastAsia="Arial" w:hAnsi="Arial"/>
                <w:sz w:val="18"/>
                <w:szCs w:val="18"/>
                <w:color w:val="auto"/>
              </w:rPr>
              <w:t>.17</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2,663</w:t>
            </w:r>
          </w:p>
        </w:tc>
        <w:tc>
          <w:tcPr>
            <w:tcW w:w="1260" w:type="dxa"/>
            <w:vAlign w:val="bottom"/>
          </w:tcPr>
          <w:p>
            <w:pPr>
              <w:jc w:val="right"/>
              <w:spacing w:after="0"/>
              <w:rPr>
                <w:sz w:val="20"/>
                <w:szCs w:val="20"/>
                <w:color w:val="auto"/>
              </w:rPr>
            </w:pPr>
            <w:r>
              <w:rPr>
                <w:rFonts w:ascii="Arial" w:cs="Arial" w:eastAsia="Arial" w:hAnsi="Arial"/>
                <w:sz w:val="18"/>
                <w:szCs w:val="18"/>
                <w:color w:val="auto"/>
              </w:rPr>
              <w:t>1,764</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10,253</w:t>
            </w:r>
          </w:p>
        </w:tc>
        <w:tc>
          <w:tcPr>
            <w:tcW w:w="17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70,628</w:t>
            </w:r>
          </w:p>
        </w:tc>
        <w:tc>
          <w:tcPr>
            <w:tcW w:w="15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2.73</w:t>
            </w: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11,008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77,651</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2.80</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87"/>
              </w:rPr>
              <w:t>46,981</w:t>
            </w:r>
          </w:p>
        </w:tc>
        <w:tc>
          <w:tcPr>
            <w:tcW w:w="17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133,950</w:t>
            </w: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1.13</w:t>
            </w: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48,269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152,938</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7"/>
              </w:rPr>
              <w:t>12,945</w:t>
            </w:r>
          </w:p>
        </w:tc>
        <w:tc>
          <w:tcPr>
            <w:tcW w:w="1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12,122</w:t>
            </w:r>
          </w:p>
        </w:tc>
        <w:tc>
          <w:tcPr>
            <w:tcW w:w="1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1,307</w:t>
            </w:r>
          </w:p>
        </w:tc>
        <w:tc>
          <w:tcPr>
            <w:tcW w:w="1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1,242</w:t>
            </w:r>
          </w:p>
        </w:tc>
        <w:tc>
          <w:tcPr>
            <w:tcW w:w="1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61,233</w:t>
            </w:r>
          </w:p>
        </w:tc>
        <w:tc>
          <w:tcPr>
            <w:tcW w:w="17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61,633</w:t>
            </w:r>
          </w:p>
        </w:tc>
        <w:tc>
          <w:tcPr>
            <w:tcW w:w="1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7,686</w:t>
            </w:r>
          </w:p>
        </w:tc>
        <w:tc>
          <w:tcPr>
            <w:tcW w:w="1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7,521</w:t>
            </w:r>
          </w:p>
        </w:tc>
        <w:tc>
          <w:tcPr>
            <w:tcW w:w="1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stockholders’</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68,919</w:t>
            </w:r>
          </w:p>
        </w:tc>
        <w:tc>
          <w:tcPr>
            <w:tcW w:w="17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69,154</w:t>
            </w:r>
          </w:p>
        </w:tc>
        <w:tc>
          <w:tcPr>
            <w:tcW w:w="1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731"/>
              <w:spacing w:after="0"/>
              <w:rPr>
                <w:sz w:val="20"/>
                <w:szCs w:val="20"/>
                <w:color w:val="auto"/>
              </w:rPr>
            </w:pPr>
            <w:r>
              <w:rPr>
                <w:rFonts w:ascii="Arial" w:cs="Arial" w:eastAsia="Arial" w:hAnsi="Arial"/>
                <w:sz w:val="18"/>
                <w:szCs w:val="18"/>
                <w:color w:val="auto"/>
              </w:rPr>
              <w:t>3.45</w:t>
            </w:r>
          </w:p>
        </w:tc>
        <w:tc>
          <w:tcPr>
            <w:tcW w:w="9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3.34</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.27</w:t>
            </w:r>
          </w:p>
        </w:tc>
      </w:tr>
      <w:tr>
        <w:trPr>
          <w:trHeight w:val="209"/>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$564,606</w:t>
            </w:r>
          </w:p>
        </w:tc>
        <w:tc>
          <w:tcPr>
            <w:tcW w:w="152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3.71%</w:t>
            </w:r>
          </w:p>
        </w:tc>
        <w:tc>
          <w:tcPr>
            <w:tcW w:w="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553,450</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3.61%</w:t>
            </w:r>
          </w:p>
        </w:tc>
      </w:tr>
      <w:tr>
        <w:trPr>
          <w:trHeight w:val="20"/>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60" w:firstLine="233"/>
        <w:spacing w:after="0" w:line="312" w:lineRule="auto"/>
        <w:tabs>
          <w:tab w:leader="none" w:pos="4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September 30, 2010.</w:t>
      </w:r>
    </w:p>
    <w:p>
      <w:pPr>
        <w:spacing w:after="0" w:line="38" w:lineRule="exact"/>
        <w:rPr>
          <w:rFonts w:ascii="Arial" w:cs="Arial" w:eastAsia="Arial" w:hAnsi="Arial"/>
          <w:sz w:val="16"/>
          <w:szCs w:val="16"/>
          <w:color w:val="auto"/>
        </w:rPr>
      </w:pPr>
    </w:p>
    <w:p>
      <w:pPr>
        <w:ind w:right="40" w:firstLine="233"/>
        <w:spacing w:after="0" w:line="279"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2010 that have materially affected, or are reasonably likely to materially affect, M&amp;T’s internal control over financial reporting.</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 addition to the risk factors relating to M&amp;T that were disclosed in response to Item 1A. to Part I of Form 10-K for the year ended December 31, 2009, the following risk factor could significantly impact M&amp;T’s operations and its financial results:</w:t>
      </w:r>
    </w:p>
    <w:p>
      <w:pPr>
        <w:spacing w:after="0" w:line="62" w:lineRule="exact"/>
        <w:rPr>
          <w:sz w:val="20"/>
          <w:szCs w:val="20"/>
          <w:color w:val="auto"/>
        </w:rPr>
      </w:pPr>
    </w:p>
    <w:p>
      <w:pPr>
        <w:ind w:left="340" w:right="100" w:hanging="224"/>
        <w:spacing w:after="0" w:line="272" w:lineRule="auto"/>
        <w:tabs>
          <w:tab w:leader="none" w:pos="34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Legislative actions taken now or in the future may have a significant adverse effect on M&amp;T’s operations. A number of regulatory initiatives directed at the financial services industry have been proposed in recent months. One of those initiatives, the Dodd-Frank Wall Street Reform and Consumer Protection Act of 2010 (the “Dodd-Frank Act”), was signed into law by President Obama on July 21, 2010. The Dodd-Frank Act represents a comprehensive overhaul of the financial services industry within the United States and will require the newly created Bureau of Consumer Financial Protection and other federal agencies to implement many new rules. At this time, it is difficult to predict the extent to which the Dodd-Frank Act or the forthcoming rules and regulations will impact M&amp;T’s business. It is expected, however, that at a minimum they will result in increased costs and therefore may adversely impact M&amp;T’s business, results of operations, financial condition and liquidity.</w:t>
      </w:r>
    </w:p>
    <w:p>
      <w:pPr>
        <w:spacing w:after="0" w:line="83" w:lineRule="exact"/>
        <w:rPr>
          <w:rFonts w:ascii="Arial" w:cs="Arial" w:eastAsia="Arial" w:hAnsi="Arial"/>
          <w:sz w:val="17"/>
          <w:szCs w:val="17"/>
          <w:b w:val="1"/>
          <w:bCs w:val="1"/>
          <w:color w:val="auto"/>
        </w:rPr>
      </w:pPr>
    </w:p>
    <w:p>
      <w:pPr>
        <w:ind w:left="3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Another such initiative relates to the restricted ability of financial institutions to impose overdraft charges on certain customer transactions. Beginning on July 1, 2010 for new customers and August 15, 2010 for existing customers, federal rules prohibit a financial institution from assessing a fee to complete an ATM withdrawal or one- time debit card transaction which will cause an overdraft unless the customer consents in advance. Such rules have resulted in a decline in</w:t>
      </w:r>
    </w:p>
    <w:p>
      <w:pPr>
        <w:spacing w:after="0" w:line="159" w:lineRule="exact"/>
        <w:rPr>
          <w:rFonts w:ascii="Arial" w:cs="Arial" w:eastAsia="Arial" w:hAnsi="Arial"/>
          <w:sz w:val="17"/>
          <w:szCs w:val="17"/>
          <w:b w:val="1"/>
          <w:bCs w:val="1"/>
          <w:color w:val="auto"/>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service charges on deposit accounts as discussed in more detail under the caption “Other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480" w:hanging="24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17" w:lineRule="exact"/>
        <w:rPr>
          <w:rFonts w:ascii="Arial" w:cs="Arial" w:eastAsia="Arial" w:hAnsi="Arial"/>
          <w:sz w:val="18"/>
          <w:szCs w:val="18"/>
          <w:color w:val="auto"/>
        </w:rPr>
      </w:pPr>
    </w:p>
    <w:p>
      <w:pPr>
        <w:spacing w:after="0"/>
        <w:tabs>
          <w:tab w:leader="none" w:pos="0" w:val="left"/>
        </w:tabs>
        <w:numPr>
          <w:ilvl w:val="0"/>
          <w:numId w:val="23"/>
        </w:numPr>
        <w:rPr>
          <w:rFonts w:ascii="Arial" w:cs="Arial" w:eastAsia="Arial" w:hAnsi="Arial"/>
          <w:sz w:val="18"/>
          <w:szCs w:val="18"/>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42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left="224"/>
              <w:spacing w:after="0" w:line="123" w:lineRule="exact"/>
              <w:rPr>
                <w:sz w:val="20"/>
                <w:szCs w:val="20"/>
                <w:color w:val="auto"/>
              </w:rPr>
            </w:pPr>
            <w:r>
              <w:rPr>
                <w:rFonts w:ascii="Arial" w:cs="Arial" w:eastAsia="Arial" w:hAnsi="Arial"/>
                <w:sz w:val="14"/>
                <w:szCs w:val="14"/>
                <w:color w:val="auto"/>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(c)Total</w:t>
            </w:r>
          </w:p>
        </w:tc>
        <w:tc>
          <w:tcPr>
            <w:tcW w:w="1260" w:type="dxa"/>
            <w:vAlign w:val="bottom"/>
            <w:gridSpan w:val="2"/>
          </w:tcPr>
          <w:p>
            <w:pPr>
              <w:jc w:val="center"/>
              <w:ind w:left="144"/>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7"/>
              </w:rPr>
              <w:t>Number of</w:t>
            </w:r>
          </w:p>
        </w:tc>
        <w:tc>
          <w:tcPr>
            <w:tcW w:w="1260" w:type="dxa"/>
            <w:vAlign w:val="bottom"/>
            <w:gridSpan w:val="2"/>
          </w:tcPr>
          <w:p>
            <w:pPr>
              <w:jc w:val="center"/>
              <w:ind w:left="144"/>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Shares</w:t>
            </w:r>
          </w:p>
        </w:tc>
        <w:tc>
          <w:tcPr>
            <w:tcW w:w="1260" w:type="dxa"/>
            <w:vAlign w:val="bottom"/>
            <w:gridSpan w:val="2"/>
          </w:tcPr>
          <w:p>
            <w:pPr>
              <w:jc w:val="center"/>
              <w:ind w:left="124"/>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7"/>
              </w:rPr>
              <w:t>(or Units)</w:t>
            </w:r>
          </w:p>
        </w:tc>
        <w:tc>
          <w:tcPr>
            <w:tcW w:w="1260" w:type="dxa"/>
            <w:vAlign w:val="bottom"/>
            <w:gridSpan w:val="2"/>
          </w:tcPr>
          <w:p>
            <w:pPr>
              <w:jc w:val="center"/>
              <w:ind w:left="124"/>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Purchased</w:t>
            </w:r>
          </w:p>
        </w:tc>
        <w:tc>
          <w:tcPr>
            <w:tcW w:w="1260" w:type="dxa"/>
            <w:vAlign w:val="bottom"/>
            <w:gridSpan w:val="2"/>
          </w:tcPr>
          <w:p>
            <w:pPr>
              <w:jc w:val="center"/>
              <w:ind w:left="144"/>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5"/>
              </w:rPr>
              <w:t>(a)Total</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as Part of</w:t>
            </w:r>
          </w:p>
        </w:tc>
        <w:tc>
          <w:tcPr>
            <w:tcW w:w="1260" w:type="dxa"/>
            <w:vAlign w:val="bottom"/>
            <w:gridSpan w:val="2"/>
          </w:tcPr>
          <w:p>
            <w:pPr>
              <w:jc w:val="center"/>
              <w:ind w:left="124"/>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Number</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(b)Average</w:t>
            </w:r>
          </w:p>
        </w:tc>
        <w:tc>
          <w:tcPr>
            <w:tcW w:w="6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9"/>
              </w:rPr>
              <w:t>Publicly</w:t>
            </w:r>
          </w:p>
        </w:tc>
        <w:tc>
          <w:tcPr>
            <w:tcW w:w="1260" w:type="dxa"/>
            <w:vAlign w:val="bottom"/>
            <w:gridSpan w:val="2"/>
          </w:tcPr>
          <w:p>
            <w:pPr>
              <w:jc w:val="center"/>
              <w:ind w:left="144"/>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of Shares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Price Paid</w:t>
            </w:r>
          </w:p>
        </w:tc>
        <w:tc>
          <w:tcPr>
            <w:tcW w:w="6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Announced</w:t>
            </w:r>
          </w:p>
        </w:tc>
        <w:tc>
          <w:tcPr>
            <w:tcW w:w="1260" w:type="dxa"/>
            <w:vAlign w:val="bottom"/>
            <w:gridSpan w:val="2"/>
          </w:tcPr>
          <w:p>
            <w:pPr>
              <w:jc w:val="center"/>
              <w:ind w:left="124"/>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per Share</w:t>
            </w:r>
          </w:p>
        </w:tc>
        <w:tc>
          <w:tcPr>
            <w:tcW w:w="6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Plans or</w:t>
            </w:r>
          </w:p>
        </w:tc>
        <w:tc>
          <w:tcPr>
            <w:tcW w:w="1260" w:type="dxa"/>
            <w:vAlign w:val="bottom"/>
            <w:gridSpan w:val="2"/>
          </w:tcPr>
          <w:p>
            <w:pPr>
              <w:jc w:val="center"/>
              <w:ind w:left="124"/>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74"/>
        </w:trPr>
        <w:tc>
          <w:tcPr>
            <w:tcW w:w="44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340" w:type="dxa"/>
            <w:vAlign w:val="bottom"/>
            <w:gridSpan w:val="3"/>
          </w:tcPr>
          <w:p>
            <w:pPr>
              <w:jc w:val="right"/>
              <w:ind w:right="660"/>
              <w:spacing w:after="0"/>
              <w:rPr>
                <w:sz w:val="20"/>
                <w:szCs w:val="20"/>
                <w:color w:val="auto"/>
              </w:rPr>
            </w:pPr>
            <w:r>
              <w:rPr>
                <w:rFonts w:ascii="Arial" w:cs="Arial" w:eastAsia="Arial" w:hAnsi="Arial"/>
                <w:sz w:val="14"/>
                <w:szCs w:val="14"/>
                <w:color w:val="auto"/>
              </w:rPr>
              <w:t>Purchased(1)</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8"/>
              </w:rPr>
              <w:t>(or Unit)</w:t>
            </w:r>
          </w:p>
        </w:tc>
        <w:tc>
          <w:tcPr>
            <w:tcW w:w="68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Programs</w:t>
            </w:r>
          </w:p>
        </w:tc>
        <w:tc>
          <w:tcPr>
            <w:tcW w:w="1260" w:type="dxa"/>
            <w:vAlign w:val="bottom"/>
            <w:gridSpan w:val="2"/>
          </w:tcPr>
          <w:p>
            <w:pPr>
              <w:jc w:val="center"/>
              <w:ind w:left="144"/>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July 31, 2010</w:t>
            </w:r>
          </w:p>
        </w:tc>
        <w:tc>
          <w:tcPr>
            <w:tcW w:w="2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6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August 1 - August 31, 2010</w:t>
            </w:r>
          </w:p>
        </w:tc>
        <w:tc>
          <w:tcPr>
            <w:tcW w:w="3340" w:type="dxa"/>
            <w:vAlign w:val="bottom"/>
            <w:gridSpan w:val="3"/>
          </w:tcPr>
          <w:p>
            <w:pPr>
              <w:jc w:val="right"/>
              <w:ind w:right="66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89.31</w:t>
            </w:r>
          </w:p>
        </w:tc>
        <w:tc>
          <w:tcPr>
            <w:tcW w:w="680" w:type="dxa"/>
            <w:vAlign w:val="bottom"/>
          </w:tcPr>
          <w:p>
            <w:pPr>
              <w:spacing w:after="0"/>
              <w:rPr>
                <w:sz w:val="24"/>
                <w:szCs w:val="24"/>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2010</w:t>
            </w:r>
          </w:p>
        </w:tc>
        <w:tc>
          <w:tcPr>
            <w:tcW w:w="19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6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439"/>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1,856</w:t>
            </w:r>
          </w:p>
        </w:tc>
        <w:tc>
          <w:tcPr>
            <w:tcW w:w="66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87.31</w:t>
            </w:r>
          </w:p>
        </w:tc>
        <w:tc>
          <w:tcPr>
            <w:tcW w:w="680" w:type="dxa"/>
            <w:vAlign w:val="bottom"/>
          </w:tcPr>
          <w:p>
            <w:pPr>
              <w:spacing w:after="0"/>
              <w:rPr>
                <w:sz w:val="24"/>
                <w:szCs w:val="24"/>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31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40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480"/>
        <w:spacing w:after="0"/>
        <w:rPr>
          <w:sz w:val="20"/>
          <w:szCs w:val="20"/>
          <w:color w:val="auto"/>
        </w:rPr>
      </w:pPr>
      <w:r>
        <w:rPr>
          <w:rFonts w:ascii="Arial" w:cs="Arial" w:eastAsia="Arial" w:hAnsi="Arial"/>
          <w:sz w:val="14"/>
          <w:szCs w:val="14"/>
          <w:color w:val="auto"/>
        </w:rPr>
        <w:t>Exhibit</w:t>
      </w:r>
    </w:p>
    <w:p>
      <w:pPr>
        <w:jc w:val="center"/>
        <w:ind w:right="1048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829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1"/>
              </w:rPr>
              <w:t>31.1</w:t>
            </w:r>
          </w:p>
        </w:tc>
        <w:tc>
          <w:tcPr>
            <w:tcW w:w="966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1"/>
              </w:rPr>
              <w:t>31.2</w:t>
            </w:r>
          </w:p>
        </w:tc>
        <w:tc>
          <w:tcPr>
            <w:tcW w:w="966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1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1"/>
              </w:rPr>
              <w:t>32.1</w:t>
            </w:r>
          </w:p>
        </w:tc>
        <w:tc>
          <w:tcPr>
            <w:tcW w:w="9660" w:type="dxa"/>
            <w:vAlign w:val="bottom"/>
          </w:tcPr>
          <w:p>
            <w:pPr>
              <w:ind w:left="32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w:t>
            </w:r>
          </w:p>
        </w:tc>
      </w:tr>
      <w:tr>
        <w:trPr>
          <w:trHeight w:val="230"/>
        </w:trPr>
        <w:tc>
          <w:tcPr>
            <w:tcW w:w="1100" w:type="dxa"/>
            <w:vAlign w:val="bottom"/>
          </w:tcPr>
          <w:p>
            <w:pPr>
              <w:spacing w:after="0"/>
              <w:rPr>
                <w:sz w:val="20"/>
                <w:szCs w:val="20"/>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rPr>
              <w:t>herewith.</w:t>
            </w:r>
          </w:p>
        </w:tc>
      </w:tr>
      <w:tr>
        <w:trPr>
          <w:trHeight w:val="41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1"/>
              </w:rPr>
              <w:t>32.2</w:t>
            </w:r>
          </w:p>
        </w:tc>
        <w:tc>
          <w:tcPr>
            <w:tcW w:w="9660" w:type="dxa"/>
            <w:vAlign w:val="bottom"/>
          </w:tcPr>
          <w:p>
            <w:pPr>
              <w:ind w:left="32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w:t>
            </w:r>
          </w:p>
        </w:tc>
      </w:tr>
      <w:tr>
        <w:trPr>
          <w:trHeight w:val="230"/>
        </w:trPr>
        <w:tc>
          <w:tcPr>
            <w:tcW w:w="1100" w:type="dxa"/>
            <w:vAlign w:val="bottom"/>
          </w:tcPr>
          <w:p>
            <w:pPr>
              <w:spacing w:after="0"/>
              <w:rPr>
                <w:sz w:val="20"/>
                <w:szCs w:val="20"/>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rPr>
              <w:t>herewith.</w:t>
            </w:r>
          </w:p>
        </w:tc>
      </w:tr>
      <w:tr>
        <w:trPr>
          <w:trHeight w:val="432"/>
        </w:trPr>
        <w:tc>
          <w:tcPr>
            <w:tcW w:w="1100" w:type="dxa"/>
            <w:vAlign w:val="bottom"/>
          </w:tcPr>
          <w:p>
            <w:pPr>
              <w:jc w:val="center"/>
              <w:ind w:right="230"/>
              <w:spacing w:after="0"/>
              <w:rPr>
                <w:sz w:val="20"/>
                <w:szCs w:val="20"/>
                <w:color w:val="auto"/>
              </w:rPr>
            </w:pPr>
            <w:r>
              <w:rPr>
                <w:rFonts w:ascii="Arial" w:cs="Arial" w:eastAsia="Arial" w:hAnsi="Arial"/>
                <w:sz w:val="18"/>
                <w:szCs w:val="18"/>
                <w:color w:val="auto"/>
                <w:w w:val="97"/>
              </w:rPr>
              <w:t>101.INS*</w:t>
            </w:r>
          </w:p>
        </w:tc>
        <w:tc>
          <w:tcPr>
            <w:tcW w:w="966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432"/>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4"/>
              </w:rPr>
              <w:t>101.SCH*</w:t>
            </w:r>
          </w:p>
        </w:tc>
        <w:tc>
          <w:tcPr>
            <w:tcW w:w="9660" w:type="dxa"/>
            <w:vAlign w:val="bottom"/>
          </w:tcPr>
          <w:p>
            <w:pPr>
              <w:ind w:left="32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8"/>
              </w:rPr>
              <w:t>101.CAL*</w:t>
            </w:r>
          </w:p>
        </w:tc>
        <w:tc>
          <w:tcPr>
            <w:tcW w:w="966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9"/>
              </w:rPr>
              <w:t>101.LAB*</w:t>
            </w:r>
          </w:p>
        </w:tc>
        <w:tc>
          <w:tcPr>
            <w:tcW w:w="9660" w:type="dxa"/>
            <w:vAlign w:val="bottom"/>
          </w:tcPr>
          <w:p>
            <w:pPr>
              <w:ind w:left="3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100" w:type="dxa"/>
            <w:vAlign w:val="bottom"/>
          </w:tcPr>
          <w:p>
            <w:pPr>
              <w:jc w:val="center"/>
              <w:ind w:right="230"/>
              <w:spacing w:after="0"/>
              <w:rPr>
                <w:sz w:val="20"/>
                <w:szCs w:val="20"/>
                <w:color w:val="auto"/>
              </w:rPr>
            </w:pPr>
            <w:r>
              <w:rPr>
                <w:rFonts w:ascii="Arial" w:cs="Arial" w:eastAsia="Arial" w:hAnsi="Arial"/>
                <w:sz w:val="18"/>
                <w:szCs w:val="18"/>
                <w:color w:val="auto"/>
                <w:w w:val="93"/>
              </w:rPr>
              <w:t>101.PRE*</w:t>
            </w:r>
          </w:p>
        </w:tc>
        <w:tc>
          <w:tcPr>
            <w:tcW w:w="966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100" w:type="dxa"/>
            <w:vAlign w:val="bottom"/>
          </w:tcPr>
          <w:p>
            <w:pPr>
              <w:jc w:val="center"/>
              <w:ind w:right="230"/>
              <w:spacing w:after="0"/>
              <w:rPr>
                <w:sz w:val="20"/>
                <w:szCs w:val="20"/>
                <w:color w:val="auto"/>
              </w:rPr>
            </w:pPr>
            <w:r>
              <w:rPr>
                <w:rFonts w:ascii="Arial" w:cs="Arial" w:eastAsia="Arial" w:hAnsi="Arial"/>
                <w:sz w:val="18"/>
                <w:szCs w:val="18"/>
                <w:color w:val="auto"/>
                <w:w w:val="94"/>
              </w:rPr>
              <w:t>101.DEF*</w:t>
            </w:r>
          </w:p>
        </w:tc>
        <w:tc>
          <w:tcPr>
            <w:tcW w:w="9660" w:type="dxa"/>
            <w:vAlign w:val="bottom"/>
          </w:tcPr>
          <w:p>
            <w:pPr>
              <w:ind w:left="3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M&amp;T BANK CORPORATION</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November 5, 2010</w:t>
            </w:r>
          </w:p>
        </w:tc>
        <w:tc>
          <w:tcPr>
            <w:tcW w:w="6180" w:type="dxa"/>
            <w:vAlign w:val="bottom"/>
            <w:gridSpan w:val="2"/>
          </w:tcPr>
          <w:p>
            <w:pPr>
              <w:jc w:val="right"/>
              <w:ind w:right="2750"/>
              <w:spacing w:after="0"/>
              <w:rPr>
                <w:sz w:val="20"/>
                <w:szCs w:val="20"/>
                <w:color w:val="auto"/>
              </w:rPr>
            </w:pPr>
            <w:r>
              <w:rPr>
                <w:rFonts w:ascii="Arial" w:cs="Arial" w:eastAsia="Arial" w:hAnsi="Arial"/>
                <w:sz w:val="18"/>
                <w:szCs w:val="18"/>
                <w:color w:val="auto"/>
              </w:rPr>
              <w:t>By: /s/ René F. Jones</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392"/>
        </w:trPr>
        <w:tc>
          <w:tcPr>
            <w:tcW w:w="3560" w:type="dxa"/>
            <w:vAlign w:val="bottom"/>
          </w:tcPr>
          <w:p>
            <w:pPr>
              <w:spacing w:after="0"/>
              <w:rPr>
                <w:sz w:val="24"/>
                <w:szCs w:val="24"/>
                <w:color w:val="auto"/>
              </w:rPr>
            </w:pPr>
          </w:p>
        </w:tc>
        <w:tc>
          <w:tcPr>
            <w:tcW w:w="6180" w:type="dxa"/>
            <w:vAlign w:val="bottom"/>
            <w:gridSpan w:val="2"/>
          </w:tcPr>
          <w:p>
            <w:pPr>
              <w:jc w:val="right"/>
              <w:ind w:right="3750"/>
              <w:spacing w:after="0"/>
              <w:rPr>
                <w:sz w:val="20"/>
                <w:szCs w:val="20"/>
                <w:color w:val="auto"/>
              </w:rPr>
            </w:pPr>
            <w:r>
              <w:rPr>
                <w:rFonts w:ascii="Arial" w:cs="Arial" w:eastAsia="Arial" w:hAnsi="Arial"/>
                <w:sz w:val="18"/>
                <w:szCs w:val="18"/>
                <w:color w:val="auto"/>
              </w:rPr>
              <w:t>- 98 -</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9920" w:type="dxa"/>
            <w:vAlign w:val="bottom"/>
          </w:tcPr>
          <w:p>
            <w:pPr>
              <w:ind w:left="4140"/>
              <w:spacing w:after="0"/>
              <w:rPr>
                <w:sz w:val="20"/>
                <w:szCs w:val="20"/>
                <w:color w:val="auto"/>
              </w:rPr>
            </w:pPr>
            <w:r>
              <w:rPr>
                <w:rFonts w:ascii="Arial" w:cs="Arial" w:eastAsia="Arial" w:hAnsi="Arial"/>
                <w:sz w:val="18"/>
                <w:szCs w:val="18"/>
                <w:color w:val="auto"/>
              </w:rPr>
              <w:t>EXHIBIT INDEX</w:t>
            </w:r>
          </w:p>
        </w:tc>
      </w:tr>
      <w:tr>
        <w:trPr>
          <w:trHeight w:val="346"/>
        </w:trPr>
        <w:tc>
          <w:tcPr>
            <w:tcW w:w="92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9920" w:type="dxa"/>
            <w:vAlign w:val="bottom"/>
          </w:tcPr>
          <w:p>
            <w:pPr>
              <w:spacing w:after="0"/>
              <w:rPr>
                <w:sz w:val="24"/>
                <w:szCs w:val="24"/>
                <w:color w:val="auto"/>
              </w:rPr>
            </w:pPr>
          </w:p>
        </w:tc>
      </w:tr>
      <w:tr>
        <w:trPr>
          <w:trHeight w:val="167"/>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920" w:type="dxa"/>
            <w:vAlign w:val="bottom"/>
          </w:tcPr>
          <w:p>
            <w:pPr>
              <w:spacing w:after="0"/>
              <w:rPr>
                <w:sz w:val="14"/>
                <w:szCs w:val="14"/>
                <w:color w:val="auto"/>
              </w:rPr>
            </w:pPr>
          </w:p>
        </w:tc>
      </w:tr>
      <w:tr>
        <w:trPr>
          <w:trHeight w:val="4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9920" w:type="dxa"/>
            <w:vAlign w:val="bottom"/>
          </w:tcPr>
          <w:p>
            <w:pPr>
              <w:ind w:left="58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9920" w:type="dxa"/>
            <w:vAlign w:val="bottom"/>
          </w:tcPr>
          <w:p>
            <w:pPr>
              <w:ind w:left="58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9920" w:type="dxa"/>
            <w:vAlign w:val="bottom"/>
          </w:tcPr>
          <w:p>
            <w:pPr>
              <w:ind w:left="58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w:t>
            </w:r>
          </w:p>
        </w:tc>
      </w:tr>
      <w:tr>
        <w:trPr>
          <w:trHeight w:val="230"/>
        </w:trPr>
        <w:tc>
          <w:tcPr>
            <w:tcW w:w="920" w:type="dxa"/>
            <w:vAlign w:val="bottom"/>
          </w:tcPr>
          <w:p>
            <w:pPr>
              <w:spacing w:after="0"/>
              <w:rPr>
                <w:sz w:val="20"/>
                <w:szCs w:val="20"/>
                <w:color w:val="auto"/>
              </w:rPr>
            </w:pPr>
          </w:p>
        </w:tc>
        <w:tc>
          <w:tcPr>
            <w:tcW w:w="9920" w:type="dxa"/>
            <w:vAlign w:val="bottom"/>
          </w:tcPr>
          <w:p>
            <w:pPr>
              <w:ind w:left="580"/>
              <w:spacing w:after="0"/>
              <w:rPr>
                <w:sz w:val="20"/>
                <w:szCs w:val="20"/>
                <w:color w:val="auto"/>
              </w:rPr>
            </w:pPr>
            <w:r>
              <w:rPr>
                <w:rFonts w:ascii="Arial" w:cs="Arial" w:eastAsia="Arial" w:hAnsi="Arial"/>
                <w:sz w:val="18"/>
                <w:szCs w:val="18"/>
                <w:color w:val="auto"/>
              </w:rPr>
              <w:t>herewith.</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9920" w:type="dxa"/>
            <w:vAlign w:val="bottom"/>
          </w:tcPr>
          <w:p>
            <w:pPr>
              <w:ind w:left="58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w:t>
            </w:r>
          </w:p>
        </w:tc>
      </w:tr>
      <w:tr>
        <w:trPr>
          <w:trHeight w:val="230"/>
        </w:trPr>
        <w:tc>
          <w:tcPr>
            <w:tcW w:w="920" w:type="dxa"/>
            <w:vAlign w:val="bottom"/>
          </w:tcPr>
          <w:p>
            <w:pPr>
              <w:spacing w:after="0"/>
              <w:rPr>
                <w:sz w:val="20"/>
                <w:szCs w:val="20"/>
                <w:color w:val="auto"/>
              </w:rPr>
            </w:pPr>
          </w:p>
        </w:tc>
        <w:tc>
          <w:tcPr>
            <w:tcW w:w="9920" w:type="dxa"/>
            <w:vAlign w:val="bottom"/>
          </w:tcPr>
          <w:p>
            <w:pPr>
              <w:ind w:left="580"/>
              <w:spacing w:after="0"/>
              <w:rPr>
                <w:sz w:val="20"/>
                <w:szCs w:val="20"/>
                <w:color w:val="auto"/>
              </w:rPr>
            </w:pPr>
            <w:r>
              <w:rPr>
                <w:rFonts w:ascii="Arial" w:cs="Arial" w:eastAsia="Arial" w:hAnsi="Arial"/>
                <w:sz w:val="18"/>
                <w:szCs w:val="18"/>
                <w:color w:val="auto"/>
              </w:rPr>
              <w:t>herewith.</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9920" w:type="dxa"/>
            <w:vAlign w:val="bottom"/>
          </w:tcPr>
          <w:p>
            <w:pPr>
              <w:ind w:left="58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9920" w:type="dxa"/>
            <w:vAlign w:val="bottom"/>
          </w:tcPr>
          <w:p>
            <w:pPr>
              <w:ind w:left="58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9920" w:type="dxa"/>
            <w:vAlign w:val="bottom"/>
          </w:tcPr>
          <w:p>
            <w:pPr>
              <w:ind w:left="58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9920" w:type="dxa"/>
            <w:vAlign w:val="bottom"/>
          </w:tcPr>
          <w:p>
            <w:pPr>
              <w:ind w:left="58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9920" w:type="dxa"/>
            <w:vAlign w:val="bottom"/>
          </w:tcPr>
          <w:p>
            <w:pPr>
              <w:ind w:left="58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9920" w:type="dxa"/>
            <w:vAlign w:val="bottom"/>
          </w:tcPr>
          <w:p>
            <w:pPr>
              <w:ind w:left="58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9" w:lineRule="exact"/>
        <w:rPr>
          <w:rFonts w:ascii="Arial" w:cs="Arial" w:eastAsia="Arial" w:hAnsi="Arial"/>
          <w:sz w:val="18"/>
          <w:szCs w:val="18"/>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99 -</w:t>
      </w:r>
    </w:p>
    <w:p>
      <w:pPr>
        <w:sectPr>
          <w:pgSz w:w="11900" w:h="16838" w:orient="portrait"/>
          <w:cols w:equalWidth="0" w:num="1">
            <w:col w:w="11020"/>
          </w:cols>
          <w:pgMar w:left="240" w:top="419" w:right="6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Robert G. Wilmers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5558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René F. Jones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5387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900" w:right="120" w:hanging="44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2010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130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2010</w:t>
      </w:r>
    </w:p>
    <w:p>
      <w:pPr>
        <w:spacing w:after="0" w:line="31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900" w:right="120" w:hanging="446"/>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2010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130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2010</w:t>
      </w:r>
    </w:p>
    <w:p>
      <w:pPr>
        <w:spacing w:after="0" w:line="31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1)"/>
      <w:numFmt w:val="lowerLetter"/>
      <w:start w:val="1"/>
    </w:lvl>
    <w:lvl w:ilvl="1">
      <w:lvlJc w:val="left"/>
      <w:lvlText w:val="-"/>
      <w:numFmt w:val="bullet"/>
      <w:start w:val="1"/>
    </w:lvl>
  </w:abstractNum>
  <w:abstractNum w:abstractNumId="3">
    <w:nsid w:val="62BBD95A"/>
    <w:multiLevelType w:val="hybridMultilevel"/>
    <w:lvl w:ilvl="0">
      <w:lvlJc w:val="left"/>
      <w:lvlText w:val="(%1)"/>
      <w:numFmt w:val="lowerLetter"/>
      <w:start w:val="1"/>
    </w:lvl>
    <w:lvl w:ilvl="1">
      <w:lvlJc w:val="left"/>
      <w:lvlText w:val="-"/>
      <w:numFmt w:val="bullet"/>
      <w:start w:val="1"/>
    </w:lvl>
  </w:abstractNum>
  <w:abstractNum w:abstractNumId="4">
    <w:nsid w:val="436C6125"/>
    <w:multiLevelType w:val="hybridMultilevel"/>
    <w:lvl w:ilvl="0">
      <w:lvlJc w:val="left"/>
      <w:lvlText w:val="(%1)"/>
      <w:numFmt w:val="lowerLetter"/>
      <w:start w:val="1"/>
    </w:lvl>
    <w:lvl w:ilvl="1">
      <w:lvlJc w:val="left"/>
      <w:lvlText w:val="-"/>
      <w:numFmt w:val="bullet"/>
      <w:start w:val="1"/>
    </w:lvl>
  </w:abstractNum>
  <w:abstractNum w:abstractNumId="5">
    <w:nsid w:val="628C895D"/>
    <w:multiLevelType w:val="hybridMultilevel"/>
    <w:lvl w:ilvl="0">
      <w:lvlJc w:val="left"/>
      <w:lvlText w:val="%1."/>
      <w:numFmt w:val="decimal"/>
      <w:start w:val="12"/>
    </w:lvl>
    <w:lvl w:ilvl="1">
      <w:lvlJc w:val="left"/>
      <w:lvlText w:val="•"/>
      <w:numFmt w:val="bullet"/>
      <w:start w:val="1"/>
    </w:lvl>
  </w:abstractNum>
  <w:abstractNum w:abstractNumId="6">
    <w:nsid w:val="333AB105"/>
    <w:multiLevelType w:val="hybridMultilevel"/>
    <w:lvl w:ilvl="0">
      <w:lvlJc w:val="left"/>
      <w:lvlText w:val="(%1)"/>
      <w:numFmt w:val="lowerLetter"/>
      <w:start w:val="1"/>
    </w:lvl>
    <w:lvl w:ilvl="1">
      <w:lvlJc w:val="left"/>
      <w:lvlText w:val="-"/>
      <w:numFmt w:val="bullet"/>
      <w:start w:val="1"/>
    </w:lvl>
  </w:abstractNum>
  <w:abstractNum w:abstractNumId="7">
    <w:nsid w:val="721DA317"/>
    <w:multiLevelType w:val="hybridMultilevel"/>
    <w:lvl w:ilvl="0">
      <w:lvlJc w:val="left"/>
      <w:lvlText w:val="(%1)"/>
      <w:numFmt w:val="lowerLetter"/>
      <w:start w:val="1"/>
    </w:lvl>
    <w:lvl w:ilvl="1">
      <w:lvlJc w:val="left"/>
      <w:lvlText w:val="-"/>
      <w:numFmt w:val="bullet"/>
      <w:start w:val="1"/>
    </w:lvl>
  </w:abstractNum>
  <w:abstractNum w:abstractNumId="8">
    <w:nsid w:val="2443A858"/>
    <w:multiLevelType w:val="hybridMultilevel"/>
    <w:lvl w:ilvl="0">
      <w:lvlJc w:val="left"/>
      <w:lvlText w:val="(%1)"/>
      <w:numFmt w:val="lowerLetter"/>
      <w:start w:val="1"/>
    </w:lvl>
    <w:lvl w:ilvl="1">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Roman"/>
      <w:start w:val="3"/>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lvl w:ilvl="1">
      <w:lvlJc w:val="left"/>
      <w:lvlText w:val="-"/>
      <w:numFmt w:val="bullet"/>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
      <w:numFmt w:val="bullet"/>
      <w:start w:val="1"/>
    </w:lvl>
    <w:lvl w:ilvl="1">
      <w:lvlJc w:val="left"/>
      <w:lvlText w:val="-"/>
      <w:numFmt w:val="bullet"/>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3"/>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lvl w:ilvl="1">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2019-12-10T00:02:30Z</dcterms:created>
  <dcterms:modified xsi:type="dcterms:W3CDTF">2019-12-10T00:02:30Z</dcterms:modified>
</cp:coreProperties>
</file>