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558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2"/>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580" w:type="dxa"/>
            <w:vAlign w:val="bottom"/>
          </w:tcPr>
          <w:p>
            <w:pPr>
              <w:jc w:val="center"/>
              <w:ind w:left="4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60" w:type="dxa"/>
            <w:vAlign w:val="bottom"/>
          </w:tcPr>
          <w:p>
            <w:pPr>
              <w:jc w:val="center"/>
              <w:spacing w:after="0"/>
              <w:rPr>
                <w:sz w:val="20"/>
                <w:szCs w:val="20"/>
                <w:color w:val="auto"/>
              </w:rPr>
            </w:pPr>
            <w:r>
              <w:rPr>
                <w:rFonts w:ascii="Arial" w:cs="Arial" w:eastAsia="Arial" w:hAnsi="Arial"/>
                <w:sz w:val="18"/>
                <w:szCs w:val="18"/>
                <w:color w:val="auto"/>
                <w:w w:val="93"/>
              </w:rPr>
              <w:t>One M &amp; T Plaza</w:t>
            </w:r>
          </w:p>
        </w:tc>
        <w:tc>
          <w:tcPr>
            <w:tcW w:w="558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5"/>
              </w:rPr>
              <w:t>Buffalo, New York</w:t>
            </w:r>
          </w:p>
        </w:tc>
        <w:tc>
          <w:tcPr>
            <w:tcW w:w="5580" w:type="dxa"/>
            <w:vAlign w:val="bottom"/>
          </w:tcPr>
          <w:p>
            <w:pPr>
              <w:jc w:val="center"/>
              <w:ind w:left="4130"/>
              <w:spacing w:after="0"/>
              <w:rPr>
                <w:sz w:val="20"/>
                <w:szCs w:val="20"/>
                <w:color w:val="auto"/>
              </w:rPr>
            </w:pPr>
            <w:r>
              <w:rPr>
                <w:rFonts w:ascii="Arial" w:cs="Arial" w:eastAsia="Arial" w:hAnsi="Arial"/>
                <w:sz w:val="18"/>
                <w:szCs w:val="18"/>
                <w:color w:val="auto"/>
                <w:w w:val="94"/>
              </w:rPr>
              <w:t>(Zip Code)</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(Address of principal</w:t>
            </w:r>
          </w:p>
        </w:tc>
        <w:tc>
          <w:tcPr>
            <w:tcW w:w="5580" w:type="dxa"/>
            <w:vAlign w:val="bottom"/>
          </w:tcPr>
          <w:p>
            <w:pPr>
              <w:spacing w:after="0"/>
              <w:rPr>
                <w:sz w:val="18"/>
                <w:szCs w:val="18"/>
                <w:color w:val="auto"/>
              </w:rPr>
            </w:pP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5580" w:type="dxa"/>
            <w:vAlign w:val="bottom"/>
          </w:tcPr>
          <w:p>
            <w:pPr>
              <w:spacing w:after="0"/>
              <w:rPr>
                <w:sz w:val="20"/>
                <w:szCs w:val="20"/>
                <w:color w:val="auto"/>
              </w:rPr>
            </w:pPr>
          </w:p>
        </w:tc>
      </w:tr>
      <w:tr>
        <w:trPr>
          <w:trHeight w:val="310"/>
        </w:trPr>
        <w:tc>
          <w:tcPr>
            <w:tcW w:w="2160" w:type="dxa"/>
            <w:vAlign w:val="bottom"/>
          </w:tcPr>
          <w:p>
            <w:pPr>
              <w:spacing w:after="0"/>
              <w:rPr>
                <w:sz w:val="24"/>
                <w:szCs w:val="24"/>
                <w:color w:val="auto"/>
              </w:rPr>
            </w:pPr>
          </w:p>
        </w:tc>
        <w:tc>
          <w:tcPr>
            <w:tcW w:w="5580" w:type="dxa"/>
            <w:vAlign w:val="bottom"/>
          </w:tcPr>
          <w:p>
            <w:pPr>
              <w:jc w:val="right"/>
              <w:ind w:right="3010"/>
              <w:spacing w:after="0"/>
              <w:rPr>
                <w:sz w:val="20"/>
                <w:szCs w:val="20"/>
                <w:color w:val="auto"/>
              </w:rPr>
            </w:pPr>
            <w:r>
              <w:rPr>
                <w:rFonts w:ascii="Arial" w:cs="Arial" w:eastAsia="Arial" w:hAnsi="Arial"/>
                <w:sz w:val="18"/>
                <w:szCs w:val="18"/>
                <w:color w:val="auto"/>
              </w:rPr>
              <w:t>(716) 842-5445</w:t>
            </w:r>
          </w:p>
        </w:tc>
      </w:tr>
      <w:tr>
        <w:trPr>
          <w:trHeight w:val="230"/>
        </w:trPr>
        <w:tc>
          <w:tcPr>
            <w:tcW w:w="2160" w:type="dxa"/>
            <w:vAlign w:val="bottom"/>
          </w:tcPr>
          <w:p>
            <w:pPr>
              <w:spacing w:after="0"/>
              <w:rPr>
                <w:sz w:val="20"/>
                <w:szCs w:val="20"/>
                <w:color w:val="auto"/>
              </w:rPr>
            </w:pPr>
          </w:p>
        </w:tc>
        <w:tc>
          <w:tcPr>
            <w:tcW w:w="5580" w:type="dxa"/>
            <w:vAlign w:val="bottom"/>
          </w:tcPr>
          <w:p>
            <w:pPr>
              <w:jc w:val="center"/>
              <w:ind w:right="16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94"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ectPr>
          <w:pgSz w:w="11900" w:h="16838" w:orient="portrait"/>
          <w:cols w:equalWidth="0" w:num="1">
            <w:col w:w="11400"/>
          </w:cols>
          <w:pgMar w:left="240" w:top="122" w:right="25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large accelerated filer” in Rule 12b-2 of the Exchange Act. (Check one):</w:t>
      </w:r>
    </w:p>
    <w:p>
      <w:pPr>
        <w:spacing w:after="0" w:line="9" w:lineRule="exact"/>
        <w:rPr>
          <w:sz w:val="20"/>
          <w:szCs w:val="20"/>
          <w:color w:val="auto"/>
        </w:rPr>
      </w:pPr>
    </w:p>
    <w:p>
      <w:pPr>
        <w:ind w:left="2980"/>
        <w:spacing w:after="0" w:line="207" w:lineRule="exact"/>
        <w:tabs>
          <w:tab w:leader="none" w:pos="51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107" w:lineRule="exact"/>
        <w:rPr>
          <w:sz w:val="20"/>
          <w:szCs w:val="20"/>
          <w:color w:val="auto"/>
        </w:rPr>
      </w:pPr>
    </w:p>
    <w:p>
      <w:pPr>
        <w:sectPr>
          <w:pgSz w:w="11900" w:h="16838" w:orient="portrait"/>
          <w:cols w:equalWidth="0" w:num="2">
            <w:col w:w="6460" w:space="320"/>
            <w:col w:w="4620"/>
          </w:cols>
          <w:pgMar w:left="240" w:top="122" w:right="25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22, 2007: 106,751,607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20" w:type="dxa"/>
            <w:vAlign w:val="bottom"/>
            <w:tcBorders>
              <w:bottom w:val="single" w:sz="8" w:color="auto"/>
            </w:tcBorders>
            <w:gridSpan w:val="26"/>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169"/>
        </w:trPr>
        <w:tc>
          <w:tcPr>
            <w:tcW w:w="10420" w:type="dxa"/>
            <w:vAlign w:val="bottom"/>
            <w:gridSpan w:val="2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68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September 30, 2007 and December 31, 2006</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and nine months ended September 30, 2007 and 2006</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40" w:type="dxa"/>
            <w:vAlign w:val="bottom"/>
            <w:tcBorders>
              <w:top w:val="single" w:sz="8" w:color="0000EE"/>
            </w:tcBorders>
            <w:gridSpan w:val="21"/>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 OF CASH FLOWS - Nine months ended September 30, 2007 and 2006</w:t>
              </w:r>
            </w:hyperlink>
          </w:p>
        </w:tc>
        <w:tc>
          <w:tcPr>
            <w:tcW w:w="2060" w:type="dxa"/>
            <w:vAlign w:val="bottom"/>
            <w:gridSpan w:val="3"/>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4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STOCKHOLDERS’ EQUITY - Nine months ended September 30, 2007 and 2006</w:t>
              </w:r>
            </w:hyperlink>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SUMMARY OF CHANGES IN ALLOWANCE FOR CREDIT LOSSES - Nine months ended September 30, 2007</w:t>
              </w:r>
            </w:hyperlink>
          </w:p>
        </w:tc>
        <w:tc>
          <w:tcPr>
            <w:tcW w:w="2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2006</w:t>
              </w:r>
            </w:hyperlink>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940" w:type="dxa"/>
            <w:vAlign w:val="bottom"/>
            <w:gridSpan w:val="10"/>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22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 Controls and Procedures.</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Part II. OTHER INFORMATION</w:t>
              </w:r>
            </w:hyperlink>
          </w:p>
        </w:tc>
        <w:tc>
          <w:tcPr>
            <w:tcW w:w="798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 Legal Proceedings.</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1A. Risk Factors.</w:t>
              </w:r>
            </w:hyperlink>
          </w:p>
        </w:tc>
        <w:tc>
          <w:tcPr>
            <w:tcW w:w="8280" w:type="dxa"/>
            <w:vAlign w:val="bottom"/>
            <w:gridSpan w:val="16"/>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2. Unregistered Sales of Equity Securities and Use of Proceeds.</w:t>
              </w:r>
            </w:hyperlink>
          </w:p>
        </w:tc>
        <w:tc>
          <w:tcPr>
            <w:tcW w:w="5260" w:type="dxa"/>
            <w:vAlign w:val="bottom"/>
            <w:gridSpan w:val="8"/>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Item 3. Defaults Upon Senior Securities.</w:t>
              </w:r>
            </w:hyperlink>
          </w:p>
        </w:tc>
        <w:tc>
          <w:tcPr>
            <w:tcW w:w="7280" w:type="dxa"/>
            <w:vAlign w:val="bottom"/>
            <w:gridSpan w:val="11"/>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22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Item 4. Submission of Matters to a Vote of Security Holders.</w:t>
              </w:r>
            </w:hyperlink>
          </w:p>
        </w:tc>
        <w:tc>
          <w:tcPr>
            <w:tcW w:w="5840" w:type="dxa"/>
            <w:vAlign w:val="bottom"/>
            <w:gridSpan w:val="9"/>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22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5. Other Information.</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8300" w:type="dxa"/>
            <w:vAlign w:val="bottom"/>
            <w:gridSpan w:val="17"/>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10420" w:type="dxa"/>
            <w:vAlign w:val="bottom"/>
            <w:gridSpan w:val="2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80" w:type="dxa"/>
            <w:vAlign w:val="bottom"/>
            <w:gridSpan w:val="2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 INDEX</w:t>
              </w:r>
            </w:hyperlink>
          </w:p>
        </w:tc>
        <w:tc>
          <w:tcPr>
            <w:tcW w:w="9080" w:type="dxa"/>
            <w:vAlign w:val="bottom"/>
            <w:gridSpan w:val="20"/>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780" w:type="dxa"/>
            <w:vAlign w:val="bottom"/>
            <w:gridSpan w:val="2"/>
          </w:tcPr>
          <w:p>
            <w:pPr>
              <w:jc w:val="right"/>
              <w:ind w:right="470"/>
              <w:spacing w:after="0"/>
              <w:rPr>
                <w:sz w:val="20"/>
                <w:szCs w:val="20"/>
                <w:color w:val="auto"/>
              </w:rPr>
            </w:pPr>
            <w:r>
              <w:rPr>
                <w:rFonts w:ascii="Arial" w:cs="Arial" w:eastAsia="Arial" w:hAnsi="Arial"/>
                <w:sz w:val="14"/>
                <w:szCs w:val="14"/>
                <w:color w:val="auto"/>
              </w:rPr>
              <w:t>September 30,</w:t>
            </w:r>
          </w:p>
        </w:tc>
        <w:tc>
          <w:tcPr>
            <w:tcW w:w="1720" w:type="dxa"/>
            <w:vAlign w:val="bottom"/>
          </w:tcPr>
          <w:p>
            <w:pPr>
              <w:jc w:val="right"/>
              <w:ind w:right="311"/>
              <w:spacing w:after="0"/>
              <w:rPr>
                <w:sz w:val="20"/>
                <w:szCs w:val="20"/>
                <w:color w:val="auto"/>
              </w:rPr>
            </w:pPr>
            <w:r>
              <w:rPr>
                <w:rFonts w:ascii="Arial" w:cs="Arial" w:eastAsia="Arial" w:hAnsi="Arial"/>
                <w:sz w:val="14"/>
                <w:szCs w:val="14"/>
                <w:color w:val="auto"/>
              </w:rPr>
              <w:t>December 31,</w:t>
            </w:r>
          </w:p>
        </w:tc>
      </w:tr>
      <w:tr>
        <w:trPr>
          <w:trHeight w:val="174"/>
        </w:trPr>
        <w:tc>
          <w:tcPr>
            <w:tcW w:w="7920" w:type="dxa"/>
            <w:vAlign w:val="bottom"/>
            <w:gridSpan w:val="4"/>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00" w:type="dxa"/>
            <w:vAlign w:val="bottom"/>
          </w:tcPr>
          <w:p>
            <w:pPr>
              <w:spacing w:after="0"/>
              <w:rPr>
                <w:sz w:val="15"/>
                <w:szCs w:val="15"/>
                <w:color w:val="auto"/>
              </w:rPr>
            </w:pPr>
          </w:p>
        </w:tc>
        <w:tc>
          <w:tcPr>
            <w:tcW w:w="1380" w:type="dxa"/>
            <w:vAlign w:val="bottom"/>
          </w:tcPr>
          <w:p>
            <w:pPr>
              <w:jc w:val="right"/>
              <w:ind w:right="750"/>
              <w:spacing w:after="0"/>
              <w:rPr>
                <w:sz w:val="20"/>
                <w:szCs w:val="20"/>
                <w:color w:val="auto"/>
              </w:rPr>
            </w:pPr>
            <w:r>
              <w:rPr>
                <w:rFonts w:ascii="Arial" w:cs="Arial" w:eastAsia="Arial" w:hAnsi="Arial"/>
                <w:sz w:val="14"/>
                <w:szCs w:val="14"/>
                <w:color w:val="auto"/>
              </w:rPr>
              <w:t>2007</w:t>
            </w:r>
          </w:p>
        </w:tc>
        <w:tc>
          <w:tcPr>
            <w:tcW w:w="1720" w:type="dxa"/>
            <w:vAlign w:val="bottom"/>
          </w:tcPr>
          <w:p>
            <w:pPr>
              <w:jc w:val="right"/>
              <w:ind w:right="571"/>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1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and due from banks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1,295,377</w:t>
            </w:r>
          </w:p>
        </w:tc>
        <w:tc>
          <w:tcPr>
            <w:tcW w:w="17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1,605,506</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Interest-bearing deposits at banks</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8,503</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6,639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funds sold</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32,200</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19,458</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Agreements to resell securities</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367,797</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Trading account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180,019</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136,752</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Investment securities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Available for sale (cost: $7,571,023 at September 30, 2007; $6,878,332 at</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2006)</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7,470,946</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6,829,848</w:t>
            </w:r>
          </w:p>
        </w:tc>
      </w:tr>
      <w:tr>
        <w:trPr>
          <w:trHeight w:val="202"/>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Pr>
          <w:p>
            <w:pPr>
              <w:ind w:left="200"/>
              <w:spacing w:after="0" w:line="201" w:lineRule="exact"/>
              <w:rPr>
                <w:sz w:val="20"/>
                <w:szCs w:val="20"/>
                <w:color w:val="auto"/>
              </w:rPr>
            </w:pPr>
            <w:r>
              <w:rPr>
                <w:rFonts w:ascii="Arial" w:cs="Arial" w:eastAsia="Arial" w:hAnsi="Arial"/>
                <w:sz w:val="18"/>
                <w:szCs w:val="18"/>
                <w:color w:val="auto"/>
                <w:w w:val="95"/>
              </w:rPr>
              <w:t>Held to maturity (market value: $61,332 at September 30, 2007; $66,729 at</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December 31, 2006)</w:t>
            </w:r>
          </w:p>
        </w:tc>
        <w:tc>
          <w:tcPr>
            <w:tcW w:w="40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60,090</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64,899</w:t>
            </w: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(market value: $471,979 at September 30, 2007; $356,851 at</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December 31, 2006)</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471,979</w:t>
            </w:r>
          </w:p>
        </w:tc>
        <w:tc>
          <w:tcPr>
            <w:tcW w:w="17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356,851</w:t>
            </w: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investment securities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8,003,015</w:t>
            </w:r>
          </w:p>
        </w:tc>
        <w:tc>
          <w:tcPr>
            <w:tcW w:w="17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7,251,598</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Loans and leases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8"/>
              </w:rPr>
              <w:t>45,104,046</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43,206,954</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4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(325,574)</w:t>
            </w:r>
          </w:p>
        </w:tc>
        <w:tc>
          <w:tcPr>
            <w:tcW w:w="1720" w:type="dxa"/>
            <w:vAlign w:val="bottom"/>
          </w:tcPr>
          <w:p>
            <w:pPr>
              <w:jc w:val="right"/>
              <w:ind w:right="251"/>
              <w:spacing w:after="0"/>
              <w:rPr>
                <w:sz w:val="20"/>
                <w:szCs w:val="20"/>
                <w:color w:val="auto"/>
              </w:rPr>
            </w:pPr>
            <w:r>
              <w:rPr>
                <w:rFonts w:ascii="Arial" w:cs="Arial" w:eastAsia="Arial" w:hAnsi="Arial"/>
                <w:sz w:val="18"/>
                <w:szCs w:val="18"/>
                <w:color w:val="auto"/>
              </w:rPr>
              <w:t>(259,657)</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(680,498)</w:t>
            </w:r>
          </w:p>
        </w:tc>
        <w:tc>
          <w:tcPr>
            <w:tcW w:w="17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(649,948)</w:t>
            </w: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Loans and leases, net</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44,097,974</w:t>
            </w:r>
          </w:p>
        </w:tc>
        <w:tc>
          <w:tcPr>
            <w:tcW w:w="17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42,297,349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Premises and equipment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332,197</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335,008</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2,908,849</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2,908,849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Core deposit and other intangible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200,195</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250,233</w:t>
            </w: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Accrued interest and other assets</w:t>
            </w:r>
          </w:p>
        </w:tc>
        <w:tc>
          <w:tcPr>
            <w:tcW w:w="4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2,581,997</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2,153,513</w:t>
            </w:r>
          </w:p>
        </w:tc>
      </w:tr>
      <w:tr>
        <w:trPr>
          <w:trHeight w:val="216"/>
        </w:trPr>
        <w:tc>
          <w:tcPr>
            <w:tcW w:w="20" w:type="dxa"/>
            <w:vAlign w:val="bottom"/>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60,008,123</w:t>
            </w:r>
          </w:p>
        </w:tc>
        <w:tc>
          <w:tcPr>
            <w:tcW w:w="172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57,064,905</w:t>
            </w: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26"/>
        </w:trPr>
        <w:tc>
          <w:tcPr>
            <w:tcW w:w="17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Noninterest-bearing deposits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7,565,762</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7,879,977</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849,060</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940,439</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88"/>
              </w:rPr>
              <w:t>14,247,433</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14,169,790</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9,622,798</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11,490,629</w:t>
            </w: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Deposits at foreign office</w:t>
            </w:r>
          </w:p>
        </w:tc>
        <w:tc>
          <w:tcPr>
            <w:tcW w:w="4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6,188,126</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5,429,668</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38,473,179</w:t>
            </w:r>
          </w:p>
        </w:tc>
        <w:tc>
          <w:tcPr>
            <w:tcW w:w="172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39,910,503</w:t>
            </w: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4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4,273,464</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2,531,684</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short-term borrowings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647,437</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562,530</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Accrued interest and other liabilities</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859,847</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888,352</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borrowings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9,516,192</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6,890,741</w:t>
            </w:r>
          </w:p>
        </w:tc>
      </w:tr>
      <w:tr>
        <w:trPr>
          <w:trHeight w:val="230"/>
        </w:trPr>
        <w:tc>
          <w:tcPr>
            <w:tcW w:w="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88"/>
              </w:rPr>
              <w:t>53,770,119</w:t>
            </w:r>
          </w:p>
        </w:tc>
        <w:tc>
          <w:tcPr>
            <w:tcW w:w="17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50,783,810</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$1 par, 1,000,000 shares authorized, none outstanding</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1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Common stock, $.50 par, 250,000,000 shares authorized, 120,396,611 shares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issued at September 30, 2007 and at December 31, 2006</w:t>
            </w:r>
          </w:p>
        </w:tc>
        <w:tc>
          <w:tcPr>
            <w:tcW w:w="40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60,198</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60,198</w:t>
            </w: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Common stock issuable, 83,793 shares at September 30, 2007; 90,949 shares</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December 31, 2006</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4,810</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5,060</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w w:val="99"/>
              </w:rPr>
              <w:t>2,897,499</w:t>
            </w:r>
          </w:p>
        </w:tc>
        <w:tc>
          <w:tcPr>
            <w:tcW w:w="1720" w:type="dxa"/>
            <w:vAlign w:val="bottom"/>
          </w:tcPr>
          <w:p>
            <w:pPr>
              <w:jc w:val="right"/>
              <w:ind w:right="311"/>
              <w:spacing w:after="0"/>
              <w:rPr>
                <w:sz w:val="20"/>
                <w:szCs w:val="20"/>
                <w:color w:val="auto"/>
              </w:rPr>
            </w:pPr>
            <w:r>
              <w:rPr>
                <w:rFonts w:ascii="Arial" w:cs="Arial" w:eastAsia="Arial" w:hAnsi="Arial"/>
                <w:sz w:val="18"/>
                <w:szCs w:val="18"/>
                <w:color w:val="auto"/>
              </w:rPr>
              <w:t>2,889,449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4,827,583</w:t>
            </w:r>
          </w:p>
        </w:tc>
        <w:tc>
          <w:tcPr>
            <w:tcW w:w="17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4,443,441</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income (loss), net</w:t>
            </w:r>
          </w:p>
        </w:tc>
        <w:tc>
          <w:tcPr>
            <w:tcW w:w="4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(86,665)</w:t>
            </w:r>
          </w:p>
        </w:tc>
        <w:tc>
          <w:tcPr>
            <w:tcW w:w="1720" w:type="dxa"/>
            <w:vAlign w:val="bottom"/>
          </w:tcPr>
          <w:p>
            <w:pPr>
              <w:jc w:val="right"/>
              <w:ind w:right="251"/>
              <w:spacing w:after="0"/>
              <w:rPr>
                <w:sz w:val="20"/>
                <w:szCs w:val="20"/>
                <w:color w:val="auto"/>
              </w:rPr>
            </w:pPr>
            <w:r>
              <w:rPr>
                <w:rFonts w:ascii="Arial" w:cs="Arial" w:eastAsia="Arial" w:hAnsi="Arial"/>
                <w:sz w:val="18"/>
                <w:szCs w:val="18"/>
                <w:color w:val="auto"/>
              </w:rPr>
              <w:t>(53,574)</w:t>
            </w: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Treasury stock — common, at cost - 13,673,244 shares at September 30,</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2007; 10,179,802 shares at December 31, 2006</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3"/>
              </w:rPr>
              <w:t>(1,465,421)</w:t>
            </w:r>
          </w:p>
        </w:tc>
        <w:tc>
          <w:tcPr>
            <w:tcW w:w="17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(1,063,479)</w:t>
            </w: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6,238,004</w:t>
            </w:r>
          </w:p>
        </w:tc>
        <w:tc>
          <w:tcPr>
            <w:tcW w:w="17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6,281,095</w:t>
            </w:r>
          </w:p>
        </w:tc>
      </w:tr>
      <w:tr>
        <w:trPr>
          <w:trHeight w:val="216"/>
        </w:trPr>
        <w:tc>
          <w:tcPr>
            <w:tcW w:w="20" w:type="dxa"/>
            <w:vAlign w:val="bottom"/>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8"/>
              </w:rPr>
              <w:t>60,008,123</w:t>
            </w:r>
          </w:p>
        </w:tc>
        <w:tc>
          <w:tcPr>
            <w:tcW w:w="17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57,064,905</w:t>
            </w: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80" w:type="dxa"/>
            <w:vAlign w:val="bottom"/>
            <w:gridSpan w:val="2"/>
          </w:tcPr>
          <w:p>
            <w:pPr>
              <w:jc w:val="right"/>
              <w:ind w:right="20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2"/>
          </w:tcPr>
          <w:p>
            <w:pPr>
              <w:jc w:val="right"/>
              <w:ind w:right="510"/>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2480" w:type="dxa"/>
            <w:vAlign w:val="bottom"/>
            <w:gridSpan w:val="2"/>
          </w:tcPr>
          <w:p>
            <w:pPr>
              <w:jc w:val="right"/>
              <w:ind w:right="730"/>
              <w:spacing w:after="0"/>
              <w:rPr>
                <w:sz w:val="20"/>
                <w:szCs w:val="20"/>
                <w:color w:val="auto"/>
              </w:rPr>
            </w:pPr>
            <w:r>
              <w:rPr>
                <w:rFonts w:ascii="Arial" w:cs="Arial" w:eastAsia="Arial" w:hAnsi="Arial"/>
                <w:sz w:val="14"/>
                <w:szCs w:val="14"/>
                <w:color w:val="auto"/>
              </w:rPr>
              <w:t>Nine months ended</w:t>
            </w: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2"/>
          </w:tcPr>
          <w:p>
            <w:pPr>
              <w:jc w:val="right"/>
              <w:ind w:right="690"/>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980" w:type="dxa"/>
            <w:vAlign w:val="bottom"/>
          </w:tcPr>
          <w:p>
            <w:pPr>
              <w:spacing w:after="0"/>
              <w:rPr>
                <w:sz w:val="14"/>
                <w:szCs w:val="14"/>
                <w:color w:val="auto"/>
              </w:rPr>
            </w:pPr>
          </w:p>
        </w:tc>
      </w:tr>
      <w:tr>
        <w:trPr>
          <w:trHeight w:val="174"/>
        </w:trPr>
        <w:tc>
          <w:tcPr>
            <w:tcW w:w="55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w:t>
            </w:r>
          </w:p>
        </w:tc>
        <w:tc>
          <w:tcPr>
            <w:tcW w:w="940" w:type="dxa"/>
            <w:vAlign w:val="bottom"/>
          </w:tcPr>
          <w:p>
            <w:pPr>
              <w:spacing w:after="0"/>
              <w:rPr>
                <w:sz w:val="15"/>
                <w:szCs w:val="15"/>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color w:val="auto"/>
              </w:rPr>
              <w:t>2007</w:t>
            </w:r>
          </w:p>
        </w:tc>
        <w:tc>
          <w:tcPr>
            <w:tcW w:w="1140" w:type="dxa"/>
            <w:vAlign w:val="bottom"/>
          </w:tcPr>
          <w:p>
            <w:pPr>
              <w:jc w:val="right"/>
              <w:ind w:right="330"/>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1500" w:type="dxa"/>
            <w:vAlign w:val="bottom"/>
          </w:tcPr>
          <w:p>
            <w:pPr>
              <w:jc w:val="right"/>
              <w:ind w:right="871"/>
              <w:spacing w:after="0"/>
              <w:rPr>
                <w:sz w:val="20"/>
                <w:szCs w:val="20"/>
                <w:color w:val="auto"/>
              </w:rPr>
            </w:pPr>
            <w:r>
              <w:rPr>
                <w:rFonts w:ascii="Arial" w:cs="Arial" w:eastAsia="Arial" w:hAnsi="Arial"/>
                <w:sz w:val="14"/>
                <w:szCs w:val="14"/>
                <w:color w:val="auto"/>
              </w:rPr>
              <w:t>2007</w:t>
            </w:r>
          </w:p>
        </w:tc>
        <w:tc>
          <w:tcPr>
            <w:tcW w:w="980" w:type="dxa"/>
            <w:vAlign w:val="bottom"/>
          </w:tcPr>
          <w:p>
            <w:pPr>
              <w:jc w:val="right"/>
              <w:ind w:right="390"/>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and leases, including fees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798,572</w:t>
            </w:r>
          </w:p>
        </w:tc>
        <w:tc>
          <w:tcPr>
            <w:tcW w:w="11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755,543</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87"/>
              </w:rPr>
              <w:t>2,353,114</w:t>
            </w:r>
          </w:p>
        </w:tc>
        <w:tc>
          <w:tcPr>
            <w:tcW w:w="9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2,150,076</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Deposits at banks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64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197</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180</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710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1,328</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Agreements to resell securities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3,249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1,942</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14,254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1,942</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145</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491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2,104</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Investment securities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taxable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88,280</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90,320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255,083</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276,100</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from federal taxes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2,524</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3,685</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8,390</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11,165</w:t>
            </w:r>
          </w:p>
        </w:tc>
      </w:tr>
      <w:tr>
        <w:trPr>
          <w:trHeight w:val="216"/>
        </w:trPr>
        <w:tc>
          <w:tcPr>
            <w:tcW w:w="20" w:type="dxa"/>
            <w:vAlign w:val="bottom"/>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 income</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893,014</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852,836</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87"/>
              </w:rPr>
              <w:t>2,632,239</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2,443,019</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Interest expense</w:t>
            </w:r>
          </w:p>
        </w:tc>
        <w:tc>
          <w:tcPr>
            <w:tcW w:w="4080" w:type="dxa"/>
            <w:vAlign w:val="bottom"/>
          </w:tcPr>
          <w:p>
            <w:pPr>
              <w:spacing w:after="0"/>
              <w:rPr>
                <w:sz w:val="20"/>
                <w:szCs w:val="20"/>
                <w:color w:val="auto"/>
              </w:rPr>
            </w:pPr>
            <w:r>
              <w:rPr>
                <w:rFonts w:ascii="Arial" w:cs="Arial" w:eastAsia="Arial" w:hAnsi="Arial"/>
                <w:sz w:val="18"/>
                <w:szCs w:val="18"/>
                <w:color w:val="auto"/>
              </w:rPr>
              <w:t>NOW accounts</w:t>
            </w:r>
          </w:p>
        </w:tc>
        <w:tc>
          <w:tcPr>
            <w:tcW w:w="940" w:type="dxa"/>
            <w:vAlign w:val="bottom"/>
          </w:tcPr>
          <w:p>
            <w:pPr>
              <w:spacing w:after="0"/>
              <w:rPr>
                <w:sz w:val="19"/>
                <w:szCs w:val="19"/>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982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19"/>
                <w:szCs w:val="19"/>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3,173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2,398</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62,883</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51,816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184,678</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142,952</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Time deposits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w w:val="89"/>
              </w:rPr>
              <w:t>117,064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152,571</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377,766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409,661</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Deposits at foreign office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55,666</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48,244</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151,316</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128,845</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borrowings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68,376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59,487</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205,440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163,677</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120,355</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82,574</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329,839</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244,663</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interest expense</w:t>
            </w: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89"/>
              </w:rPr>
              <w:t>425,326</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395,652</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7"/>
              </w:rPr>
              <w:t>1,252,212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1,092,196</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interest income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467,688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457,184</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87"/>
              </w:rPr>
              <w:t>1,380,027</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1,350,823</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credit losses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34,000</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17,000</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91,000</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52,000</w:t>
            </w:r>
          </w:p>
        </w:tc>
      </w:tr>
      <w:tr>
        <w:trPr>
          <w:trHeight w:val="216"/>
        </w:trPr>
        <w:tc>
          <w:tcPr>
            <w:tcW w:w="20" w:type="dxa"/>
            <w:vAlign w:val="bottom"/>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433,688</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440,184</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87"/>
              </w:rPr>
              <w:t>1,289,027</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1,298,823</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Other income</w:t>
            </w:r>
          </w:p>
        </w:tc>
        <w:tc>
          <w:tcPr>
            <w:tcW w:w="4080" w:type="dxa"/>
            <w:vAlign w:val="bottom"/>
          </w:tcPr>
          <w:p>
            <w:pPr>
              <w:spacing w:after="0"/>
              <w:rPr>
                <w:sz w:val="20"/>
                <w:szCs w:val="20"/>
                <w:color w:val="auto"/>
              </w:rPr>
            </w:pPr>
            <w:r>
              <w:rPr>
                <w:rFonts w:ascii="Arial" w:cs="Arial" w:eastAsia="Arial" w:hAnsi="Arial"/>
                <w:sz w:val="18"/>
                <w:szCs w:val="18"/>
                <w:color w:val="auto"/>
              </w:rPr>
              <w:t>Mortgage banking revenues</w:t>
            </w:r>
          </w:p>
        </w:tc>
        <w:tc>
          <w:tcPr>
            <w:tcW w:w="940" w:type="dxa"/>
            <w:vAlign w:val="bottom"/>
          </w:tcPr>
          <w:p>
            <w:pPr>
              <w:spacing w:after="0"/>
              <w:rPr>
                <w:sz w:val="19"/>
                <w:szCs w:val="19"/>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31,643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36,806</w:t>
            </w:r>
          </w:p>
        </w:tc>
        <w:tc>
          <w:tcPr>
            <w:tcW w:w="360" w:type="dxa"/>
            <w:vAlign w:val="bottom"/>
          </w:tcPr>
          <w:p>
            <w:pPr>
              <w:spacing w:after="0"/>
              <w:rPr>
                <w:sz w:val="19"/>
                <w:szCs w:val="19"/>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81,062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112,882</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104,402</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100,314</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303,615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284,739</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Trust income</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38,168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35,224</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112,691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103,777</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Brokerage services income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14,978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14,794</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46,844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43,999</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Trading account and foreign exchange gains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7,279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5,082</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20,465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17,756</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Gain (loss) on bank investment securities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1,133</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1,185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1,427</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94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w w:val="95"/>
              </w:rPr>
              <w:t>(11,294)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00" w:type="dxa"/>
            <w:vAlign w:val="bottom"/>
          </w:tcPr>
          <w:p>
            <w:pPr>
              <w:jc w:val="right"/>
              <w:ind w:right="631"/>
              <w:spacing w:after="0"/>
              <w:rPr>
                <w:sz w:val="20"/>
                <w:szCs w:val="20"/>
                <w:color w:val="auto"/>
              </w:rPr>
            </w:pPr>
            <w:r>
              <w:rPr>
                <w:rFonts w:ascii="Arial" w:cs="Arial" w:eastAsia="Arial" w:hAnsi="Arial"/>
                <w:sz w:val="18"/>
                <w:szCs w:val="18"/>
                <w:color w:val="auto"/>
              </w:rPr>
              <w:t>(5,594)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revenues from operations</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67,861</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80,549</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212,231</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224,855</w:t>
            </w:r>
          </w:p>
        </w:tc>
      </w:tr>
      <w:tr>
        <w:trPr>
          <w:trHeight w:val="230"/>
        </w:trPr>
        <w:tc>
          <w:tcPr>
            <w:tcW w:w="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other income</w:t>
            </w: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89"/>
              </w:rPr>
              <w:t>252,899</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273,902</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772,499</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789,435</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220,750</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218,980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682,204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660,224</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42,091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41,683</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126,036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127,612</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7,996</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8,294</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25,886</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24,933</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Amortization of core deposit and other intangible assets</w:t>
            </w:r>
          </w:p>
        </w:tc>
        <w:tc>
          <w:tcPr>
            <w:tcW w:w="940" w:type="dxa"/>
            <w:vAlign w:val="bottom"/>
          </w:tcPr>
          <w:p>
            <w:pPr>
              <w:spacing w:after="0"/>
              <w:rPr>
                <w:sz w:val="18"/>
                <w:szCs w:val="18"/>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15,702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19,936</w:t>
            </w:r>
          </w:p>
        </w:tc>
        <w:tc>
          <w:tcPr>
            <w:tcW w:w="360" w:type="dxa"/>
            <w:vAlign w:val="bottom"/>
          </w:tcPr>
          <w:p>
            <w:pPr>
              <w:spacing w:after="0"/>
              <w:rPr>
                <w:sz w:val="18"/>
                <w:szCs w:val="18"/>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50,515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44,321</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103,989</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120,048</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297,575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310,851</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other expense</w:t>
            </w: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89"/>
              </w:rPr>
              <w:t>390,528</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408,941</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87"/>
              </w:rPr>
              <w:t>1,182,216</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1,167,941</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296,059</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305,145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879,310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920,317</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96,872</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94,775</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289,981</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294,457</w:t>
            </w:r>
          </w:p>
        </w:tc>
      </w:tr>
      <w:tr>
        <w:trPr>
          <w:trHeight w:val="216"/>
        </w:trPr>
        <w:tc>
          <w:tcPr>
            <w:tcW w:w="20" w:type="dxa"/>
            <w:vAlign w:val="bottom"/>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89"/>
              </w:rPr>
              <w:t>199,187</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210,370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rPr>
              <w:t>589,329</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625,860</w:t>
            </w: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1.86</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5.45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rPr>
              <w:t>1.83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20"/>
                <w:szCs w:val="20"/>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5.34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5.49</w:t>
            </w:r>
          </w:p>
        </w:tc>
      </w:tr>
      <w:tr>
        <w:trPr>
          <w:trHeight w:val="202"/>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.70</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1.90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r>
      <w:tr>
        <w:trPr>
          <w:trHeight w:val="43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107,056</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111,047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108,220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111,331</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color w:val="auto"/>
                <w:w w:val="89"/>
              </w:rPr>
              <w:t>108,957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113,897</w:t>
            </w:r>
          </w:p>
        </w:tc>
        <w:tc>
          <w:tcPr>
            <w:tcW w:w="360" w:type="dxa"/>
            <w:vAlign w:val="bottom"/>
          </w:tcPr>
          <w:p>
            <w:pPr>
              <w:spacing w:after="0"/>
              <w:rPr>
                <w:sz w:val="20"/>
                <w:szCs w:val="20"/>
                <w:color w:val="auto"/>
              </w:rPr>
            </w:pPr>
          </w:p>
        </w:tc>
        <w:tc>
          <w:tcPr>
            <w:tcW w:w="1500" w:type="dxa"/>
            <w:vAlign w:val="bottom"/>
          </w:tcPr>
          <w:p>
            <w:pPr>
              <w:jc w:val="right"/>
              <w:ind w:right="691"/>
              <w:spacing w:after="0"/>
              <w:rPr>
                <w:sz w:val="20"/>
                <w:szCs w:val="20"/>
                <w:color w:val="auto"/>
              </w:rPr>
            </w:pPr>
            <w:r>
              <w:rPr>
                <w:rFonts w:ascii="Arial" w:cs="Arial" w:eastAsia="Arial" w:hAnsi="Arial"/>
                <w:sz w:val="18"/>
                <w:szCs w:val="18"/>
                <w:color w:val="auto"/>
              </w:rPr>
              <w:t>110,342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114,069</w:t>
            </w:r>
          </w:p>
        </w:tc>
      </w:tr>
      <w:tr>
        <w:trPr>
          <w:trHeight w:val="391"/>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4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80" w:type="dxa"/>
            <w:vAlign w:val="bottom"/>
            <w:gridSpan w:val="2"/>
          </w:tcPr>
          <w:p>
            <w:pPr>
              <w:jc w:val="right"/>
              <w:ind w:right="690"/>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2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2007</w:t>
            </w:r>
          </w:p>
        </w:tc>
        <w:tc>
          <w:tcPr>
            <w:tcW w:w="1700" w:type="dxa"/>
            <w:vAlign w:val="bottom"/>
          </w:tcPr>
          <w:p>
            <w:pPr>
              <w:jc w:val="right"/>
              <w:ind w:right="530"/>
              <w:spacing w:after="0"/>
              <w:rPr>
                <w:sz w:val="20"/>
                <w:szCs w:val="20"/>
                <w:color w:val="auto"/>
              </w:rPr>
            </w:pPr>
            <w:r>
              <w:rPr>
                <w:rFonts w:ascii="Arial" w:cs="Arial" w:eastAsia="Arial" w:hAnsi="Arial"/>
                <w:sz w:val="14"/>
                <w:szCs w:val="14"/>
                <w:color w:val="auto"/>
              </w:rPr>
              <w:t>2006</w:t>
            </w:r>
          </w:p>
        </w:tc>
      </w:tr>
      <w:tr>
        <w:trPr>
          <w:trHeight w:val="202"/>
        </w:trPr>
        <w:tc>
          <w:tcPr>
            <w:tcW w:w="20" w:type="dxa"/>
            <w:vAlign w:val="bottom"/>
          </w:tcPr>
          <w:p>
            <w:pPr>
              <w:spacing w:after="0"/>
              <w:rPr>
                <w:sz w:val="17"/>
                <w:szCs w:val="17"/>
                <w:color w:val="auto"/>
              </w:rPr>
            </w:pPr>
          </w:p>
        </w:tc>
        <w:tc>
          <w:tcPr>
            <w:tcW w:w="2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 from operating</w:t>
            </w:r>
          </w:p>
        </w:tc>
        <w:tc>
          <w:tcPr>
            <w:tcW w:w="220" w:type="dxa"/>
            <w:vAlign w:val="bottom"/>
            <w:tcBorders>
              <w:top w:val="single" w:sz="8" w:color="auto"/>
            </w:tcBorders>
            <w:shd w:val="clear" w:color="auto" w:fill="CCEEFF"/>
          </w:tcPr>
          <w:p>
            <w:pPr>
              <w:spacing w:after="0"/>
              <w:rPr>
                <w:sz w:val="17"/>
                <w:szCs w:val="17"/>
                <w:color w:val="auto"/>
              </w:rPr>
            </w:pPr>
          </w:p>
        </w:tc>
        <w:tc>
          <w:tcPr>
            <w:tcW w:w="5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589,329</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625,860</w:t>
            </w:r>
          </w:p>
        </w:tc>
      </w:t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7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credit losses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91,000</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52,000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37,053</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39,202</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46,731</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45,660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50,515</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44,321</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deferred income taxes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(15,351)</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(58,107)</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Asset write-downs</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12,227</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gain on sales of assets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(5,416)</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(11,086)</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5,184</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46,556</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(23,185)</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145,724</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136,517</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(5,009)</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(26,865)</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5,572</w:t>
            </w:r>
          </w:p>
        </w:tc>
      </w:tr>
      <w:tr>
        <w:trPr>
          <w:trHeight w:val="230"/>
        </w:trPr>
        <w:tc>
          <w:tcPr>
            <w:tcW w:w="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897,739</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930,934</w:t>
            </w: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investing</w:t>
            </w:r>
          </w:p>
        </w:tc>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sales of investment securities</w:t>
            </w: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39,374</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98,365</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1,881</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40,960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Proceeds from maturities of investment securities</w:t>
            </w: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4"/>
              </w:rPr>
              <w:t>1,357,036</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1,242,416</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Held to maturity</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34,568</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78,900</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w w:val="89"/>
              </w:rPr>
              <w:t>(2,087,581)</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(596,108)</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to maturity</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(29,769)</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(45,228)</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rPr>
              <w:t>(117,009)</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(30,371)</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increase in agreements to resell securities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(267,797)</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Net increase in loans and leases</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w w:val="89"/>
              </w:rPr>
              <w:t>(2,077,630)</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(1,541,817)</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investments, net</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(305,975)</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(12,299)</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Additions to capitalized servicing rights</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rPr>
              <w:t>(45,159)</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(44,450)</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expenditures, net</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(35,119)</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(26,627)</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Acquisitions, net of cash acquired</w:t>
            </w: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banking offices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494,990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(12,172)</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(27,319)</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60,546</w:t>
            </w:r>
          </w:p>
        </w:tc>
      </w:tr>
      <w:tr>
        <w:trPr>
          <w:trHeight w:val="230"/>
        </w:trPr>
        <w:tc>
          <w:tcPr>
            <w:tcW w:w="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Net cash used by investing activities</w:t>
            </w:r>
          </w:p>
        </w:tc>
        <w:tc>
          <w:tcPr>
            <w:tcW w:w="4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89"/>
              </w:rPr>
              <w:t>(3,560,499)</w:t>
            </w: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(392,895)</w:t>
            </w: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financing</w:t>
            </w:r>
          </w:p>
        </w:tc>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increase (decrease) in deposits</w:t>
            </w: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89"/>
              </w:rPr>
              <w:t>(1,438,598)</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1,015,347</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Net increase (decrease) in short-term borrowings</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w w:val="94"/>
              </w:rPr>
              <w:t>1,826,687</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(806,767)</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long-term borrowings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4"/>
              </w:rPr>
              <w:t>2,849,895</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Payments on long-term borrowings</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rPr>
              <w:t>(228,086)</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(969,595)</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treasury stock</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(496,057)</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(298,896)</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Dividends paid — common</w:t>
            </w:r>
          </w:p>
        </w:tc>
        <w:tc>
          <w:tcPr>
            <w:tcW w:w="48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color w:val="auto"/>
              </w:rPr>
              <w:t>(205,028)</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(183,328)</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56,560</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74,723</w:t>
            </w: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Net cash provided (used) by financing activities</w:t>
            </w:r>
          </w:p>
        </w:tc>
        <w:tc>
          <w:tcPr>
            <w:tcW w:w="4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w w:val="94"/>
              </w:rPr>
              <w:t>2,365,373</w:t>
            </w: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(668,516)</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decrease in cash and cash equivalents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(297,387)</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(130,477)</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w w:val="94"/>
              </w:rPr>
              <w:t>1,624,964</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1,490,459</w:t>
            </w: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94"/>
              </w:rPr>
              <w:t>1,327,577</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1,359,982</w:t>
            </w:r>
          </w:p>
        </w:tc>
      </w:tr>
      <w:tr>
        <w:trPr>
          <w:trHeight w:val="20"/>
        </w:trPr>
        <w:tc>
          <w:tcPr>
            <w:tcW w:w="2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Supplemental disclosure of</w:t>
            </w:r>
          </w:p>
        </w:tc>
        <w:tc>
          <w:tcPr>
            <w:tcW w:w="220" w:type="dxa"/>
            <w:vAlign w:val="bottom"/>
            <w:tcBorders>
              <w:top w:val="single" w:sz="8" w:color="auto"/>
            </w:tcBorders>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cash flow information</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Interest received during the period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1"/>
              <w:spacing w:after="0"/>
              <w:rPr>
                <w:sz w:val="20"/>
                <w:szCs w:val="20"/>
                <w:color w:val="auto"/>
              </w:rPr>
            </w:pPr>
            <w:r>
              <w:rPr>
                <w:rFonts w:ascii="Arial" w:cs="Arial" w:eastAsia="Arial" w:hAnsi="Arial"/>
                <w:sz w:val="18"/>
                <w:szCs w:val="18"/>
                <w:color w:val="auto"/>
                <w:w w:val="94"/>
              </w:rPr>
              <w:t>2,643,940</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2,435,470</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paid during the period</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4"/>
              </w:rPr>
              <w:t>1,243,915</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1,024,465</w:t>
            </w:r>
          </w:p>
        </w:tc>
      </w:tr>
      <w:tr>
        <w:trPr>
          <w:trHeight w:val="216"/>
        </w:trPr>
        <w:tc>
          <w:tcPr>
            <w:tcW w:w="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Income taxes paid during the period</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279,045</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254,759</w:t>
            </w: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Supplemental schedule of</w:t>
            </w:r>
          </w:p>
        </w:tc>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w:t>
            </w: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Loans held for sale transferred to loans held for investment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870,759</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Real estate acquired in settlement of loans</w:t>
            </w:r>
          </w:p>
        </w:tc>
        <w:tc>
          <w:tcPr>
            <w:tcW w:w="480" w:type="dxa"/>
            <w:vAlign w:val="bottom"/>
          </w:tcPr>
          <w:p>
            <w:pPr>
              <w:spacing w:after="0"/>
              <w:rPr>
                <w:sz w:val="18"/>
                <w:szCs w:val="18"/>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25,347</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13,505</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 :</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Fair value of :</w:t>
            </w: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Assets acquired (noncash)</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514,055</w:t>
            </w: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0"/>
                <w:szCs w:val="20"/>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999,022</w:t>
            </w:r>
          </w:p>
        </w:tc>
      </w:tr>
      <w:tr>
        <w:trPr>
          <w:trHeight w:val="39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700" w:type="dxa"/>
            <w:vAlign w:val="bottom"/>
            <w:gridSpan w:val="2"/>
          </w:tcPr>
          <w:p>
            <w:pPr>
              <w:ind w:left="344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6" w:name="page7"/>
    <w:bookmarkEnd w:id="6"/>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Accumulated</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Common</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Additional</w:t>
            </w: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comprehensive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51"/>
              <w:spacing w:after="0" w:line="149" w:lineRule="exact"/>
              <w:rPr>
                <w:sz w:val="20"/>
                <w:szCs w:val="20"/>
                <w:color w:val="auto"/>
              </w:rPr>
            </w:pPr>
            <w:r>
              <w:rPr>
                <w:rFonts w:ascii="Arial" w:cs="Arial" w:eastAsia="Arial" w:hAnsi="Arial"/>
                <w:sz w:val="14"/>
                <w:szCs w:val="14"/>
                <w:color w:val="auto"/>
                <w:w w:val="89"/>
              </w:rPr>
              <w:t>Preferred</w:t>
            </w:r>
          </w:p>
        </w:tc>
        <w:tc>
          <w:tcPr>
            <w:tcW w:w="102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Common</w:t>
            </w: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stock</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paid-in</w:t>
            </w:r>
          </w:p>
        </w:tc>
        <w:tc>
          <w:tcPr>
            <w:tcW w:w="11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income (loss),</w:t>
            </w:r>
          </w:p>
        </w:tc>
        <w:tc>
          <w:tcPr>
            <w:tcW w:w="140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260" w:type="dxa"/>
            <w:vAlign w:val="bottom"/>
            <w:gridSpan w:val="2"/>
          </w:tcPr>
          <w:p>
            <w:pPr>
              <w:spacing w:after="0"/>
              <w:rPr>
                <w:sz w:val="20"/>
                <w:szCs w:val="20"/>
                <w:color w:val="auto"/>
              </w:rPr>
            </w:pPr>
            <w:r>
              <w:rPr>
                <w:rFonts w:ascii="Arial" w:cs="Arial" w:eastAsia="Arial" w:hAnsi="Arial"/>
                <w:sz w:val="14"/>
                <w:szCs w:val="14"/>
                <w:color w:val="auto"/>
              </w:rPr>
              <w:t>In thousands, except per share</w:t>
            </w:r>
          </w:p>
        </w:tc>
        <w:tc>
          <w:tcPr>
            <w:tcW w:w="2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80" w:type="dxa"/>
            <w:vAlign w:val="bottom"/>
          </w:tcPr>
          <w:p>
            <w:pPr>
              <w:jc w:val="right"/>
              <w:ind w:right="212"/>
              <w:spacing w:after="0"/>
              <w:rPr>
                <w:sz w:val="20"/>
                <w:szCs w:val="20"/>
                <w:color w:val="auto"/>
              </w:rPr>
            </w:pPr>
            <w:r>
              <w:rPr>
                <w:rFonts w:ascii="Arial" w:cs="Arial" w:eastAsia="Arial" w:hAnsi="Arial"/>
                <w:sz w:val="14"/>
                <w:szCs w:val="14"/>
                <w:color w:val="auto"/>
              </w:rPr>
              <w:t>issuable</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capital</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earnings</w:t>
            </w: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net</w:t>
            </w:r>
          </w:p>
        </w:tc>
        <w:tc>
          <w:tcPr>
            <w:tcW w:w="1400" w:type="dxa"/>
            <w:vAlign w:val="bottom"/>
          </w:tcPr>
          <w:p>
            <w:pPr>
              <w:jc w:val="right"/>
              <w:ind w:right="311"/>
              <w:spacing w:after="0"/>
              <w:rPr>
                <w:sz w:val="20"/>
                <w:szCs w:val="20"/>
                <w:color w:val="auto"/>
              </w:rPr>
            </w:pPr>
            <w:r>
              <w:rPr>
                <w:rFonts w:ascii="Arial" w:cs="Arial" w:eastAsia="Arial" w:hAnsi="Arial"/>
                <w:sz w:val="14"/>
                <w:szCs w:val="14"/>
                <w:color w:val="auto"/>
              </w:rPr>
              <w:t>stock</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5,363</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2,886,153</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3,854,275</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(97,930)</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(831,673)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5,876,386</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625,860</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625,860</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10,990</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636,850</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4"/>
                <w:szCs w:val="24"/>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(298,896)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(298,896)</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Repayment of management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ownership program</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225</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40,059</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40,059</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(36,419)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115,636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79,217</w:t>
            </w: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87</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694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(283)</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(474)</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858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dividends - $1.65 per</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(183,328)</w:t>
            </w: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(183,328)</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 September 30,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5,080</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2,889,631</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4,296,655</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(86,940)</w:t>
            </w:r>
          </w:p>
        </w:tc>
        <w:tc>
          <w:tcPr>
            <w:tcW w:w="1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(1,013,381)</w:t>
            </w: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6,151,243</w:t>
            </w:r>
          </w:p>
        </w:tc>
      </w:tr>
      <w:tr>
        <w:trPr>
          <w:trHeight w:val="20"/>
        </w:trPr>
        <w:tc>
          <w:tcPr>
            <w:tcW w:w="2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 January 1, 2007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5,060</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2,889,449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4,443,441</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(53,574)</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(1,063,479)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6,281,095</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589,329</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589,329</w:t>
            </w: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(32,684)</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(32,684)</w:t>
            </w: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Defined benefit plan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liability adjustment</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(390)</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Purchases of treasury stock</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(496,057)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(496,057)</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39,095</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1,605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40,700</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(30,640)</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90,742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60,102</w:t>
            </w: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75</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932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(250)</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(480)</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836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dividends - $1.90 per</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(205,028)</w:t>
            </w: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(205,028)</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 September 30,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4,810</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2,897,499</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4,827,583</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(86,665)</w:t>
            </w:r>
          </w:p>
        </w:tc>
        <w:tc>
          <w:tcPr>
            <w:tcW w:w="1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(1,465,421)</w:t>
            </w: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6,238,004</w:t>
            </w: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ectPr>
          <w:pgSz w:w="11900" w:h="16843" w:orient="portrait"/>
          <w:cols w:equalWidth="0" w:num="1">
            <w:col w:w="11420"/>
          </w:cols>
          <w:pgMar w:left="240" w:top="419"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60" w:type="dxa"/>
            <w:vAlign w:val="bottom"/>
            <w:gridSpan w:val="2"/>
          </w:tcPr>
          <w:p>
            <w:pPr>
              <w:jc w:val="right"/>
              <w:ind w:right="13"/>
              <w:spacing w:after="0"/>
              <w:rPr>
                <w:sz w:val="20"/>
                <w:szCs w:val="20"/>
                <w:color w:val="auto"/>
              </w:rPr>
            </w:pPr>
            <w:r>
              <w:rPr>
                <w:rFonts w:ascii="Arial" w:cs="Arial" w:eastAsia="Arial" w:hAnsi="Arial"/>
                <w:sz w:val="14"/>
                <w:szCs w:val="14"/>
                <w:color w:val="auto"/>
              </w:rPr>
              <w:t>Nine months ended September 30</w:t>
            </w:r>
          </w:p>
        </w:tc>
      </w:tr>
      <w:tr>
        <w:trPr>
          <w:trHeight w:val="174"/>
        </w:trPr>
        <w:tc>
          <w:tcPr>
            <w:tcW w:w="3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600" w:type="dxa"/>
            <w:vAlign w:val="bottom"/>
          </w:tcPr>
          <w:p>
            <w:pPr>
              <w:jc w:val="right"/>
              <w:ind w:right="334"/>
              <w:spacing w:after="0"/>
              <w:rPr>
                <w:sz w:val="20"/>
                <w:szCs w:val="20"/>
                <w:color w:val="auto"/>
              </w:rPr>
            </w:pPr>
            <w:r>
              <w:rPr>
                <w:rFonts w:ascii="Arial" w:cs="Arial" w:eastAsia="Arial" w:hAnsi="Arial"/>
                <w:sz w:val="14"/>
                <w:szCs w:val="14"/>
                <w:color w:val="auto"/>
              </w:rPr>
              <w:t>2007</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$ 649,948</w:t>
            </w:r>
          </w:p>
        </w:tc>
        <w:tc>
          <w:tcPr>
            <w:tcW w:w="10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637,663</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6600" w:type="dxa"/>
            <w:vAlign w:val="bottom"/>
          </w:tcPr>
          <w:p>
            <w:pPr>
              <w:jc w:val="right"/>
              <w:ind w:right="334"/>
              <w:spacing w:after="0"/>
              <w:rPr>
                <w:sz w:val="20"/>
                <w:szCs w:val="20"/>
                <w:color w:val="auto"/>
              </w:rPr>
            </w:pPr>
            <w:r>
              <w:rPr>
                <w:rFonts w:ascii="Arial" w:cs="Arial" w:eastAsia="Arial" w:hAnsi="Arial"/>
                <w:sz w:val="18"/>
                <w:szCs w:val="18"/>
                <w:color w:val="auto"/>
              </w:rPr>
              <w:t>91,000</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52,000</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6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6600" w:type="dxa"/>
            <w:vAlign w:val="bottom"/>
          </w:tcPr>
          <w:p>
            <w:pPr>
              <w:jc w:val="right"/>
              <w:ind w:right="274"/>
              <w:spacing w:after="0"/>
              <w:rPr>
                <w:sz w:val="20"/>
                <w:szCs w:val="20"/>
                <w:color w:val="auto"/>
              </w:rPr>
            </w:pPr>
            <w:r>
              <w:rPr>
                <w:rFonts w:ascii="Arial" w:cs="Arial" w:eastAsia="Arial" w:hAnsi="Arial"/>
                <w:sz w:val="18"/>
                <w:szCs w:val="18"/>
                <w:color w:val="auto"/>
              </w:rPr>
              <w:t>(82,459)</w:t>
            </w:r>
          </w:p>
        </w:tc>
        <w:tc>
          <w:tcPr>
            <w:tcW w:w="1060" w:type="dxa"/>
            <w:vAlign w:val="bottom"/>
          </w:tcPr>
          <w:p>
            <w:pPr>
              <w:jc w:val="right"/>
              <w:spacing w:after="0"/>
              <w:rPr>
                <w:sz w:val="20"/>
                <w:szCs w:val="20"/>
                <w:color w:val="auto"/>
              </w:rPr>
            </w:pPr>
            <w:r>
              <w:rPr>
                <w:rFonts w:ascii="Arial" w:cs="Arial" w:eastAsia="Arial" w:hAnsi="Arial"/>
                <w:sz w:val="18"/>
                <w:szCs w:val="18"/>
                <w:color w:val="auto"/>
              </w:rPr>
              <w:t>(65,683)</w:t>
            </w: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66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22,009</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22,339</w:t>
            </w:r>
          </w:p>
        </w:tc>
      </w:tr>
      <w:tr>
        <w:trPr>
          <w:trHeight w:val="230"/>
        </w:trPr>
        <w:tc>
          <w:tcPr>
            <w:tcW w:w="20" w:type="dxa"/>
            <w:vAlign w:val="bottom"/>
          </w:tcPr>
          <w:p>
            <w:pPr>
              <w:spacing w:after="0"/>
              <w:rPr>
                <w:sz w:val="20"/>
                <w:szCs w:val="20"/>
                <w:color w:val="auto"/>
              </w:rPr>
            </w:pPr>
          </w:p>
        </w:tc>
        <w:tc>
          <w:tcPr>
            <w:tcW w:w="37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net charge-offs</w:t>
            </w:r>
          </w:p>
        </w:tc>
        <w:tc>
          <w:tcPr>
            <w:tcW w:w="66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(60,450)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w:t>
            </w: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$ 680,498</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646,319</w:t>
            </w:r>
          </w:p>
        </w:tc>
      </w:tr>
      <w:tr>
        <w:trPr>
          <w:trHeight w:val="20"/>
        </w:trPr>
        <w:tc>
          <w:tcPr>
            <w:tcW w:w="2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600" w:type="dxa"/>
            <w:vAlign w:val="bottom"/>
          </w:tcPr>
          <w:p>
            <w:pPr>
              <w:jc w:val="right"/>
              <w:ind w:right="4454"/>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2006 Annual Report, except as described below. In the opinion of management, all adjustments necessary for a fair presentation have been made and were all of a normal recurring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748"/>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2800" w:type="dxa"/>
            <w:vAlign w:val="bottom"/>
            <w:gridSpan w:val="4"/>
          </w:tcPr>
          <w:p>
            <w:pPr>
              <w:jc w:val="right"/>
              <w:ind w:right="8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tcPr>
          <w:p>
            <w:pPr>
              <w:jc w:val="right"/>
              <w:ind w:right="928"/>
              <w:spacing w:after="0"/>
              <w:rPr>
                <w:sz w:val="20"/>
                <w:szCs w:val="20"/>
                <w:color w:val="auto"/>
              </w:rPr>
            </w:pPr>
            <w:r>
              <w:rPr>
                <w:rFonts w:ascii="Arial" w:cs="Arial" w:eastAsia="Arial" w:hAnsi="Arial"/>
                <w:sz w:val="14"/>
                <w:szCs w:val="14"/>
                <w:color w:val="auto"/>
                <w:w w:val="95"/>
              </w:rPr>
              <w:t>September 30</w:t>
            </w: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jc w:val="right"/>
              <w:ind w:right="100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color w:val="auto"/>
              </w:rPr>
              <w:t>2007</w:t>
            </w:r>
          </w:p>
        </w:tc>
        <w:tc>
          <w:tcPr>
            <w:tcW w:w="1860" w:type="dxa"/>
            <w:vAlign w:val="bottom"/>
            <w:gridSpan w:val="3"/>
          </w:tcPr>
          <w:p>
            <w:pPr>
              <w:jc w:val="right"/>
              <w:ind w:right="368"/>
              <w:spacing w:after="0"/>
              <w:rPr>
                <w:sz w:val="20"/>
                <w:szCs w:val="20"/>
                <w:color w:val="auto"/>
              </w:rPr>
            </w:pPr>
            <w:r>
              <w:rPr>
                <w:rFonts w:ascii="Arial" w:cs="Arial" w:eastAsia="Arial" w:hAnsi="Arial"/>
                <w:sz w:val="14"/>
                <w:szCs w:val="14"/>
                <w:color w:val="auto"/>
              </w:rPr>
              <w:t>2006</w:t>
            </w: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2007</w:t>
            </w:r>
          </w:p>
        </w:tc>
        <w:tc>
          <w:tcPr>
            <w:tcW w:w="1860" w:type="dxa"/>
            <w:vAlign w:val="bottom"/>
            <w:gridSpan w:val="3"/>
          </w:tcPr>
          <w:p>
            <w:pPr>
              <w:jc w:val="right"/>
              <w:ind w:right="440"/>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auto"/>
                <w:w w:val="72"/>
              </w:rPr>
              <w:t>except</w:t>
            </w:r>
          </w:p>
        </w:tc>
        <w:tc>
          <w:tcPr>
            <w:tcW w:w="9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per share)</w:t>
            </w:r>
          </w:p>
        </w:tc>
        <w:tc>
          <w:tcPr>
            <w:tcW w:w="2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199,187</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210,370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589,329</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625,860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outstanding (including common stock</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issuable)</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107,056</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111,047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108,220</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1.89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diluted earnings per share follow: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80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left="437"/>
              <w:spacing w:after="0"/>
              <w:rPr>
                <w:sz w:val="20"/>
                <w:szCs w:val="20"/>
                <w:color w:val="auto"/>
              </w:rPr>
            </w:pPr>
            <w:r>
              <w:rPr>
                <w:rFonts w:ascii="Arial" w:cs="Arial" w:eastAsia="Arial" w:hAnsi="Arial"/>
                <w:sz w:val="14"/>
                <w:szCs w:val="14"/>
                <w:color w:val="auto"/>
                <w:w w:val="90"/>
              </w:rPr>
              <w:t>September 30</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3"/>
          </w:tcPr>
          <w:p>
            <w:pPr>
              <w:jc w:val="center"/>
              <w:ind w:left="517"/>
              <w:spacing w:after="0"/>
              <w:rPr>
                <w:sz w:val="20"/>
                <w:szCs w:val="20"/>
                <w:color w:val="auto"/>
              </w:rPr>
            </w:pPr>
            <w:r>
              <w:rPr>
                <w:rFonts w:ascii="Arial" w:cs="Arial" w:eastAsia="Arial" w:hAnsi="Arial"/>
                <w:sz w:val="14"/>
                <w:szCs w:val="14"/>
                <w:color w:val="auto"/>
                <w:w w:val="88"/>
              </w:rPr>
              <w:t>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(in thousands, except per share)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199,187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210,370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589,329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625,860</w:t>
            </w: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107,056</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111,047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108,220</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111,331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Plus: incremental shares from assumed conversion of stock-based compensation</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3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6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6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1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108,957</w:t>
            </w:r>
          </w:p>
        </w:tc>
        <w:tc>
          <w:tcPr>
            <w:tcW w:w="8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113,897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110,342</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114,069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Options to purchase approximately 3.3 million and 1.8 million common shares during the three-month periods ended September 30, 2007 and 2006, respectively, and 3.3 million and 1.2 million common shares during the nine-month periods ended September 30, 2007 and 2006, respectively, were not included in the computations of diluted earnings per share because the effect on those periods would be antidilutive.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Borders>
              <w:bottom w:val="single" w:sz="8" w:color="auto"/>
            </w:tcBorders>
            <w:gridSpan w:val="7"/>
          </w:tcPr>
          <w:p>
            <w:pPr>
              <w:jc w:val="center"/>
              <w:ind w:left="358"/>
              <w:spacing w:after="0"/>
              <w:rPr>
                <w:sz w:val="20"/>
                <w:szCs w:val="20"/>
                <w:color w:val="auto"/>
              </w:rPr>
            </w:pPr>
            <w:r>
              <w:rPr>
                <w:rFonts w:ascii="Arial" w:cs="Arial" w:eastAsia="Arial" w:hAnsi="Arial"/>
                <w:sz w:val="14"/>
                <w:szCs w:val="14"/>
                <w:color w:val="auto"/>
                <w:w w:val="91"/>
              </w:rPr>
              <w:t>Nine months ended September 30, 2007</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3"/>
          </w:tcPr>
          <w:p>
            <w:pPr>
              <w:jc w:val="center"/>
              <w:ind w:right="380"/>
              <w:spacing w:after="0" w:line="123" w:lineRule="exact"/>
              <w:rPr>
                <w:sz w:val="20"/>
                <w:szCs w:val="20"/>
                <w:color w:val="auto"/>
              </w:rPr>
            </w:pPr>
            <w:r>
              <w:rPr>
                <w:rFonts w:ascii="Arial" w:cs="Arial" w:eastAsia="Arial" w:hAnsi="Arial"/>
                <w:sz w:val="14"/>
                <w:szCs w:val="14"/>
                <w:color w:val="auto"/>
                <w:w w:val="86"/>
              </w:rPr>
              <w:t>Before-tax</w:t>
            </w:r>
          </w:p>
        </w:tc>
        <w:tc>
          <w:tcPr>
            <w:tcW w:w="340" w:type="dxa"/>
            <w:vAlign w:val="bottom"/>
          </w:tcPr>
          <w:p>
            <w:pPr>
              <w:spacing w:after="0"/>
              <w:rPr>
                <w:sz w:val="10"/>
                <w:szCs w:val="10"/>
                <w:color w:val="auto"/>
              </w:rPr>
            </w:pPr>
          </w:p>
        </w:tc>
        <w:tc>
          <w:tcPr>
            <w:tcW w:w="1480" w:type="dxa"/>
            <w:vAlign w:val="bottom"/>
            <w:gridSpan w:val="3"/>
          </w:tcPr>
          <w:p>
            <w:pPr>
              <w:jc w:val="center"/>
              <w:ind w:right="800"/>
              <w:spacing w:after="0" w:line="123" w:lineRule="exact"/>
              <w:rPr>
                <w:sz w:val="20"/>
                <w:szCs w:val="20"/>
                <w:color w:val="auto"/>
              </w:rPr>
            </w:pPr>
            <w:r>
              <w:rPr>
                <w:rFonts w:ascii="Arial" w:cs="Arial" w:eastAsia="Arial" w:hAnsi="Arial"/>
                <w:sz w:val="14"/>
                <w:szCs w:val="14"/>
                <w:color w:val="auto"/>
                <w:w w:val="95"/>
              </w:rPr>
              <w:t>Income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amount</w:t>
            </w:r>
          </w:p>
        </w:tc>
        <w:tc>
          <w:tcPr>
            <w:tcW w:w="3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 (50,408)</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18,451</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Less: reclassification adjustment for gains realized in net income</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(51,593)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18,909</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cash flow hedges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Defined benefit plan liability adjustment</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(28)</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losses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(52,319)</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19,228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Borders>
              <w:bottom w:val="single" w:sz="8" w:color="auto"/>
            </w:tcBorders>
            <w:gridSpan w:val="7"/>
          </w:tcPr>
          <w:p>
            <w:pPr>
              <w:jc w:val="center"/>
              <w:ind w:left="358"/>
              <w:spacing w:after="0"/>
              <w:rPr>
                <w:sz w:val="20"/>
                <w:szCs w:val="20"/>
                <w:color w:val="auto"/>
              </w:rPr>
            </w:pPr>
            <w:r>
              <w:rPr>
                <w:rFonts w:ascii="Arial" w:cs="Arial" w:eastAsia="Arial" w:hAnsi="Arial"/>
                <w:sz w:val="14"/>
                <w:szCs w:val="14"/>
                <w:color w:val="auto"/>
                <w:w w:val="91"/>
              </w:rPr>
              <w:t>Nine months ended September 30, 2006</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3"/>
          </w:tcPr>
          <w:p>
            <w:pPr>
              <w:jc w:val="center"/>
              <w:ind w:right="380"/>
              <w:spacing w:after="0" w:line="123" w:lineRule="exact"/>
              <w:rPr>
                <w:sz w:val="20"/>
                <w:szCs w:val="20"/>
                <w:color w:val="auto"/>
              </w:rPr>
            </w:pPr>
            <w:r>
              <w:rPr>
                <w:rFonts w:ascii="Arial" w:cs="Arial" w:eastAsia="Arial" w:hAnsi="Arial"/>
                <w:sz w:val="14"/>
                <w:szCs w:val="14"/>
                <w:color w:val="auto"/>
                <w:w w:val="86"/>
              </w:rPr>
              <w:t>Before-tax</w:t>
            </w:r>
          </w:p>
        </w:tc>
        <w:tc>
          <w:tcPr>
            <w:tcW w:w="340" w:type="dxa"/>
            <w:vAlign w:val="bottom"/>
          </w:tcPr>
          <w:p>
            <w:pPr>
              <w:spacing w:after="0"/>
              <w:rPr>
                <w:sz w:val="10"/>
                <w:szCs w:val="10"/>
                <w:color w:val="auto"/>
              </w:rPr>
            </w:pPr>
          </w:p>
        </w:tc>
        <w:tc>
          <w:tcPr>
            <w:tcW w:w="1480" w:type="dxa"/>
            <w:vAlign w:val="bottom"/>
            <w:gridSpan w:val="3"/>
          </w:tcPr>
          <w:p>
            <w:pPr>
              <w:jc w:val="center"/>
              <w:ind w:right="800"/>
              <w:spacing w:after="0" w:line="123" w:lineRule="exact"/>
              <w:rPr>
                <w:sz w:val="20"/>
                <w:szCs w:val="20"/>
                <w:color w:val="auto"/>
              </w:rPr>
            </w:pPr>
            <w:r>
              <w:rPr>
                <w:rFonts w:ascii="Arial" w:cs="Arial" w:eastAsia="Arial" w:hAnsi="Arial"/>
                <w:sz w:val="14"/>
                <w:szCs w:val="14"/>
                <w:color w:val="auto"/>
                <w:w w:val="95"/>
              </w:rPr>
              <w:t>Income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amount</w:t>
            </w:r>
          </w:p>
        </w:tc>
        <w:tc>
          <w:tcPr>
            <w:tcW w:w="3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 securities: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15,092</w:t>
            </w:r>
          </w:p>
        </w:tc>
        <w:tc>
          <w:tcPr>
            <w:tcW w:w="320" w:type="dxa"/>
            <w:vAlign w:val="bottom"/>
          </w:tcPr>
          <w:p>
            <w:pPr>
              <w:spacing w:after="0"/>
              <w:rPr>
                <w:sz w:val="18"/>
                <w:szCs w:val="18"/>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Less: reclassification adjustment for gains realized in net income</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unrealized gains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13,665</w:t>
            </w:r>
          </w:p>
        </w:tc>
        <w:tc>
          <w:tcPr>
            <w:tcW w:w="320" w:type="dxa"/>
            <w:vAlign w:val="bottom"/>
          </w:tcPr>
          <w:p>
            <w:pPr>
              <w:spacing w:after="0"/>
              <w:rPr>
                <w:sz w:val="24"/>
                <w:szCs w:val="24"/>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10,990</w:t>
            </w:r>
          </w:p>
        </w:tc>
        <w:tc>
          <w:tcPr>
            <w:tcW w:w="0" w:type="dxa"/>
            <w:vAlign w:val="bottom"/>
          </w:tcPr>
          <w:p>
            <w:pPr>
              <w:spacing w:after="0"/>
              <w:rPr>
                <w:sz w:val="1"/>
                <w:szCs w:val="1"/>
                <w:color w:val="auto"/>
              </w:rPr>
            </w:pPr>
          </w:p>
        </w:tc>
      </w:tr>
      <w:tr>
        <w:trPr>
          <w:trHeight w:val="20"/>
        </w:trPr>
        <w:tc>
          <w:tcPr>
            <w:tcW w:w="7640" w:type="dxa"/>
            <w:vAlign w:val="bottom"/>
            <w:gridSpan w:val="5"/>
            <w:vMerge w:val="restart"/>
          </w:tcPr>
          <w:p>
            <w:pPr>
              <w:spacing w:after="0"/>
              <w:rPr>
                <w:sz w:val="20"/>
                <w:szCs w:val="20"/>
                <w:color w:val="auto"/>
              </w:rPr>
            </w:pPr>
            <w:r>
              <w:rPr>
                <w:rFonts w:ascii="Arial" w:cs="Arial" w:eastAsia="Arial" w:hAnsi="Arial"/>
                <w:sz w:val="18"/>
                <w:szCs w:val="18"/>
                <w:color w:val="auto"/>
                <w:w w:val="93"/>
              </w:rPr>
              <w:t>Accumulated other comprehensive income (loss), net consisted of unrealized gains (losses) as follows:</w:t>
            </w: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4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color w:val="auto"/>
                <w:w w:val="91"/>
              </w:rPr>
              <w:t>Cash</w:t>
            </w:r>
          </w:p>
        </w:tc>
        <w:tc>
          <w:tcPr>
            <w:tcW w:w="340" w:type="dxa"/>
            <w:vAlign w:val="bottom"/>
          </w:tcPr>
          <w:p>
            <w:pPr>
              <w:spacing w:after="0"/>
              <w:rPr>
                <w:sz w:val="24"/>
                <w:szCs w:val="24"/>
                <w:color w:val="auto"/>
              </w:rPr>
            </w:pPr>
          </w:p>
        </w:tc>
        <w:tc>
          <w:tcPr>
            <w:tcW w:w="1480" w:type="dxa"/>
            <w:vAlign w:val="bottom"/>
            <w:gridSpan w:val="3"/>
          </w:tcPr>
          <w:p>
            <w:pPr>
              <w:jc w:val="center"/>
              <w:ind w:right="780"/>
              <w:spacing w:after="0"/>
              <w:rPr>
                <w:sz w:val="20"/>
                <w:szCs w:val="20"/>
                <w:color w:val="auto"/>
              </w:rPr>
            </w:pPr>
            <w:r>
              <w:rPr>
                <w:rFonts w:ascii="Arial" w:cs="Arial" w:eastAsia="Arial" w:hAnsi="Arial"/>
                <w:sz w:val="14"/>
                <w:szCs w:val="14"/>
                <w:color w:val="auto"/>
                <w:w w:val="95"/>
              </w:rPr>
              <w:t>Defined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3"/>
              </w:rPr>
              <w:t>Investment</w:t>
            </w:r>
          </w:p>
        </w:tc>
        <w:tc>
          <w:tcPr>
            <w:tcW w:w="36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rPr>
              <w:t>flow</w:t>
            </w:r>
          </w:p>
        </w:tc>
        <w:tc>
          <w:tcPr>
            <w:tcW w:w="340" w:type="dxa"/>
            <w:vAlign w:val="bottom"/>
          </w:tcPr>
          <w:p>
            <w:pPr>
              <w:spacing w:after="0"/>
              <w:rPr>
                <w:sz w:val="12"/>
                <w:szCs w:val="12"/>
                <w:color w:val="auto"/>
              </w:rPr>
            </w:pPr>
          </w:p>
        </w:tc>
        <w:tc>
          <w:tcPr>
            <w:tcW w:w="148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5"/>
              </w:rPr>
              <w:t>benefit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securities</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87"/>
              </w:rPr>
              <w:t>hedges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plans</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gridSpan w:val="7"/>
          </w:tcPr>
          <w:p>
            <w:pPr>
              <w:ind w:left="520"/>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2007</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(25,311)</w:t>
            </w: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(28,263)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(53,574)</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(32,684)</w:t>
            </w:r>
          </w:p>
        </w:tc>
        <w:tc>
          <w:tcPr>
            <w:tcW w:w="360" w:type="dxa"/>
            <w:vAlign w:val="bottom"/>
          </w:tcPr>
          <w:p>
            <w:pPr>
              <w:spacing w:after="0"/>
              <w:rPr>
                <w:sz w:val="24"/>
                <w:szCs w:val="2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(390)</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(33,091)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2007</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(57,995)</w:t>
            </w: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(28,280)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(86,665)</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2006</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 (48,576)</w:t>
            </w:r>
          </w:p>
        </w:tc>
        <w:tc>
          <w:tcPr>
            <w:tcW w:w="36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(49,354)</w:t>
            </w: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(97,930)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10,990</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Balance — September 30, 2006</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 (37,586)</w:t>
            </w:r>
          </w:p>
        </w:tc>
        <w:tc>
          <w:tcPr>
            <w:tcW w:w="36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(49,354)</w:t>
            </w: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(86,940)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00" w:type="dxa"/>
            <w:vAlign w:val="bottom"/>
            <w:vMerge w:val="restart"/>
          </w:tcPr>
          <w:p>
            <w:pPr>
              <w:jc w:val="right"/>
              <w:ind w:right="630"/>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M&amp;T Capital Trust I (“Trust I”), M&amp;T Capital Trust II (“Trust II”) and M&amp;T Capital Trust III (“Trust III”) have issued fixed rate preferred capital securities aggregating $310 million. First Maryland Capital I (“Trust IV”) and First Maryland Capital II (“Trust V”) have issued floating rate preferred capital securities aggregating $300 million. The distribution rates on the preferred capital securities of Trust IV and Trust V adjust quarterly based on changes in the three-month London Interbank Offered Rate (“LIBOR”) and were 6.36% and 6.21%, respectively, at September 30, 2007 and 6.37% and 6.22%, respectively, at December 31, 2006. Trust I, Trust II, Trust III, Trust IV and Trust V are referred to herein collectively as the “Trusts.”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following payment terms (and the redemption terms described below), the preferred capital securities issued by the Trusts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substantially identical in all material respects: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560" w:type="dxa"/>
            <w:vAlign w:val="bottom"/>
          </w:tcPr>
          <w:p>
            <w:pPr>
              <w:spacing w:after="0"/>
              <w:rPr>
                <w:sz w:val="14"/>
                <w:szCs w:val="14"/>
                <w:color w:val="auto"/>
              </w:rPr>
            </w:pPr>
          </w:p>
        </w:tc>
        <w:tc>
          <w:tcPr>
            <w:tcW w:w="602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Trust</w:t>
            </w:r>
          </w:p>
        </w:tc>
        <w:tc>
          <w:tcPr>
            <w:tcW w:w="5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560" w:type="dxa"/>
            <w:vAlign w:val="bottom"/>
          </w:tcPr>
          <w:p>
            <w:pPr>
              <w:spacing w:after="0"/>
              <w:rPr>
                <w:sz w:val="14"/>
                <w:szCs w:val="14"/>
                <w:color w:val="auto"/>
              </w:rPr>
            </w:pPr>
          </w:p>
        </w:tc>
        <w:tc>
          <w:tcPr>
            <w:tcW w:w="6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27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8.234%</w:t>
            </w:r>
          </w:p>
        </w:tc>
        <w:tc>
          <w:tcPr>
            <w:tcW w:w="6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21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740" w:type="dxa"/>
            <w:vAlign w:val="bottom"/>
            <w:gridSpan w:val="2"/>
          </w:tcPr>
          <w:p>
            <w:pPr>
              <w:jc w:val="right"/>
              <w:ind w:right="656"/>
              <w:spacing w:after="0"/>
              <w:rPr>
                <w:sz w:val="20"/>
                <w:szCs w:val="20"/>
                <w:color w:val="auto"/>
              </w:rPr>
            </w:pPr>
            <w:r>
              <w:rPr>
                <w:rFonts w:ascii="Arial" w:cs="Arial" w:eastAsia="Arial" w:hAnsi="Arial"/>
                <w:sz w:val="18"/>
                <w:szCs w:val="18"/>
                <w:color w:val="auto"/>
              </w:rPr>
              <w:t>8.277%</w:t>
            </w:r>
          </w:p>
        </w:tc>
        <w:tc>
          <w:tcPr>
            <w:tcW w:w="6580" w:type="dxa"/>
            <w:vAlign w:val="bottom"/>
            <w:gridSpan w:val="2"/>
          </w:tcPr>
          <w:p>
            <w:pPr>
              <w:ind w:left="560"/>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7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9.25%</w:t>
            </w:r>
          </w:p>
        </w:tc>
        <w:tc>
          <w:tcPr>
            <w:tcW w:w="6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5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LIBOR</w:t>
            </w:r>
          </w:p>
        </w:tc>
        <w:tc>
          <w:tcPr>
            <w:tcW w:w="6580" w:type="dxa"/>
            <w:vAlign w:val="bottom"/>
            <w:gridSpan w:val="2"/>
          </w:tcPr>
          <w:p>
            <w:pPr>
              <w:ind w:left="560"/>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plus 1.00%</w:t>
            </w:r>
          </w:p>
        </w:tc>
        <w:tc>
          <w:tcPr>
            <w:tcW w:w="5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56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LIBOR</w:t>
            </w:r>
          </w:p>
        </w:tc>
        <w:tc>
          <w:tcPr>
            <w:tcW w:w="658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plus .85%</w:t>
            </w:r>
          </w:p>
        </w:tc>
        <w:tc>
          <w:tcPr>
            <w:tcW w:w="56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580" w:type="dxa"/>
            <w:vAlign w:val="bottom"/>
          </w:tcPr>
          <w:p>
            <w:pPr>
              <w:spacing w:after="0"/>
              <w:rPr>
                <w:sz w:val="14"/>
                <w:szCs w:val="14"/>
                <w:color w:val="auto"/>
              </w:rPr>
            </w:pPr>
          </w:p>
        </w:tc>
        <w:tc>
          <w:tcPr>
            <w:tcW w:w="1360" w:type="dxa"/>
            <w:vAlign w:val="bottom"/>
          </w:tcPr>
          <w:p>
            <w:pPr>
              <w:ind w:left="700"/>
              <w:spacing w:after="0"/>
              <w:rPr>
                <w:sz w:val="20"/>
                <w:szCs w:val="20"/>
                <w:color w:val="auto"/>
              </w:rPr>
            </w:pPr>
            <w:r>
              <w:rPr>
                <w:rFonts w:ascii="Arial" w:cs="Arial" w:eastAsia="Arial" w:hAnsi="Arial"/>
                <w:sz w:val="14"/>
                <w:szCs w:val="14"/>
                <w:color w:val="auto"/>
              </w:rPr>
              <w:t>Common</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180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580" w:type="dxa"/>
            <w:vAlign w:val="bottom"/>
          </w:tcPr>
          <w:p>
            <w:pPr>
              <w:spacing w:after="0"/>
              <w:rPr>
                <w:sz w:val="14"/>
                <w:szCs w:val="14"/>
                <w:color w:val="auto"/>
              </w:rPr>
            </w:pPr>
          </w:p>
        </w:tc>
        <w:tc>
          <w:tcPr>
            <w:tcW w:w="13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Securities</w:t>
            </w:r>
          </w:p>
        </w:tc>
        <w:tc>
          <w:tcPr>
            <w:tcW w:w="5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Borders>
              <w:bottom w:val="single" w:sz="8" w:color="auto"/>
            </w:tcBorders>
          </w:tcPr>
          <w:p>
            <w:pPr>
              <w:ind w:left="206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I</w:t>
            </w:r>
          </w:p>
        </w:tc>
        <w:tc>
          <w:tcPr>
            <w:tcW w:w="5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$150 million</w:t>
            </w:r>
          </w:p>
        </w:tc>
        <w:tc>
          <w:tcPr>
            <w:tcW w:w="1940" w:type="dxa"/>
            <w:vAlign w:val="bottom"/>
            <w:gridSpan w:val="2"/>
            <w:shd w:val="clear" w:color="auto" w:fill="CCEEFF"/>
          </w:tcPr>
          <w:p>
            <w:pPr>
              <w:ind w:left="580"/>
              <w:spacing w:after="0" w:line="195" w:lineRule="exact"/>
              <w:rPr>
                <w:sz w:val="20"/>
                <w:szCs w:val="20"/>
                <w:color w:val="auto"/>
              </w:rPr>
            </w:pPr>
            <w:r>
              <w:rPr>
                <w:rFonts w:ascii="Arial" w:cs="Arial" w:eastAsia="Arial" w:hAnsi="Arial"/>
                <w:sz w:val="18"/>
                <w:szCs w:val="18"/>
                <w:color w:val="auto"/>
              </w:rPr>
              <w:t>$4.64 million</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$154.64 million aggregate liquidation amount of 8.234%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5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$100 million</w:t>
            </w:r>
          </w:p>
        </w:tc>
        <w:tc>
          <w:tcPr>
            <w:tcW w:w="1940" w:type="dxa"/>
            <w:vAlign w:val="bottom"/>
            <w:gridSpan w:val="2"/>
          </w:tcPr>
          <w:p>
            <w:pPr>
              <w:ind w:left="580"/>
              <w:spacing w:after="0"/>
              <w:rPr>
                <w:sz w:val="20"/>
                <w:szCs w:val="20"/>
                <w:color w:val="auto"/>
              </w:rPr>
            </w:pPr>
            <w:r>
              <w:rPr>
                <w:rFonts w:ascii="Arial" w:cs="Arial" w:eastAsia="Arial" w:hAnsi="Arial"/>
                <w:sz w:val="18"/>
                <w:szCs w:val="18"/>
                <w:color w:val="auto"/>
              </w:rPr>
              <w:t>$3.09 million</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$103.09 million aggregate liquidation amount of 8.277%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Subordinated Debentures due June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III</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 million</w:t>
            </w:r>
          </w:p>
        </w:tc>
        <w:tc>
          <w:tcPr>
            <w:tcW w:w="194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$1.856 million</w:t>
            </w: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$61.856 million aggregate liquidation amount of 9.25%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5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5"/>
              </w:rPr>
              <w:t>Common</w:t>
            </w:r>
          </w:p>
        </w:tc>
        <w:tc>
          <w:tcPr>
            <w:tcW w:w="580" w:type="dxa"/>
            <w:vAlign w:val="bottom"/>
          </w:tcPr>
          <w:p>
            <w:pPr>
              <w:spacing w:after="0"/>
              <w:rPr>
                <w:sz w:val="14"/>
                <w:szCs w:val="14"/>
                <w:color w:val="auto"/>
              </w:rPr>
            </w:pPr>
          </w:p>
        </w:tc>
        <w:tc>
          <w:tcPr>
            <w:tcW w:w="4560" w:type="dxa"/>
            <w:vAlign w:val="bottom"/>
          </w:tcPr>
          <w:p>
            <w:pPr>
              <w:ind w:left="1700"/>
              <w:spacing w:after="0"/>
              <w:rPr>
                <w:sz w:val="20"/>
                <w:szCs w:val="20"/>
                <w:color w:val="auto"/>
              </w:rPr>
            </w:pPr>
            <w:r>
              <w:rPr>
                <w:rFonts w:ascii="Arial" w:cs="Arial" w:eastAsia="Arial" w:hAnsi="Arial"/>
                <w:sz w:val="14"/>
                <w:szCs w:val="14"/>
                <w:color w:val="auto"/>
              </w:rPr>
              <w:t>Junior Subordinated</w:t>
            </w:r>
          </w:p>
        </w:tc>
      </w:tr>
      <w:tr>
        <w:trPr>
          <w:trHeight w:val="167"/>
        </w:trPr>
        <w:tc>
          <w:tcPr>
            <w:tcW w:w="20" w:type="dxa"/>
            <w:vAlign w:val="bottom"/>
          </w:tcPr>
          <w:p>
            <w:pPr>
              <w:spacing w:after="0"/>
              <w:rPr>
                <w:sz w:val="14"/>
                <w:szCs w:val="1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Securities</w:t>
            </w:r>
          </w:p>
        </w:tc>
        <w:tc>
          <w:tcPr>
            <w:tcW w:w="5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580" w:type="dxa"/>
            <w:vAlign w:val="bottom"/>
          </w:tcPr>
          <w:p>
            <w:pPr>
              <w:spacing w:after="0"/>
              <w:rPr>
                <w:sz w:val="14"/>
                <w:szCs w:val="14"/>
                <w:color w:val="auto"/>
              </w:rPr>
            </w:pPr>
          </w:p>
        </w:tc>
        <w:tc>
          <w:tcPr>
            <w:tcW w:w="456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Debentures</w:t>
            </w:r>
          </w:p>
        </w:tc>
      </w:tr>
      <w:tr>
        <w:trPr>
          <w:trHeight w:val="195"/>
        </w:trPr>
        <w:tc>
          <w:tcPr>
            <w:tcW w:w="2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color w:val="auto"/>
              </w:rPr>
              <w:t>Trust IV</w:t>
            </w:r>
          </w:p>
        </w:tc>
        <w:tc>
          <w:tcPr>
            <w:tcW w:w="580" w:type="dxa"/>
            <w:vAlign w:val="bottom"/>
          </w:tcPr>
          <w:p>
            <w:pPr>
              <w:spacing w:after="0"/>
              <w:rPr>
                <w:sz w:val="16"/>
                <w:szCs w:val="16"/>
                <w:color w:val="auto"/>
              </w:rPr>
            </w:pP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5"/>
              </w:rPr>
              <w:t>$150 million</w:t>
            </w:r>
          </w:p>
        </w:tc>
        <w:tc>
          <w:tcPr>
            <w:tcW w:w="56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4"/>
              </w:rPr>
              <w:t>$4.64 million</w:t>
            </w:r>
          </w:p>
        </w:tc>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5"/>
              </w:rPr>
              <w:t>$154.64 million aggregate liquidation amount of floating rate</w:t>
            </w: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Junior Subordinated Debentures due January 15, 2027.</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Trust V</w:t>
            </w:r>
          </w:p>
        </w:tc>
        <w:tc>
          <w:tcPr>
            <w:tcW w:w="5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$150 million</w:t>
            </w:r>
          </w:p>
        </w:tc>
        <w:tc>
          <w:tcPr>
            <w:tcW w:w="5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$4.64 million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$154.64 million aggregate liquidation amount of floating rate</w:t>
            </w: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Junior Subordinated Debentures due February 1, 2027.</w:t>
            </w:r>
          </w:p>
        </w:tc>
      </w:tr>
    </w:tbl>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of Trust III, Trust IV and Trust V at September 30, 2007 and December 31, 2006 include the unamortized portions of purchase accounting adjustments to reflect estimated fair value as of the date of M&amp;T’s acquisition of the common securities of each respective trust. The interest rates payable on the Junior Subordinated Debentures of Trust IV and Trust V were 6.36% and 6.21%, respectively, at September 30, 2007 and 6.37% and 6.22%, respectively, at December 31, 2006.</w:t>
      </w:r>
    </w:p>
    <w:p>
      <w:pPr>
        <w:spacing w:after="0" w:line="5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an optional redemption contemporaneously with the optional redemption of the related Junior Subordinated Debentures in whole or in part. The Junior Subordinated Debentures are redeemable prior to their stated maturity dates at M&amp;T’s option (i)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and the related Junior Subordinated Debentures upon early redemption will be expressed as a percentage of the liquidation amount plus accumulated but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unpaid distributions. In the case of Trust I, such percentage adjusts annually and ranges from 104.117% as of February 1, 2007 to 100.412% for the annual period ending January 31, 2017, after which the percentage is 100%. In the case of Trust II, such percentage adjusts annually and ranges from 104.139% as of June 1, 2007 to 100.414% for the annual period ending May 31, 2017, after which the percentage is 100%. In the case of Trust III, such percentage adjusts annually and ranges from 104.625% as of February 1, 2007 to 100.463% for the annual period ending January 31, 2017, after which the percentage is 100%. In the case of Trust IV and Trust V, the redemption price upon early redemption will be equal to 100% of the principal amount to be redeemed plus any accrued but unpaid distributions to the redemption date.</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w:t>
      </w:r>
    </w:p>
    <w:p>
      <w:pPr>
        <w:ind w:firstLine="8"/>
        <w:spacing w:after="0" w:line="252"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that were assumed by M&amp;T in an acquisition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6.79% at September 30, 2007 and 6.80% at December 31, 2006.</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IV, Trust V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300" w:type="dxa"/>
            <w:vAlign w:val="bottom"/>
            <w:gridSpan w:val="4"/>
          </w:tcPr>
          <w:p>
            <w:pPr>
              <w:ind w:left="3820"/>
              <w:spacing w:after="0"/>
              <w:rPr>
                <w:sz w:val="20"/>
                <w:szCs w:val="20"/>
                <w:color w:val="auto"/>
              </w:rPr>
            </w:pPr>
            <w:r>
              <w:rPr>
                <w:rFonts w:ascii="Arial" w:cs="Arial" w:eastAsia="Arial" w:hAnsi="Arial"/>
                <w:sz w:val="14"/>
                <w:szCs w:val="14"/>
                <w:color w:val="auto"/>
              </w:rPr>
              <w:t>September 30,</w:t>
            </w:r>
          </w:p>
        </w:tc>
        <w:tc>
          <w:tcPr>
            <w:tcW w:w="9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ind w:left="58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398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154,640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103,093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68,140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144,064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141,820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141,322</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Allfirst Asset Trust</w:t>
            </w: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101,913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713,670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21 to the Company’s consolidated financial statements as of and for the year ended December 31, 2006.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 other financial institutions. As also described in note 21 to the Company’s 2006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assigned such intangible assets to business units for purposes of testing for impairment. Information about the Company’s segments is presented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4"/>
                <w:szCs w:val="14"/>
                <w:color w:val="auto"/>
                <w:w w:val="90"/>
              </w:rPr>
              <w:t>Three months ended September 30</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2007</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2006</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ind w:right="580"/>
              <w:spacing w:after="0" w:line="123" w:lineRule="exact"/>
              <w:rPr>
                <w:sz w:val="20"/>
                <w:szCs w:val="20"/>
                <w:color w:val="auto"/>
              </w:rPr>
            </w:pPr>
            <w:r>
              <w:rPr>
                <w:rFonts w:ascii="Arial" w:cs="Arial" w:eastAsia="Arial" w:hAnsi="Arial"/>
                <w:sz w:val="14"/>
                <w:szCs w:val="14"/>
                <w:color w:val="auto"/>
                <w:w w:val="91"/>
              </w:rPr>
              <w:t>Inter-</w:t>
            </w:r>
          </w:p>
        </w:tc>
        <w:tc>
          <w:tcPr>
            <w:tcW w:w="100" w:type="dxa"/>
            <w:vAlign w:val="bottom"/>
          </w:tcPr>
          <w:p>
            <w:pPr>
              <w:spacing w:after="0"/>
              <w:rPr>
                <w:sz w:val="10"/>
                <w:szCs w:val="10"/>
                <w:color w:val="auto"/>
              </w:rPr>
            </w:pPr>
          </w:p>
        </w:tc>
        <w:tc>
          <w:tcPr>
            <w:tcW w:w="7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Total</w:t>
            </w:r>
          </w:p>
        </w:tc>
        <w:tc>
          <w:tcPr>
            <w:tcW w:w="12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9"/>
              </w:rPr>
              <w:t>segment</w:t>
            </w:r>
          </w:p>
        </w:tc>
        <w:tc>
          <w:tcPr>
            <w:tcW w:w="100" w:type="dxa"/>
            <w:vAlign w:val="bottom"/>
          </w:tcPr>
          <w:p>
            <w:pPr>
              <w:spacing w:after="0"/>
              <w:rPr>
                <w:sz w:val="12"/>
                <w:szCs w:val="12"/>
                <w:color w:val="auto"/>
              </w:rPr>
            </w:pPr>
          </w:p>
        </w:tc>
        <w:tc>
          <w:tcPr>
            <w:tcW w:w="1380" w:type="dxa"/>
            <w:vAlign w:val="bottom"/>
            <w:gridSpan w:val="4"/>
          </w:tcPr>
          <w:p>
            <w:pPr>
              <w:jc w:val="center"/>
              <w:ind w:right="680"/>
              <w:spacing w:after="0" w:line="149" w:lineRule="exact"/>
              <w:rPr>
                <w:sz w:val="20"/>
                <w:szCs w:val="20"/>
                <w:color w:val="auto"/>
              </w:rPr>
            </w:pPr>
            <w:r>
              <w:rPr>
                <w:rFonts w:ascii="Arial" w:cs="Arial" w:eastAsia="Arial" w:hAnsi="Arial"/>
                <w:sz w:val="14"/>
                <w:szCs w:val="14"/>
                <w:color w:val="auto"/>
                <w:w w:val="92"/>
              </w:rPr>
              <w:t>income</w:t>
            </w: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6"/>
              </w:rPr>
              <w:t>Total</w:t>
            </w:r>
          </w:p>
        </w:tc>
        <w:tc>
          <w:tcPr>
            <w:tcW w:w="2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8"/>
              </w:rPr>
              <w:t>revenues(a)</w:t>
            </w:r>
          </w:p>
        </w:tc>
        <w:tc>
          <w:tcPr>
            <w:tcW w:w="68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6"/>
              </w:rPr>
              <w:t>revenues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(loss)</w:t>
            </w:r>
          </w:p>
        </w:tc>
        <w:tc>
          <w:tcPr>
            <w:tcW w:w="680" w:type="dxa"/>
            <w:vAlign w:val="bottom"/>
            <w:gridSpan w:val="2"/>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revenues(a)</w:t>
            </w:r>
          </w:p>
        </w:tc>
        <w:tc>
          <w:tcPr>
            <w:tcW w:w="6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60" w:type="dxa"/>
            <w:vAlign w:val="bottom"/>
            <w:gridSpan w:val="2"/>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7"/>
          </w:tcPr>
          <w:p>
            <w:pPr>
              <w:jc w:val="center"/>
              <w:ind w:right="660"/>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15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$ 141,097</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4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56,273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137,976</w:t>
            </w:r>
          </w:p>
        </w:tc>
        <w:tc>
          <w:tcPr>
            <w:tcW w:w="6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00" w:type="dxa"/>
            <w:vAlign w:val="bottom"/>
            <w:gridSpan w:val="4"/>
          </w:tcPr>
          <w:p>
            <w:pPr>
              <w:jc w:val="right"/>
              <w:ind w:right="600"/>
              <w:spacing w:after="0"/>
              <w:rPr>
                <w:sz w:val="20"/>
                <w:szCs w:val="20"/>
                <w:color w:val="auto"/>
              </w:rPr>
            </w:pPr>
            <w:r>
              <w:rPr>
                <w:rFonts w:ascii="Arial" w:cs="Arial" w:eastAsia="Arial" w:hAnsi="Arial"/>
                <w:sz w:val="18"/>
                <w:szCs w:val="18"/>
                <w:color w:val="auto"/>
              </w:rPr>
              <w:t>69,277</w:t>
            </w:r>
          </w:p>
        </w:tc>
        <w:tc>
          <w:tcPr>
            <w:tcW w:w="8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205</w:t>
            </w:r>
          </w:p>
        </w:tc>
        <w:tc>
          <w:tcPr>
            <w:tcW w:w="1400" w:type="dxa"/>
            <w:vAlign w:val="bottom"/>
            <w:gridSpan w:val="4"/>
          </w:tcPr>
          <w:p>
            <w:pPr>
              <w:jc w:val="right"/>
              <w:ind w:right="600"/>
              <w:spacing w:after="0"/>
              <w:rPr>
                <w:sz w:val="20"/>
                <w:szCs w:val="20"/>
                <w:color w:val="auto"/>
              </w:rPr>
            </w:pPr>
            <w:r>
              <w:rPr>
                <w:rFonts w:ascii="Arial" w:cs="Arial" w:eastAsia="Arial" w:hAnsi="Arial"/>
                <w:sz w:val="18"/>
                <w:szCs w:val="18"/>
                <w:color w:val="auto"/>
              </w:rPr>
              <w:t>34,913</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64,805</w:t>
            </w:r>
          </w:p>
        </w:tc>
        <w:tc>
          <w:tcPr>
            <w:tcW w:w="6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15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34,104</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(3,079)</w:t>
            </w:r>
          </w:p>
        </w:tc>
        <w:tc>
          <w:tcPr>
            <w:tcW w:w="14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21,055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500" w:type="dxa"/>
            <w:vAlign w:val="bottom"/>
            <w:gridSpan w:val="4"/>
          </w:tcPr>
          <w:p>
            <w:pPr>
              <w:jc w:val="right"/>
              <w:ind w:right="600"/>
              <w:spacing w:after="0"/>
              <w:rPr>
                <w:sz w:val="20"/>
                <w:szCs w:val="20"/>
                <w:color w:val="auto"/>
              </w:rPr>
            </w:pPr>
            <w:r>
              <w:rPr>
                <w:rFonts w:ascii="Arial" w:cs="Arial" w:eastAsia="Arial" w:hAnsi="Arial"/>
                <w:sz w:val="18"/>
                <w:szCs w:val="18"/>
                <w:color w:val="auto"/>
              </w:rPr>
              <w:t>62,249</w:t>
            </w:r>
          </w:p>
        </w:tc>
        <w:tc>
          <w:tcPr>
            <w:tcW w:w="8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12,324</w:t>
            </w:r>
          </w:p>
        </w:tc>
        <w:tc>
          <w:tcPr>
            <w:tcW w:w="1400" w:type="dxa"/>
            <w:vAlign w:val="bottom"/>
            <w:gridSpan w:val="4"/>
          </w:tcPr>
          <w:p>
            <w:pPr>
              <w:jc w:val="right"/>
              <w:ind w:right="600"/>
              <w:spacing w:after="0"/>
              <w:rPr>
                <w:sz w:val="20"/>
                <w:szCs w:val="20"/>
                <w:color w:val="auto"/>
              </w:rPr>
            </w:pPr>
            <w:r>
              <w:rPr>
                <w:rFonts w:ascii="Arial" w:cs="Arial" w:eastAsia="Arial" w:hAnsi="Arial"/>
                <w:sz w:val="18"/>
                <w:szCs w:val="18"/>
                <w:color w:val="auto"/>
              </w:rPr>
              <w:t>6,431</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72,525</w:t>
            </w:r>
          </w:p>
        </w:tc>
        <w:tc>
          <w:tcPr>
            <w:tcW w:w="6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14,350</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15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395,623</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2,996</w:t>
            </w:r>
          </w:p>
        </w:tc>
        <w:tc>
          <w:tcPr>
            <w:tcW w:w="14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115,972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381,064</w:t>
            </w:r>
          </w:p>
        </w:tc>
        <w:tc>
          <w:tcPr>
            <w:tcW w:w="6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3,026</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All Other</w:t>
            </w:r>
          </w:p>
        </w:tc>
        <w:tc>
          <w:tcPr>
            <w:tcW w:w="1500" w:type="dxa"/>
            <w:vAlign w:val="bottom"/>
            <w:gridSpan w:val="4"/>
          </w:tcPr>
          <w:p>
            <w:pPr>
              <w:jc w:val="right"/>
              <w:ind w:right="600"/>
              <w:spacing w:after="0"/>
              <w:rPr>
                <w:sz w:val="20"/>
                <w:szCs w:val="20"/>
                <w:color w:val="auto"/>
              </w:rPr>
            </w:pPr>
            <w:r>
              <w:rPr>
                <w:rFonts w:ascii="Arial" w:cs="Arial" w:eastAsia="Arial" w:hAnsi="Arial"/>
                <w:sz w:val="18"/>
                <w:szCs w:val="18"/>
                <w:color w:val="auto"/>
              </w:rPr>
              <w:t>18,237</w:t>
            </w: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(12,536)</w:t>
            </w: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(35,457)</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29,905</w:t>
            </w:r>
          </w:p>
        </w:tc>
        <w:tc>
          <w:tcPr>
            <w:tcW w:w="620" w:type="dxa"/>
            <w:vAlign w:val="bottom"/>
          </w:tcPr>
          <w:p>
            <w:pPr>
              <w:spacing w:after="0"/>
              <w:rPr>
                <w:sz w:val="18"/>
                <w:szCs w:val="18"/>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8"/>
                <w:szCs w:val="18"/>
                <w:color w:val="auto"/>
              </w:rPr>
              <w:t>(17,184)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$ 720,587</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199,187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731,086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center"/>
              <w:ind w:right="760"/>
              <w:spacing w:after="0"/>
              <w:rPr>
                <w:sz w:val="20"/>
                <w:szCs w:val="20"/>
                <w:color w:val="auto"/>
              </w:rPr>
            </w:pPr>
            <w:r>
              <w:rPr>
                <w:rFonts w:ascii="Arial" w:cs="Arial" w:eastAsia="Arial" w:hAnsi="Arial"/>
                <w:sz w:val="14"/>
                <w:szCs w:val="14"/>
                <w:color w:val="auto"/>
                <w:w w:val="90"/>
              </w:rPr>
              <w:t>Nine months ended September 30</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2007</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64"/>
              <w:spacing w:after="0" w:line="142"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ind w:right="740"/>
              <w:spacing w:after="0" w:line="123" w:lineRule="exact"/>
              <w:rPr>
                <w:sz w:val="20"/>
                <w:szCs w:val="20"/>
                <w:color w:val="auto"/>
              </w:rPr>
            </w:pPr>
            <w:r>
              <w:rPr>
                <w:rFonts w:ascii="Arial" w:cs="Arial" w:eastAsia="Arial" w:hAnsi="Arial"/>
                <w:sz w:val="14"/>
                <w:szCs w:val="14"/>
                <w:color w:val="auto"/>
                <w:w w:val="91"/>
              </w:rPr>
              <w:t>Inter-</w:t>
            </w:r>
          </w:p>
        </w:tc>
        <w:tc>
          <w:tcPr>
            <w:tcW w:w="100" w:type="dxa"/>
            <w:vAlign w:val="bottom"/>
          </w:tcPr>
          <w:p>
            <w:pPr>
              <w:spacing w:after="0"/>
              <w:rPr>
                <w:sz w:val="10"/>
                <w:szCs w:val="10"/>
                <w:color w:val="auto"/>
              </w:rPr>
            </w:pPr>
          </w:p>
        </w:tc>
        <w:tc>
          <w:tcPr>
            <w:tcW w:w="660" w:type="dxa"/>
            <w:vAlign w:val="bottom"/>
          </w:tcPr>
          <w:p>
            <w:pPr>
              <w:jc w:val="center"/>
              <w:ind w:right="28"/>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right="920"/>
              <w:spacing w:after="0" w:line="149" w:lineRule="exact"/>
              <w:rPr>
                <w:sz w:val="20"/>
                <w:szCs w:val="20"/>
                <w:color w:val="auto"/>
              </w:rPr>
            </w:pPr>
            <w:r>
              <w:rPr>
                <w:rFonts w:ascii="Arial" w:cs="Arial" w:eastAsia="Arial" w:hAnsi="Arial"/>
                <w:sz w:val="14"/>
                <w:szCs w:val="14"/>
                <w:color w:val="auto"/>
                <w:w w:val="96"/>
              </w:rPr>
              <w:t>Total</w:t>
            </w:r>
          </w:p>
        </w:tc>
        <w:tc>
          <w:tcPr>
            <w:tcW w:w="1240" w:type="dxa"/>
            <w:vAlign w:val="bottom"/>
            <w:gridSpan w:val="3"/>
          </w:tcPr>
          <w:p>
            <w:pPr>
              <w:jc w:val="center"/>
              <w:ind w:right="720"/>
              <w:spacing w:after="0" w:line="149" w:lineRule="exact"/>
              <w:rPr>
                <w:sz w:val="20"/>
                <w:szCs w:val="20"/>
                <w:color w:val="auto"/>
              </w:rPr>
            </w:pPr>
            <w:r>
              <w:rPr>
                <w:rFonts w:ascii="Arial" w:cs="Arial" w:eastAsia="Arial" w:hAnsi="Arial"/>
                <w:sz w:val="14"/>
                <w:szCs w:val="14"/>
                <w:color w:val="auto"/>
                <w:w w:val="89"/>
              </w:rPr>
              <w:t>segment</w:t>
            </w:r>
          </w:p>
        </w:tc>
        <w:tc>
          <w:tcPr>
            <w:tcW w:w="100" w:type="dxa"/>
            <w:vAlign w:val="bottom"/>
          </w:tcPr>
          <w:p>
            <w:pPr>
              <w:spacing w:after="0"/>
              <w:rPr>
                <w:sz w:val="12"/>
                <w:szCs w:val="12"/>
                <w:color w:val="auto"/>
              </w:rPr>
            </w:pPr>
          </w:p>
        </w:tc>
        <w:tc>
          <w:tcPr>
            <w:tcW w:w="1380" w:type="dxa"/>
            <w:vAlign w:val="bottom"/>
            <w:gridSpan w:val="4"/>
          </w:tcPr>
          <w:p>
            <w:pPr>
              <w:jc w:val="center"/>
              <w:ind w:right="840"/>
              <w:spacing w:after="0" w:line="149" w:lineRule="exact"/>
              <w:rPr>
                <w:sz w:val="20"/>
                <w:szCs w:val="20"/>
                <w:color w:val="auto"/>
              </w:rPr>
            </w:pPr>
            <w:r>
              <w:rPr>
                <w:rFonts w:ascii="Arial" w:cs="Arial" w:eastAsia="Arial" w:hAnsi="Arial"/>
                <w:sz w:val="14"/>
                <w:szCs w:val="14"/>
                <w:color w:val="auto"/>
                <w:w w:val="92"/>
              </w:rPr>
              <w:t>income</w:t>
            </w:r>
          </w:p>
        </w:tc>
        <w:tc>
          <w:tcPr>
            <w:tcW w:w="138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89"/>
              </w:rPr>
              <w:t>Total</w:t>
            </w:r>
          </w:p>
        </w:tc>
        <w:tc>
          <w:tcPr>
            <w:tcW w:w="2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revenues(a)</w:t>
            </w:r>
          </w:p>
        </w:tc>
        <w:tc>
          <w:tcPr>
            <w:tcW w:w="6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3"/>
              </w:rPr>
              <w:t>(loss)</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0"/>
              </w:rPr>
              <w:t>revenues(a)</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revenues</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left="448"/>
              <w:spacing w:after="0" w:line="142" w:lineRule="exact"/>
              <w:rPr>
                <w:sz w:val="20"/>
                <w:szCs w:val="20"/>
                <w:color w:val="auto"/>
              </w:rPr>
            </w:pPr>
            <w:r>
              <w:rPr>
                <w:rFonts w:ascii="Arial" w:cs="Arial" w:eastAsia="Arial" w:hAnsi="Arial"/>
                <w:sz w:val="14"/>
                <w:szCs w:val="14"/>
                <w:color w:val="auto"/>
                <w:w w:val="92"/>
              </w:rPr>
              <w:t>(in thousands)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429,262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171,192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407,401</w:t>
            </w: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400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205,791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5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101,850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198,326</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rPr>
              <w:t>650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96,885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(8,621)</w:t>
            </w: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60,717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119,561</w:t>
            </w:r>
          </w:p>
        </w:tc>
        <w:tc>
          <w:tcPr>
            <w:tcW w:w="13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(668)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173,093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35,771</w:t>
            </w:r>
          </w:p>
        </w:tc>
        <w:tc>
          <w:tcPr>
            <w:tcW w:w="5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14,317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216,739</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rPr>
              <w:t>42,423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1,165,794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9,453</w:t>
            </w: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343,109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1,087,157</w:t>
            </w:r>
          </w:p>
        </w:tc>
        <w:tc>
          <w:tcPr>
            <w:tcW w:w="6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8,872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All Other</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81,701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(37,493)</w:t>
            </w:r>
          </w:p>
        </w:tc>
        <w:tc>
          <w:tcPr>
            <w:tcW w:w="580" w:type="dxa"/>
            <w:vAlign w:val="bottom"/>
          </w:tcPr>
          <w:p>
            <w:pPr>
              <w:spacing w:after="0"/>
              <w:rPr>
                <w:sz w:val="18"/>
                <w:szCs w:val="18"/>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(101,856)</w:t>
            </w:r>
          </w:p>
        </w:tc>
        <w:tc>
          <w:tcPr>
            <w:tcW w:w="8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111,074</w:t>
            </w:r>
          </w:p>
        </w:tc>
        <w:tc>
          <w:tcPr>
            <w:tcW w:w="1340" w:type="dxa"/>
            <w:vAlign w:val="bottom"/>
            <w:gridSpan w:val="4"/>
          </w:tcPr>
          <w:p>
            <w:pPr>
              <w:jc w:val="right"/>
              <w:ind w:right="580"/>
              <w:spacing w:after="0"/>
              <w:rPr>
                <w:sz w:val="20"/>
                <w:szCs w:val="20"/>
                <w:color w:val="auto"/>
              </w:rPr>
            </w:pPr>
            <w:r>
              <w:rPr>
                <w:rFonts w:ascii="Arial" w:cs="Arial" w:eastAsia="Arial" w:hAnsi="Arial"/>
                <w:sz w:val="18"/>
                <w:szCs w:val="18"/>
                <w:color w:val="auto"/>
              </w:rPr>
              <w:t>(51,677)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(63,094)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$ 2,152,526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589,329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2,140,258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ind w:left="320" w:right="40" w:hanging="312"/>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$5,112,000 and $5,172,000 for the three-month periods ended September 30, 2007 and 2006, respectively, and $15,207,000 and $14,544,000 for the nine-month periods ended September 30, 2007 and 2006,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5"/>
          </w:tcPr>
          <w:p>
            <w:pPr>
              <w:jc w:val="right"/>
              <w:ind w:right="1120"/>
              <w:spacing w:after="0" w:line="123" w:lineRule="exact"/>
              <w:rPr>
                <w:sz w:val="20"/>
                <w:szCs w:val="20"/>
                <w:color w:val="auto"/>
              </w:rPr>
            </w:pPr>
            <w:r>
              <w:rPr>
                <w:rFonts w:ascii="Arial" w:cs="Arial" w:eastAsia="Arial" w:hAnsi="Arial"/>
                <w:sz w:val="14"/>
                <w:szCs w:val="14"/>
                <w:color w:val="auto"/>
              </w:rPr>
              <w:t>Nine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5"/>
          </w:tcPr>
          <w:p>
            <w:pPr>
              <w:jc w:val="right"/>
              <w:ind w:right="1280"/>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w:t>
            </w:r>
          </w:p>
        </w:tc>
        <w:tc>
          <w:tcPr>
            <w:tcW w:w="4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13,443</w:t>
            </w: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12,562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8,740</w:t>
            </w: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8,398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Portfolio</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12,475</w:t>
            </w: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12,185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2,957</w:t>
            </w: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3,393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Banking</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14,332</w:t>
            </w: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14,096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All Other</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5,586</w:t>
            </w: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4,957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57,533</w:t>
            </w: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55,591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940" w:type="dxa"/>
            <w:vAlign w:val="bottom"/>
            <w:vMerge w:val="restart"/>
          </w:tcPr>
          <w:p>
            <w:pPr>
              <w:jc w:val="right"/>
              <w:ind w:right="18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color w:val="auto"/>
              </w:rPr>
              <w:t>2007</w:t>
            </w:r>
          </w:p>
        </w:tc>
        <w:tc>
          <w:tcPr>
            <w:tcW w:w="2080" w:type="dxa"/>
            <w:vAlign w:val="bottom"/>
            <w:gridSpan w:val="3"/>
          </w:tcPr>
          <w:p>
            <w:pPr>
              <w:jc w:val="right"/>
              <w:ind w:right="46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$5,698,086</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5,450,382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154,277</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3,032,609</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3,008,353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578,525</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483,973</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493,122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6,957,454</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7,344,263</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3,578,640</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3,622,860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41,368</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1,216,051</w:t>
            </w:r>
          </w:p>
        </w:tc>
        <w:tc>
          <w:tcPr>
            <w:tcW w:w="2080" w:type="dxa"/>
            <w:vAlign w:val="bottom"/>
            <w:gridSpan w:val="3"/>
          </w:tcPr>
          <w:p>
            <w:pPr>
              <w:jc w:val="right"/>
              <w:ind w:right="248"/>
              <w:spacing w:after="0"/>
              <w:rPr>
                <w:sz w:val="20"/>
                <w:szCs w:val="20"/>
                <w:color w:val="auto"/>
              </w:rPr>
            </w:pPr>
            <w:r>
              <w:rPr>
                <w:rFonts w:ascii="Arial" w:cs="Arial" w:eastAsia="Arial" w:hAnsi="Arial"/>
                <w:sz w:val="18"/>
                <w:szCs w:val="18"/>
                <w:color w:val="auto"/>
              </w:rPr>
              <w:t>1,036,117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1,181,700</w:t>
            </w:r>
          </w:p>
        </w:tc>
        <w:tc>
          <w:tcPr>
            <w:tcW w:w="20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1,932,306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$1.0 billion and $939 million at September 30, 2007 and December 31, 2006, respectively.</w:t>
      </w:r>
    </w:p>
    <w:p>
      <w:pPr>
        <w:spacing w:after="0" w:line="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However, in estimating that fair value for commitments to originate loans for sale, value ascribable to cash flows that will be realized in connection with loan servicing activities has not been included. Value ascribable to that portion of cash flows is recognized at the time the underlying mortgage loans are sold.</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from 2007 through 2013 and $6 million per year from 2014 through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maximum loss associated with providing that reinsurance amounted to $51 million and $58 million at September 30, 2007 and December 31, 2006, respectively. The Company also enters into reinsurance contracts with third party insurance companies who insure against the risk of a mortgage borrower’s payment default in connection with mortgage loans originated by the Company. The maximum loss associated with providing such reinsurance amounted to $21 million and $19 million at September 30, 2007 and December 31, 2006, respectively. When providing reinsurance coverage, the Company receives a premium in exchange for accepting a portion of the insurer’s risk of borrower default. The maximum loss exposures noted above are not necessarily indicative of losses which may ultimately be incurred. Such losses are expected to be substantially less because most loans are repaid by borrowers in accordance with the original loan terms. The amount of the Company’s recorded liability for reported reinsurance losses as well as estimated losses incurred but not yet reported was not significant at either September 30, 2007 or December 31, 2006.</w:t>
      </w:r>
    </w:p>
    <w:p>
      <w:pPr>
        <w:spacing w:after="0" w:line="7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Relationship with Bayview Lending Group LLC and Bayview Financial Holdings, L.P.</w:t>
      </w:r>
    </w:p>
    <w:p>
      <w:pPr>
        <w:spacing w:after="0" w:line="121"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On February 5, 2007 M&amp;T invested $300 million to acquire a minority interest in Bayview Lending Group LLC (“BLG”), a privately-held commercial mortgage lender that specializes in originating, securitizing and servicing small balance commercial real estate loans in the United States, and to a lesser extent, in Canada and the United Kingdom. M&amp;T recognizes income from BLG using the equity method of accounting.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Relationship with Bayview Lending Group LLC and Bayview Financial Holdings, L.P., continued</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$4.5 billion and $3.3 billion at September 30, 2007 and December 31, 2006, respectively. Amounts recorded as capitalized servicing assets for such loans totaled $55 million at September 30, 2007 and $36 million at December 31, 2006. In addition, capitalized servicing rights at September 30, 2007 and December 31, 2006 also included $43 million and $44 million, respectively, for servicing rights that were purchased from Bayview Financial related to residential mortgage loans with outstanding principal balances of $5.0 billion at September 30, 2007 and $4.5 billion at December 31, 2006. Revenues from servicing residential and small balance commercial mortgage loans purchased from BLG and Bayview Financial were $12 million for the quarter ended September 30, 2007 and $10 million for the quarter ended September 30, 2006. Those revenues totaled $35 million and $28 million for the nine months ended September 30, 2007 and 2006, respectively. M&amp;T Bank provided a $120 million revolving line of credit facility to Bayview Financial at September 30, 2007, of which $31 million was outstanding. There were no outstanding borrowings at December 31, 2006 on a similar revolving line of credit facility which aggregated $100 million. Finally, at September 30, 2007 and December 31, 2006, the Company held $490 million and $198 million, respectively, of private collateralized mortgage obligations in its available for sale investment securities portfolio that were securitized by Bayview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Pension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benefits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5"/>
              </w:rPr>
              <w:t>Three months</w:t>
            </w:r>
          </w:p>
        </w:tc>
        <w:tc>
          <w:tcPr>
            <w:tcW w:w="2160" w:type="dxa"/>
            <w:vAlign w:val="bottom"/>
            <w:gridSpan w:val="5"/>
          </w:tcPr>
          <w:p>
            <w:pPr>
              <w:ind w:left="12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5,060</w:t>
            </w: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color w:val="auto"/>
              </w:rPr>
              <w:t>9,674</w:t>
            </w:r>
          </w:p>
        </w:tc>
        <w:tc>
          <w:tcPr>
            <w:tcW w:w="1420" w:type="dxa"/>
            <w:vAlign w:val="bottom"/>
            <w:gridSpan w:val="3"/>
          </w:tcPr>
          <w:p>
            <w:pPr>
              <w:jc w:val="right"/>
              <w:ind w:right="588"/>
              <w:spacing w:after="0"/>
              <w:rPr>
                <w:sz w:val="20"/>
                <w:szCs w:val="20"/>
                <w:color w:val="auto"/>
              </w:rPr>
            </w:pPr>
            <w:r>
              <w:rPr>
                <w:rFonts w:ascii="Arial" w:cs="Arial" w:eastAsia="Arial" w:hAnsi="Arial"/>
                <w:sz w:val="18"/>
                <w:szCs w:val="18"/>
                <w:color w:val="auto"/>
              </w:rPr>
              <w:t>8,482</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5"/>
              </w:rPr>
              <w:t>(10,051)</w:t>
            </w:r>
          </w:p>
        </w:tc>
        <w:tc>
          <w:tcPr>
            <w:tcW w:w="14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(9,767)</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8"/>
              <w:spacing w:after="0"/>
              <w:rPr>
                <w:sz w:val="20"/>
                <w:szCs w:val="20"/>
                <w:color w:val="auto"/>
              </w:rPr>
            </w:pPr>
            <w:r>
              <w:rPr>
                <w:rFonts w:ascii="Arial" w:cs="Arial" w:eastAsia="Arial" w:hAnsi="Arial"/>
                <w:sz w:val="18"/>
                <w:szCs w:val="18"/>
                <w:color w:val="auto"/>
              </w:rPr>
              <w:t>(1,629)</w:t>
            </w:r>
          </w:p>
        </w:tc>
        <w:tc>
          <w:tcPr>
            <w:tcW w:w="1420" w:type="dxa"/>
            <w:vAlign w:val="bottom"/>
            <w:gridSpan w:val="3"/>
          </w:tcPr>
          <w:p>
            <w:pPr>
              <w:jc w:val="right"/>
              <w:ind w:right="528"/>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1,536</w:t>
            </w:r>
          </w:p>
        </w:tc>
        <w:tc>
          <w:tcPr>
            <w:tcW w:w="14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vMerge w:val="restart"/>
          </w:tcPr>
          <w:p>
            <w:pPr>
              <w:jc w:val="right"/>
              <w:ind w:right="5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plans and other postretirement benefits,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w w:val="83"/>
              </w:rPr>
              <w:t>Nine months</w:t>
            </w:r>
          </w:p>
        </w:tc>
        <w:tc>
          <w:tcPr>
            <w:tcW w:w="2160" w:type="dxa"/>
            <w:vAlign w:val="bottom"/>
            <w:gridSpan w:val="5"/>
          </w:tcPr>
          <w:p>
            <w:pPr>
              <w:ind w:left="100"/>
              <w:spacing w:after="0" w:line="123" w:lineRule="exact"/>
              <w:rPr>
                <w:sz w:val="20"/>
                <w:szCs w:val="20"/>
                <w:color w:val="auto"/>
              </w:rPr>
            </w:pPr>
            <w:r>
              <w:rPr>
                <w:rFonts w:ascii="Arial" w:cs="Arial" w:eastAsia="Arial" w:hAnsi="Arial"/>
                <w:sz w:val="14"/>
                <w:szCs w:val="14"/>
                <w:color w:val="auto"/>
              </w:rPr>
              <w:t>ended September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16,077</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16,687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28,424</w:t>
            </w:r>
          </w:p>
        </w:tc>
        <w:tc>
          <w:tcPr>
            <w:tcW w:w="680" w:type="dxa"/>
            <w:vAlign w:val="bottom"/>
          </w:tcPr>
          <w:p>
            <w:pPr>
              <w:spacing w:after="0"/>
              <w:rPr>
                <w:sz w:val="18"/>
                <w:szCs w:val="18"/>
                <w:color w:val="auto"/>
              </w:rPr>
            </w:pP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26,832</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(30,101)</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(29,017)</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(4,929)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4,478</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$6,993,000 and $6,071,000 for the three months ended September 30, 2007 and 2006, respectively, and $23,410,000 and $20,308,000 for the nine months ended September 30, 2007 and 2006, respectively. The Company contributed $66 million to the qualified defined benefit pension plan during the third quarter of 2007. It is not anticipated that any further contributions will be made in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Effective January 1, 2007, the Company adopted Financial Accounting Standards Board Interpretation (“FIN”) No. 48, “Accounting for Uncertainty in Income Taxes.” FIN No. 48 prescribes the accounting method to be applied to measure uncertainty in income taxes recognized under Statement of Financial Accounting Standards No. 109, “Accounting for Income Taxes.” FIN No. 48 established a recognition threshold and measurement attribute for the financial statement recognition and measurement of an uncertain tax position taken or expected to be taken in a tax return.</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The Company’s federal income tax returns for 2004 through 2006 are subject to examination by the Internal Revenue Service. The Company also files income tax returns in over thirty state and local jurisdictions. Substantially all material state and local tax matters have been concluded for years through 1998. Some tax returns for years after 1998 are presently under examination. As of January 1, 2007, the Company had accrued approximately $67 million, net of available benefits of approximately $36 million, for various unrecognized tax benefits in various federal, state and local tax jurisdictions within which the Company operates. If recognized, those benefits would affect the Company’s effective tax rate. If any tax return examination by federal, state or local tax authorities is concluded during the next twelve months, it is possible that the amount of the accrued liability for uncertain tax positions could change. It is not possible to estimate the amount of any such change. The Company recognizes interest and penalties related to unrecognized tax benefits in income taxes in the Consolidated Statement of Income. Included in the accrual noted herein was $9 million for such item. The adoption of FIN No. 48 did not result in any change to the Company’s liability for uncertain tax positions as of January 1, 2007.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Acquisitions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June 30, 2006, M&amp;T Bank, M&amp;T’s principal banking subsidiary, acquired 21 branch offices in Buffalo and Rochester, New York from Citibank, N.A. in a cash transaction. The branches had approximately $269 million in loans, mostly to consumers, small businesses and middle market customers, and approximately $1.0 billion of deposits. Expenses associated with systems conversions and other costs of integrating and introducing Citibank, N.A.’s former customers to M&amp;T Bank’s products and services aggregated $1 million ($704 thousand net of applicable income taxes) in the third quarter of 2006 and $5 million ($3 million net of applicable income taxes) for the nine-month period ended September 30, 2006.</w:t>
      </w:r>
    </w:p>
    <w:p>
      <w:pPr>
        <w:spacing w:after="0" w:line="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July 18, 2007, M&amp;T entered into a definitive agreement with Partners Trust Financial Group, Inc. (“Partners Trust”), Utica, New York, providing for a merger between the two companies. Upon completion of the merger, it is anticipated that Partners Trust Bank, Partners Trust’s bank subsidiary, will be merged into M&amp;T Bank. Partners Trust Bank operates 33 banking offices in Upstate New York. At September 30, 2007, Partners Trust had approximately $3.6 billion of assets, including $2.3 billion of loans, and $3.1 billion of liabilities, including $2.2 billion of deposits. The merger is subject to a number of conditions, including the approval of state and Federal regulators and Partners Trust’s stockholders, and is expected to be completed in the fourth quarter of 2007. Under the terms of the merger agreement, stockholders of Partners Trust will receive $12.50 for each outstanding share of Partners Trust common stock, which they may elect to receive in cash or in M&amp;T common stock, although, in the aggregate, 50% of the shares of Partners Trust common stock outstanding must be exchanged for M&amp;T common stock and 50% for cash. As a result, the elections made by stockholders of Partners Trust will be subject to allocation and proration if the election for common stock would be more or less than 50%. In total, the transaction is valued at approximately $555 million.</w:t>
      </w:r>
    </w:p>
    <w:p>
      <w:pPr>
        <w:spacing w:after="0" w:line="5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On September 21, 2007, M&amp;T Bank entered into a definitive agreement with First Horizon National Corp. (“First Horizon”) to acquire 13 First Horizon branches in the Mid-Atlantic region. M&amp;T Bank will acquire approximately $250 million in loans, $230 million in deposits and $140 million in trust and investment assets under management. The transaction is subject to various regulatory approvals and is expected to close in the fourth quarter of 2007.</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for M&amp;T Bank Corporation (“M&amp;T”) in the third quarter of 2007 was $199 million or $1.83 of diluted earnings per common share, representing decreases of 5% and 1%, respectively, from $210 million or $1.85 of diluted earnings per common share in the third quarter of 2006. During the second quarter of 2007, net income was $214 million or $1.95 of diluted earnings per common share. Basic earnings per common share were $1.86 in the recent quarter, compared with $1.89 in the year-earlier quarter and $1.98 in the second quarter of 2007.</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nine months ended September 30, 2007, net income was $589 million or $5.34 per diluted share, down 6% and 3%, respectively,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$626 million or $5.49 per diluted share during the corresponding period of 2006. Basic earnings per share were $5.45 for the first nine months of 2007,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compared with $5.62 in the similar nine-month period of 2006.</w:t>
      </w:r>
    </w:p>
    <w:p>
      <w:pPr>
        <w:spacing w:after="0" w:line="103"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third quarter of 2007 was 1.37%, compared with 1.49% in each of the year-earlier quarter and the second quarter of 2007. The annualized rate of return on average common stockholders’ equity was 12.78% in the recently completed quarter, compared with 13.72% in the third quarter of 2006 and 13.92% in 2007’s second quarter. During the first nine months of 2007, the annualized rates of return on average assets and average common stockholders’ equity were 1.37% and 12.69%, respectively, compared with 1.51% and 14.01%, respectively, in the corresponding 2006 period.</w:t>
      </w:r>
    </w:p>
    <w:p>
      <w:pPr>
        <w:spacing w:after="0" w:line="64" w:lineRule="exact"/>
        <w:rPr>
          <w:sz w:val="20"/>
          <w:szCs w:val="20"/>
          <w:color w:val="auto"/>
        </w:rPr>
      </w:pPr>
    </w:p>
    <w:p>
      <w:pPr>
        <w:ind w:right="260" w:firstLine="225"/>
        <w:spacing w:after="0" w:line="291" w:lineRule="auto"/>
        <w:rPr>
          <w:sz w:val="20"/>
          <w:szCs w:val="20"/>
          <w:color w:val="auto"/>
        </w:rPr>
      </w:pPr>
      <w:r>
        <w:rPr>
          <w:rFonts w:ascii="Arial" w:cs="Arial" w:eastAsia="Arial" w:hAnsi="Arial"/>
          <w:sz w:val="16"/>
          <w:szCs w:val="16"/>
          <w:color w:val="auto"/>
        </w:rPr>
        <w:t>Reflecting credit conditions that have contributed to higher net charge-offs, delinquencies and nonperforming loans at the Company and throughout the banking industry, the provision for credit losses increased to $34 million in the recent quarter, up from $17 million in the third quarter of 2006 and</w:t>
      </w:r>
    </w:p>
    <w:p>
      <w:pPr>
        <w:spacing w:after="0" w:line="281" w:lineRule="auto"/>
        <w:rPr>
          <w:sz w:val="20"/>
          <w:szCs w:val="20"/>
          <w:color w:val="auto"/>
        </w:rPr>
      </w:pPr>
      <w:r>
        <w:rPr>
          <w:rFonts w:ascii="Arial" w:cs="Arial" w:eastAsia="Arial" w:hAnsi="Arial"/>
          <w:sz w:val="16"/>
          <w:szCs w:val="16"/>
          <w:color w:val="auto"/>
        </w:rPr>
        <w:t>$30 million in the second quarter of 2007. Net charge-offs were $22 million in 2007’s third quarter, unchanged from the immediately preceding quarter but up $5 million from the year-earlier quarter. Nonperforming loans were $371 million, or .83% of outstanding loans at September 30, 2007, compared with</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$296 million or .68% three months earlier and $180 million or ..43% at September 30, 2006. The increase since June 30, 2007 reflects additional loans to residential home builders and developers of approximately $42 million and a $26 million increase in residential real estate loans classified as nonperforming.</w:t>
      </w:r>
    </w:p>
    <w:p>
      <w:pPr>
        <w:spacing w:after="0" w:line="31" w:lineRule="exact"/>
        <w:rPr>
          <w:sz w:val="20"/>
          <w:szCs w:val="20"/>
          <w:color w:val="auto"/>
        </w:rPr>
      </w:pPr>
    </w:p>
    <w:p>
      <w:pPr>
        <w:ind w:right="180" w:firstLine="225"/>
        <w:spacing w:after="0" w:line="286" w:lineRule="auto"/>
        <w:rPr>
          <w:sz w:val="20"/>
          <w:szCs w:val="20"/>
          <w:color w:val="auto"/>
        </w:rPr>
      </w:pPr>
      <w:r>
        <w:rPr>
          <w:rFonts w:ascii="Arial" w:cs="Arial" w:eastAsia="Arial" w:hAnsi="Arial"/>
          <w:sz w:val="16"/>
          <w:szCs w:val="16"/>
          <w:color w:val="auto"/>
        </w:rPr>
        <w:t>In addition, M&amp;T’s pro-rata portion of the results of operations of Bayview Lending Group LLC (“BLG”), in which M&amp;T invested $300 million in February 2007 to acquire a minority interest, was a pre-tax loss of $11 million for the recent quarter. That loss compares to pre-tax income of $8 million recognized in the three-month period ended June 30, 2007. BLG’s results in the recent quarter were impacted by the timing of the recognition of gains from loan sales and securitizations. For the nine-month period ended September 30, 2007, M&amp;T’s share of BLG’s operating results were a pre-tax loss of</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$6 million. Those amounts have been recorded as a component of Other Income in the Consolidated Statement of Income. Including expenses associated with M&amp;T’s investment in BLG, most notably interest expense, that investment reduced M&amp;T’s net income by $9 million or $.09 per diluted share (after tax effect) in the third quarter of 2007, compared with an addition to net income of approximately $2 million or $.02 per diluted share in the second quarter of 2007. The aggregate impact of M&amp;T’s investment in BLG was a reduction in net income of $10 million (after tax effect) or $.09 per diluted share in the nine-month period ended September 30, 2007. BLG is a privately-held commercial mortgage lender that specializes in originating, securitizing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servicing small balance commercial real estate loans in the United States, and to a lesser extent, in Canada and the United Kingdom. The investment is being accounted for using the equity method of accounting. BLG was a going-concern when M&amp;T made its investment, but started out with a minimal amount of loans in its portfolio. As a result, BLG incurred modest operating losses until a sufficiently significant volume of loans were originated and securitized during 2007’s second quarter.</w:t>
      </w:r>
    </w:p>
    <w:p>
      <w:pPr>
        <w:spacing w:after="0" w:line="79"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Company’s financial results for the first nine months of 2007 were also adversely impacted by changing market conditions in the residential mortgage lending sector experienced in 2007’s first quarter. Well-publicized problems in the subprime residential mortgage lending market had a negative effect on the rest of the residential mortgage marketplace, specifically with regard to alternative (“Alt-A”) residential mortgage loans that the Company originated for sale in the secondary market. Alt-A loans originated by the Company typically include some form of limited documentation requirements, as compared with more traditional residential mortgage loans. Unfavorable market conditions and lack of market liquidity impacted the Company’s willingness to sell Alt-A loans in the first quarter. During March 2007, an auction of such loans received fewer bids than normal and the pricing of those bids was lower than expected. As a result, $883 million of Alt-A loans previously held for sale (including $808 million of first mortgage loans and $75 million of second mortgage loans) were transferred in March to the Company’s held-for-investment residential mortgage loan portfolio. In accordance with generally accepted accounting principles (“GAAP”), loans held for sale must be recorded at the lower of cost or market value. Accordingly, prior to reclassifying the Alt-A mortgage loans to held for investment, the carrying value of such loans was reduced by $12 million in the first quarter of 2007, which resulted in an after-tax reduction of net income of $7 million, or $.07 per diluted share. The loans were reclassified to the held-for-investment portfolio because management of the Company believed at the time of the reclassification that the value of those Alt-A residential mortgage loans was greater than the amount implied by the few bidders active in the market at that time. The higher level of nonperforming residential real estate loans already referred to substantially resulted from delinquencies in the portfolio of Alt-A mortgage loans now held for investment.</w:t>
      </w:r>
    </w:p>
    <w:p>
      <w:pPr>
        <w:spacing w:after="0" w:line="7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In addition, in certain circumstances the Company may be obligated to repurchase previously sold Alt-A loans that do not ultimately meet investor sale criteria, including instances when mortgagors failed to make timely payments during the first 90 days subsequent to the sale date. As a result, during the first quarter of 2007, the Company accrued $6 million to provide for declines in market value of previously sold Alt-A mortgage loans that the Company may be required to repurchase. That loss reduced the Company’s net income by $4 million or $.03 per diluted share during 2007’s first quarter.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results of the third quarter of 2006 reflect certain notable events that in total had no significant effect on net income. The Company recorded a</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$13 million gain resulting from the accelerated recognition of a purchase accounting premium related to the call of a $200 million Federal Home Loan Bank of Atlanta borrowing assumed in a previous acquisition. After applicable taxes, that gain added $8 million to net income. Also reflected in the 2006 third quarter results was a $3 million reduction of income tax expense related to the favorable settlement of refund claims originally filed by Allfirst Financial Inc. (“Allfirst”) prior to its acquisition by M&amp;T on April 1, 2003. The refunds received, consisting of income taxes and taxable interest, exceeded the amounts previously accrued for such items by $5 million (pre-tax). Finally, an $18 million tax deductible contribution was made by M&amp;T Bank, M&amp;T’s principal banking subsidiary, to The M&amp;T Charitable Foundation, a tax-exempt private charitable foundation, which increased “other expense” by the amount of the contribution and, after applicable tax effect, reduced net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income by $11 million. As noted above, the aggregate impact of those events had no significant effect on the Company’s net income or diluted earnings per share in the third quarter of 2006.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30, 2006, M&amp;T Bank completed the acquisition of 21 banking offices in Buffalo and Rochester, New York from Citibank, N.A., including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$269 million in loans, mostly to consumers, small businesses and middle market customers, and approximately $1.0 billion of deposits.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Expenses associated with integrating the acquired banking offices into M&amp;T Bank and introducing the customers associated with those offices to M&amp;T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Bank’s products and services aggregated $1 million, after applicable tax effect, or $.01 of diluted earnings per share during the third quarter of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 million, or $.03 of diluted earnings per share during the nine-month period ended September 30, 2006. There were no acquisition-related expenses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0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On July 18, 2007, M&amp;T entered into a definitive agreement with Partners Trust Financial Group, Inc. (“Partners Trust”), Utica, New York, providing for a merger between the two companies. Upon completion of the merger, it is anticipated that Partners Trust Bank, Partners Trust’s bank subsidiary, will be merged into M&amp;T Bank. Partners Trust Bank operates 33 banking offices in Upstate New York. At September 30, 2007, Partners Trust had approximately $3.6 billion of assets, including $2.3 billion of loans, and $3.1 billion of liabilities, including $2.2 billion of deposits. The merger is subject to a number of conditions, including the approval of state and Federal regulators and Partners Trust’s stockholders, and is expected to be completed in the fourth quarter of 2007. Under the terms of the merger agreement, stockholders of Partners Trust will receive $12.50 for each outstanding share of Partners Trust common stock, which they may elect to receive in cash or in M&amp;T common stock. Nevertheless, in the aggregate, 50% of the shares of Partners Trust common stock outstanding must be exchanged for M&amp;T common stock. As a result, Partners Trust stockholder elections will be subject to allocation and proration if the aggregate election for common stock would be more or less than 50%. In total, the transaction is valued at approximately $555 million.</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September 21, 2007, M&amp;T Bank entered into a definitive agreement with First Horizon National Corp. (“First Horizon”) to acquire 13 First Horizon branches in the Mid-Atlantic region. Ten of the branches are located in the Greater Washington region and three are in the Greater Baltimore area. M&amp;T Bank will acquire approximately $250 million in loans, $230 million in deposits and $140 million in trust and investment assets under management. The transaction is subject to various regulatory approvals and is expected to close in the fourth quarter of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$3.1 billion at September 30, 2007 and $3.2 billion at each of September 30 and December 31, 2006. Included in such intangible assets at each of those dates was goodwill of $2.9 billion. Amortization of core deposit and other intangible assets, after tax effect, totaled $10 million ($.09 per diluted share) during each of the third quarter and second quarter of 2007, compared with $12 million ($.10 per diluted share) in the third quarter of 2006. For the nine-month periods ended September 30, 2007 and 2006, amortization of core deposit and other intangible assets, after tax effect, totaled $31 million ($.28 per diluted share) and $27 million ($.23 per diluted share),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jc w:val="both"/>
        <w:ind w:right="140" w:firstLine="225"/>
        <w:spacing w:after="0" w:line="302" w:lineRule="auto"/>
        <w:rPr>
          <w:sz w:val="20"/>
          <w:szCs w:val="20"/>
          <w:color w:val="auto"/>
        </w:rPr>
      </w:pPr>
      <w:r>
        <w:rPr>
          <w:rFonts w:ascii="Arial" w:cs="Arial" w:eastAsia="Arial" w:hAnsi="Arial"/>
          <w:sz w:val="16"/>
          <w:szCs w:val="16"/>
          <w:color w:val="auto"/>
        </w:rPr>
        <w:t>Net operating income was $209 million in the recent quarter, compared with $223 million in the third quarter of 2006. Diluted net operating earnings per share for 2007’s third quarter were $1.92, down 2% from $1.96 in the year-earlier quarter. Net operating income and diluted net operating earnings per share were $224 million and $2.04, respectively, in the second quarter of 2007. For the first three quarters of 2007, net operating income and diluted net operating earnings per share were $620 million and $5.62, respectively, compared with $656 million and $5.75 in the similar 2006 period.</w:t>
      </w:r>
    </w:p>
    <w:p>
      <w:pPr>
        <w:spacing w:after="0" w:line="4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Net operating income expressed as an annualized rate of return on average tangible assets was 1.51% in the recent quarter, compared with 1.67% in the year-earlier quarter and 1.65% in the second quarter of 2007. Net operating income expressed as an annualized return on average tangible common equity was 26.80% in 2007’s third quarter, compared with 30.22% in the similar quarter of 2006 and 29.35% in 2007’s second quarter. For the nine-month period ended September 30, 2007, net operating income represented an annualized return on average tangible assets and average tangible common stockholders’ equity of 1.52% and 26.74%, respectively, compared with 1.67% and 29.86%, respectively, in the first nine months of 2006.</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Taxable-equivalent net interest income was $473 million in the third quarter of 2007, up 2% from $462 million in the year-earlier quarter and was 1% higher than $467 million in the second quarter of 2007. The improvement from the year-earlier period resulted from a $2.0 billion, or 5% increase in average loan balances outstanding, to $43.8 billion from $41.7 billion in the third quarter of 2006, partially offset by the impact of lower average investment securities balances of $638 million and a decline in the Company’s net interest margin, or taxable-equivalent net interest income expressed as an annualized percentage of average earning assets. As compared with the second quarter of 2007, higher average earning assets, largely investment securities and loans, were partially offset by a decline in the net interest margin. The Company’s net interest margin was 3.65% in the third quarter of 2007, compared with 3.68% in the third quarter of 2006 and 3.67% in the second quarter of 2007.</w:t>
      </w:r>
    </w:p>
    <w:p>
      <w:pPr>
        <w:spacing w:after="0" w:line="7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For the first three quarters of 2007, taxable-equivalent net interest income was $1.40 billion, up 2% from $1.37 billion in the corresponding 2006 period. Growth in average loans and leases of $2.4 billion, or 6%, was the leading factor in that improvement, partially offset by a decline of $1.1 billion, or 13%, in average balances of investment securities and the impact of a lower net interest margin, which declined 3 basis points (hundredths of one percent) to 3.66% during the first nine months of 2007 from 3.69% in the corresponding 2006 period.</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While growth in average loan balances was experienced in all categories, the most significant contributors to the recent quarter’s increase in average loans outstanding as compared with the third quarter of 2006 were commercial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loans and residential real estate loans. Average commercial loan balances grew $803 million, or 7%, to $12.2 billion, while average balances of residential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 estate loans increased $862 million, or 17%, to $5.9 billion. Included in the residential real estate portfolio were loans held for sale, which averaged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$912 million in the recent quarter, compared with $1.5 billion in the year-earlier period. Excluding such loans, average residential real estate loans rose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 billion from 2006’s third quarter to the third quarter of 2007. That increase was partially the result of the previously noted March 2007 transfer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$808 million of residential mortgage loans previously held for sale by the Company to its held-for-investment portfolio. Average commercial real estate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balances increased $219 million, or 1%, from the third quarter of 2006, while average consumer loan balances grew $156 million, or 2%, from 2006’s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to the recent quarter.</w:t>
      </w:r>
    </w:p>
    <w:p>
      <w:pPr>
        <w:spacing w:after="0" w:line="103" w:lineRule="exact"/>
        <w:rPr>
          <w:sz w:val="20"/>
          <w:szCs w:val="20"/>
          <w:color w:val="auto"/>
        </w:rPr>
      </w:pPr>
    </w:p>
    <w:p>
      <w:pPr>
        <w:ind w:right="220" w:firstLine="215"/>
        <w:spacing w:after="0" w:line="279" w:lineRule="auto"/>
        <w:rPr>
          <w:sz w:val="20"/>
          <w:szCs w:val="20"/>
          <w:color w:val="auto"/>
        </w:rPr>
      </w:pPr>
      <w:r>
        <w:rPr>
          <w:rFonts w:ascii="Arial" w:cs="Arial" w:eastAsia="Arial" w:hAnsi="Arial"/>
          <w:sz w:val="17"/>
          <w:szCs w:val="17"/>
          <w:color w:val="auto"/>
        </w:rPr>
        <w:t>Average outstanding loan balances increased $179 million from the second to the third quarter of 2007, largely due to a $158 million increase in average consumer loans outstanding, the result of a $125 million rise in average outstanding automobile loans and leases. Average commercial loans and residential real estate loans each increased 1% from 2007’s second quarter to the third quarter, while average commercial real estate loans declined 1% during that period. The following table summarizes quarterly changes in the major components of the loan and lease portfolio.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5"/>
          </w:tcPr>
          <w:p>
            <w:pPr>
              <w:ind w:left="560"/>
              <w:spacing w:after="0"/>
              <w:rPr>
                <w:sz w:val="20"/>
                <w:szCs w:val="20"/>
                <w:color w:val="auto"/>
              </w:rPr>
            </w:pPr>
            <w:r>
              <w:rPr>
                <w:rFonts w:ascii="Arial" w:cs="Arial" w:eastAsia="Arial" w:hAnsi="Arial"/>
                <w:sz w:val="14"/>
                <w:szCs w:val="14"/>
                <w:color w:val="auto"/>
              </w:rPr>
              <w:t>Percent increase</w:t>
            </w: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1"/>
              </w:rPr>
              <w:t>(decrease) from</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3rd Qtr.</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3rd Qtr.</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2nd Qtr.</w:t>
            </w: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12,239</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15,474</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23"/>
        </w:trPr>
        <w:tc>
          <w:tcPr>
            <w:tcW w:w="7820" w:type="dxa"/>
            <w:vAlign w:val="bottom"/>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nine months ended September 30, 2007, average loans and leases totaled $43.5 billion, up 6% from $41.1 billion in the corresponding 2006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Growth of 7% in commercial loans, 4% in commercial real estate loans and 22% in consumer real estate loans were significant factors in that increase.</w:t>
      </w:r>
    </w:p>
    <w:p>
      <w:pPr>
        <w:spacing w:after="0" w:line="114"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investment securities portfolio averaged $7.3 billion in the recent quarter, down 8% from $7.9 billion in the year-earlier quarter, largely the result of net paydowns and maturities of collateralized residential mortgage obligations and U.S. federal agency securities. Average investment securities balances in the third quarter of 2007 were up 5% from $6.9 billion during 2007’s second quarter due to purchases of collateralized residential mortgage obligations and asset-backed commercial paper. For the first nine months of 2007 and 2006, average investment securities were $7.1 billion and $8.2 billion, respectively. The decline was largely due to net paydowns and maturities of collateralized residential mortgage obligations and U.S. federal agency securities. Until the recent quarter, the Company had allowed the investment securities portfolio to decline as the opportunity to purchase securities at favorable spreads, that is, the difference between the yield earned on a security and the rate paid on funds used to purchase it, had been limited. The investment securities portfolio is largely comprised of residential and commercial mortgage-backed securities and collateralized mortgage obligations, debt securities issued by municipalities, debt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preferred equity securities issued by government-sponsored agencies and certain financial institutions, collateralized debt obligations, and shorter-term U.S. Treasury and federal agency notes and asset-backed commercial paper.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or credit risk associated with a particular security, or as a result of restructuring its investment securities portfolio following completion of a business combination. The Company regularly reviews its investment securities for declines in value below amortized cost that might be other than temporary. As of September 30, 2007 and December 31, 2006, the Company concluded that such declines were temporary in nature. A further discussion of market values of investment securities is included herein under the heading “Capital.”</w:t>
      </w:r>
    </w:p>
    <w:p>
      <w:pPr>
        <w:spacing w:after="0" w:line="71"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Other earning assets include deposits at banks, trading account assets, federal funds sold and agreements to resell securities. Those other earning assets in the aggregate averaged $315 million, $241 million and $524 million for the quarters ended September 30, 2007, September 30, 2006 and June 30, 2007, respectively. Reflected in those balances were purchases of investment securities under agreements to resell which averaged $236 million, $98 million and $429 million during the three-month periods ended September 30, 2007, September 30, 2006 and June 30, 2007, respectively. Resell agreements, which aggregated $368 million and had a weighted-average term to maturity of approximately 1 year at September 30, 2007, are accounted for similar to collateralized loans, with changes in the market value of the collateral monitored by the Company to ensure sufficient coverage. For the nine-month periods ended September 30, 2007 and 2006, other earning assets averaged $401 million and $176 million, respectively, up due to higher average balances of resell agreements.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7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changes described herein resulted in a rise in average earning assets of $1.5 billion, or 3%, to $51.3 billion in the recent quarter from $49.8 billion in the third quarter of 2006. Average earning assets were $51.0 billion in the second quarter of 2007 and totaled $51.0 billion and $49.5 billion for the nine-month periods ended September 30, 2007 and 2006, respectively.</w:t>
      </w:r>
    </w:p>
    <w:p>
      <w:pPr>
        <w:spacing w:after="0" w:line="73"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the principal source of core deposits, which generally carry lower interest rates than wholesale funds of comparable maturities. Certificates of deposit under $100,000 generated on a nationwide basis by M&amp;T Bank, National Association (“M&amp;T Bank, N.A.”), a wholly owned subsidiary of M&amp;T, are also included in core deposits. Average core deposits totaled $28.3 billion in the third quarter of 2007, compared with $28.7 billion in the year-earlier quarter and $28.5 billion in the second quarter of 2007. The previously discussed June 30, 2006 branch acquisition added approximately $900 million of average core deposits on that date. The following table provides an analysis of quarterly changes in the components of average core deposits. For the nine-month periods ended September 30, 2007 and 2006, core deposits averaged $28.4 billion and $28.2 billion, respectively.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3"/>
          </w:tcPr>
          <w:p>
            <w:pPr>
              <w:ind w:left="580"/>
              <w:spacing w:after="0"/>
              <w:rPr>
                <w:sz w:val="20"/>
                <w:szCs w:val="20"/>
                <w:color w:val="auto"/>
              </w:rPr>
            </w:pPr>
            <w:r>
              <w:rPr>
                <w:rFonts w:ascii="Arial" w:cs="Arial" w:eastAsia="Arial" w:hAnsi="Arial"/>
                <w:sz w:val="14"/>
                <w:szCs w:val="14"/>
                <w:color w:val="auto"/>
                <w:w w:val="89"/>
              </w:rPr>
              <w:t>Percent increase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3"/>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3rd Qtr.</w:t>
            </w:r>
          </w:p>
        </w:tc>
        <w:tc>
          <w:tcPr>
            <w:tcW w:w="15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6"/>
              </w:rPr>
              <w:t>3rd Qtr.</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2nd Qtr.</w:t>
            </w: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2006</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2007 .</w:t>
            </w:r>
          </w:p>
        </w:tc>
        <w:tc>
          <w:tcPr>
            <w:tcW w:w="22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14,821</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5,632</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7,360</w:t>
            </w:r>
          </w:p>
        </w:tc>
        <w:tc>
          <w:tcPr>
            <w:tcW w:w="68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87" w:lineRule="auto"/>
        <w:rPr>
          <w:sz w:val="20"/>
          <w:szCs w:val="20"/>
          <w:color w:val="auto"/>
        </w:rPr>
      </w:pPr>
      <w:r>
        <w:rPr>
          <w:rFonts w:ascii="Arial" w:cs="Arial" w:eastAsia="Arial" w:hAnsi="Arial"/>
          <w:sz w:val="16"/>
          <w:szCs w:val="16"/>
          <w:color w:val="auto"/>
        </w:rPr>
        <w:t>Additional sources of funding for the Company include domestic time deposits of $100,000 or more, deposits originated through the Company’s offshore branch office, and brokered deposits. Domestic time deposits over $100,000, excluding brokered certificates of deposit, averaged $2.5 billion in the third quarter of 2007, compared with $3.1 billion and $2.7 billion in the year-earlier quarter and the second quarter of 2007, respectively. Offshore branch deposits, primarily comprised of balances of $100,000 or more, averaged $4.3 billion for the most recent quarter and $3.7 billion for each of the three-month periods ended September 30, 2006 and June 30, 2007. Average brokered time deposits were $1.8 billion in the recent quarter, compared with $3.6 billion in the third quarter of 2006 and $2.0 billion in 2007’s second quarter.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$255 million of brokered time deposits. The Company also had brokered money-market deposit accounts which averaged $87 million during 2007’s third quarter, compared with $69 million and $81 million during the similar quarter of 2006 and second quarter of 2007, respectively. Offshore branch deposits and brokered deposits have been used by the Company as alternatives to short-term borrowings. Additional amounts of offshore branch deposits or brokered deposits may be solicited in the future depending on market conditions, including demand by customers and other investors for those deposits, and the cost of funds available from alternative sources at the time.</w:t>
      </w:r>
    </w:p>
    <w:p>
      <w:pPr>
        <w:spacing w:after="0" w:line="61"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The Company also uses borrowings from banks, securities dealers, various Federal Home Loan Banks (“FHLBs”), and others as sources of funding. Short-term borrowings averaged $5.2 billion in the recently completed quarter, compared with $4.4 billion in the third quarter of 2006 and $5.6 billion in the second quarter of 2007. Included in short-term borrowings were unsecured federal funds borrowings, which generally mature daily, that averaged $4.5 billion in the third quarter of 2007, $3.6 billion in the year-earlier quarter and $4.8 billion in the second quarter of 2007. Overnight federal funds borrowings represent the largest component of short-term borrowings and are obtained daily from a wide variety of banks and other financial institutions. Also included in short-term borrowings is a revolving asset-backed structured borrowing secured by automobile loans that were transferred to M&amp;T Auto Receivables I, LLC, a special purpose subsidiary of M&amp;T Bank. The subsidiary, the loans and the borrowings are included in the consolidated financial statements of the Company. The average balance of this borrowing was $471 million in the third quarter of 2007, and $500 million in both the third quarter of 2006 and second quarter of 2007. During September 2007, that borrowing was paid down by $450 million due to the availability of borrowings from other sources at more favorable interest rates.</w:t>
      </w:r>
    </w:p>
    <w:p>
      <w:pPr>
        <w:spacing w:after="0" w:line="8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Long-term borrowings averaged $8.7 billion in the recent quarter, compared with $5.7 billion and $7.9 billion in the third quarter of 2006 and the second quarter of 2007, respectively. Included in average long-term borrowings were amounts borrowed from the FHLBs totaling $4.5 billion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third quarter of 2007 and $3.7 billion in each of the third quarter of 2006 and the second quarter of 2007, and subordinated capital notes of $1.5 billion,</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$1.2 billion and $1.7 billion in the quarters ended September 30, 2007, September 30, 2006 and June 30, 2007, respectively. Junior subordinated debentures associated with trust preferred securities that were included in average long-term borrowings were $714 million, $712 million and $713 million in the quarters ended September 30, 2007, September 30, 2006 and June 30, 2007, respectively. Information regarding trust preferred securities and the related junior subordinated debentures is provided in note 4 of Notes to Financial Statements. Also included in long-term borrowings were agreements to repurchase securities, which averaged $1.6 billion in each of the two most recent quarters and $52 million during the third quarter of 2006.</w:t>
      </w:r>
    </w:p>
    <w:p>
      <w:pPr>
        <w:spacing w:after="0" w:line="55" w:lineRule="exact"/>
        <w:rPr>
          <w:sz w:val="20"/>
          <w:szCs w:val="20"/>
          <w:color w:val="auto"/>
        </w:rPr>
      </w:pPr>
    </w:p>
    <w:p>
      <w:pPr>
        <w:ind w:right="160" w:firstLine="225"/>
        <w:spacing w:after="0" w:line="286"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3.06% in each of the third quarters of 2007 and 2006, and 3.08% in the second quarter of 2007. The yield on earning assets during the recent quarter was 6.94%, up 11 basis points from 6.83% in the similar quarter of 2006, while the rate paid on interest-bearing liabilities also increased 11 basis points to 3.88% from 3.77%. In the second quarter of 2007, the yield on earning assets was 6.95% and the rate paid on interest-bearing liabilities was 3.87%. As compared with the third quarter of 2006, during the recent quarter higher fees received from customer prepayments of commercial real estate loans and reduced rates paid on certain consumer time deposits obtained in a past acquisition were offset by the approximate $4 million interest cost associated with funding the Company’s investment in BLG. The decline in net interest spread from the second quarter of 2007 to the recent quarter was due, in part, to the impact of one more day in 2007’s third quarter. For the first nine months of 2007, the net interest spread was 3.06%, down 4 basis points from the year-earlier period. That decline was due, in part, to higher rates paid on deposits and variable-rate borrowings that were only partially offset by higher yields earned on loans and investment securities. The negative impact of funding the BLG investment also contributed to the decline. The yield on earning assets and the rate paid on interest-bearing liabilities were 6.94% and 3.88%, respectively, for the nine-month period ended September 30, 2007, compared with 6.64% and 3.54%, respectively, in the corresponding 2006 period.</w:t>
      </w:r>
    </w:p>
    <w:p>
      <w:pPr>
        <w:spacing w:after="0" w:line="67"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$7.9 billion in the third quarter of 2007, $8.2 billion in the third quarter of 2006, and $7.8 billion in the second quarter of 2007. The decline in average net interest-free funds in the recent quarter as compared with the year-earlier quarter was due largely to higher average noninterest-earning assets, including the BLG investment, and lower noninterest-bearing deposits, partially offset by higher average stockholders’ equity. During the first nine months of 2007 and 2006, average net interest-free funds were $7.9 billion and $8.2 billion, respectively. Goodwill and core deposit and other intangible assets averaged $3.1 billion during each of the two most recent quarters, and $3.2 billion during the third quarter of 2006. The cash surrender value of bank owned life insurance averaged $1.1 billion during each of those quarters. Increases in the cash surrender value of bank owned life insurance are not included in interest income, but rather are recorded in “other revenues from operations.” The contribution of net interest-free funds to net interest margin was .59% in each of the second and third quarters of 2007 and .62% in the third quarter of 2006. For the first three quarters of 2007 and 2006, the contribution of net interest-free funds to net interest margin was .60% and .59%,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76" w:lineRule="auto"/>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 was 3.65% in the recent quarter, 3 basis points lower than 3.68% in the third quarter of 2006, and 2 basis points below 3.67% in the second quarter of 2007. During the nine-month periods ended September 30, 2007 and 2006, the net interest margin was 3.66% and 3.69%,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64"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$2.4 billion as of September 30, 2007, $812 million as of September 30, 2006, $902 million as of June 30, 2007 and approximately $1 billion as of December 31, 2006. Under the terms of $892 million of the swap agreements outstanding at the recent quarter-end, the Company receives payments based on the outstanding notional amount of the swap agreement at fixed rates and makes payments at variable rates. Under the terms of the remaining $1.5 billion of swap agreements outstanding at September 30, 2007 and entered into in the third quarter of 2007, the Company pays a fixed rate of interest and receives a variable rate.</w:t>
      </w:r>
    </w:p>
    <w:p>
      <w:pPr>
        <w:spacing w:after="0" w:line="74"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As of September 30, 2007, $892 million of the Company’s interest rate swap agreements entered into for interest-rate risk management purposes had been designated as fair value hedges and $1.5 billion had been designated as cash flow hedges. The cash flow hedges were entered into during the third quarter of 2007.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as a result of these activities during the quarters ended September 30, 2007 and 2006 and during the quarter ended June 30, 2007 were not material to the Company’s results of operations. The estimated aggregate fair value of interest rate swap agreements designated as fair value hedges represented losses of approximately $9 million and $8 million at September 30, 2007 and 2006, respectively, and $15 million at December 31, 2006. The fair values of such swap agreements were substantially offset by changes in the fair values of the hedged items. The estimated fair values of the interest rate swap agreements designated as cash flow hedges were losses of approximately $3 million at September 30, 2007. Net of applicable income taxes, such losses were approximately $2 million and have been included in “accumulated other comprehensive income (loss), net” in the Company’s consolidated balance sheet. The changes in the fair values of the interest rate swap agreements and the hedged items result from the effects of changing interest rates.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weighted-average rates to be received and paid under interest rate swap agreements currently in effect were 5.69% and 5.41%, respectively, at September 30, 2007. The average notional amounts of interest rate swap agreements and the related effect on net interest income and margin, and weighted-average interest rates paid or received on those swap agreements, are presented in the accompanying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color w:val="auto"/>
                <w:w w:val="90"/>
              </w:rPr>
              <w:t>Three months ended September 30</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800"/>
              <w:spacing w:after="0" w:line="142" w:lineRule="exact"/>
              <w:rPr>
                <w:sz w:val="20"/>
                <w:szCs w:val="20"/>
                <w:color w:val="auto"/>
              </w:rPr>
            </w:pPr>
            <w:r>
              <w:rPr>
                <w:rFonts w:ascii="Arial" w:cs="Arial" w:eastAsia="Arial" w:hAnsi="Arial"/>
                <w:sz w:val="14"/>
                <w:szCs w:val="14"/>
                <w:color w:val="auto"/>
              </w:rPr>
              <w:t>Amount</w:t>
            </w:r>
          </w:p>
        </w:tc>
        <w:tc>
          <w:tcPr>
            <w:tcW w:w="60" w:type="dxa"/>
            <w:vAlign w:val="bottom"/>
          </w:tcPr>
          <w:p>
            <w:pPr>
              <w:spacing w:after="0"/>
              <w:rPr>
                <w:sz w:val="12"/>
                <w:szCs w:val="12"/>
                <w:color w:val="auto"/>
              </w:rPr>
            </w:pPr>
          </w:p>
        </w:tc>
        <w:tc>
          <w:tcPr>
            <w:tcW w:w="6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Rate*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Amount</w:t>
            </w:r>
          </w:p>
        </w:tc>
        <w:tc>
          <w:tcPr>
            <w:tcW w:w="540" w:type="dxa"/>
            <w:vAlign w:val="bottom"/>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(538)</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1,368,926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795,665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w w:val="91"/>
              </w:rPr>
              <w:t>Nine months ended September 30</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840"/>
              <w:spacing w:after="0" w:line="142" w:lineRule="exact"/>
              <w:rPr>
                <w:sz w:val="20"/>
                <w:szCs w:val="20"/>
                <w:color w:val="auto"/>
              </w:rPr>
            </w:pPr>
            <w:r>
              <w:rPr>
                <w:rFonts w:ascii="Arial" w:cs="Arial" w:eastAsia="Arial" w:hAnsi="Arial"/>
                <w:sz w:val="14"/>
                <w:szCs w:val="14"/>
                <w:color w:val="auto"/>
                <w:w w:val="99"/>
              </w:rPr>
              <w:t>Amount</w:t>
            </w:r>
          </w:p>
        </w:tc>
        <w:tc>
          <w:tcPr>
            <w:tcW w:w="6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color w:val="auto"/>
              </w:rPr>
              <w:t>Rate*</w:t>
            </w:r>
          </w:p>
        </w:tc>
        <w:tc>
          <w:tcPr>
            <w:tcW w:w="7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Amount</w:t>
            </w:r>
          </w:p>
        </w:tc>
        <w:tc>
          <w:tcPr>
            <w:tcW w:w="540" w:type="dxa"/>
            <w:vAlign w:val="bottom"/>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6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1440" w:type="dxa"/>
            <w:vAlign w:val="bottom"/>
            <w:gridSpan w:val="4"/>
          </w:tcPr>
          <w:p>
            <w:pPr>
              <w:jc w:val="right"/>
              <w:ind w:right="56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$ 1,083,560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754,420</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4"/>
            <w:vMerge w:val="restart"/>
          </w:tcPr>
          <w:p>
            <w:pPr>
              <w:jc w:val="right"/>
              <w:ind w:right="620"/>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Federal Home Loan Bank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regulations. In December 2006, M&amp;T Bank issued $500 million of subordinated notes. The notes bear a fixed rate of interest of 5.629% for ten years and a floating rate for five years thereafter, at a rate equal to the three-month London Interbank Offered Rate plus .64%. The notes are redeemable at the Company’s option after the fixed-rate period ends, subject to prior regulatory approval. As an additional source of funding, M&amp;T issued $300 million of senior notes in May 2007. Those notes bear a fixed rate of interest of 5.375% and are due on May 24, 2012. The Company also obtains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funding by maintaining the $500 million revolving asset-backed structured borrowing which is collateralized by automobile loans and related assets that have been transferred to a special purpose subsidiary of M&amp;T Bank. That subsidiary, the loans and the borrowing are included in the Company’s consolidated financial statements. As existing loans of the subsidiary pay down, monthly proceeds, after payment of certain fees and debt service costs, have been used in the past to obtain additional automobile loans from M&amp;T Bank or other subsidiaries to replenish the collateral and maintain the existing borrowing base. However, although this borrowing was paid down by $450 million during the third quarter of 2007, as already noted, that amount remains available for future borrowing.</w:t>
      </w:r>
    </w:p>
    <w:p>
      <w:pPr>
        <w:spacing w:after="0" w:line="85" w:lineRule="exact"/>
        <w:rPr>
          <w:sz w:val="20"/>
          <w:szCs w:val="20"/>
          <w:color w:val="auto"/>
        </w:rPr>
      </w:pPr>
    </w:p>
    <w:p>
      <w:pPr>
        <w:ind w:right="220" w:firstLine="222"/>
        <w:spacing w:after="0" w:line="273"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aggregated $4.1 billion, $3.6 billion and $2.3 billion at September 30, 2007, September 30, 2006 and December 31, 2006, respectively. In general, these borrowings were unsecured and matured on the following business day. As already noted, offshore branch deposits and brokered certificates of deposit have been used by the Company as alternatives to short-term borrowings. At September 30, 2007, brokered time deposits totaled $1.6 billion and the weighted-average remaining term to maturity of such deposits was 17 months. Certain of these brokered time deposits have provisions that allow for early redemption.</w:t>
      </w:r>
    </w:p>
    <w:p>
      <w:pPr>
        <w:spacing w:after="0" w:line="7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$27 million and $46 million at September 30, 2007 and 2006, respectively, and $6 million at December 31, 2006. The total amount of VRDBs outstanding backed by an M&amp;T Bank letter of credit was $1.6 billion at September 30, 2007 and $1.7 billion at September 30, 2006 and December 31, 2006. M&amp;T Bank also serves as remarketing agent for most of those bonds.</w:t>
      </w:r>
    </w:p>
    <w:p>
      <w:pPr>
        <w:spacing w:after="0" w:line="70"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cash flows. Further information relating to these commitments is provided in note 6 of Notes to Financial Statements.</w:t>
      </w:r>
    </w:p>
    <w:p>
      <w:pPr>
        <w:spacing w:after="0" w:line="117"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2007 approximately $250 million was available for payment of dividends to M&amp;T from banking subsidiaries without prior regulatory approval. These historic sources of cash flow have been augmented in the past by the issuance of trust preferred securities and in the second quarter of 2007 by the issuance of $300 million of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September 30, 2007 or at December 31, 2006.</w:t>
      </w:r>
    </w:p>
    <w:p>
      <w:pPr>
        <w:spacing w:after="0" w:line="7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0"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accompanying table as of September 30, 2007 and December 31, 2006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60" w:type="dxa"/>
            <w:vAlign w:val="bottom"/>
            <w:gridSpan w:val="3"/>
          </w:tcPr>
          <w:p>
            <w:pPr>
              <w:jc w:val="right"/>
              <w:ind w:right="819"/>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60" w:type="dxa"/>
            <w:vAlign w:val="bottom"/>
            <w:gridSpan w:val="3"/>
          </w:tcPr>
          <w:p>
            <w:pPr>
              <w:jc w:val="right"/>
              <w:ind w:right="79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736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00" w:type="dxa"/>
            <w:vAlign w:val="bottom"/>
          </w:tcPr>
          <w:p>
            <w:pPr>
              <w:spacing w:after="0"/>
              <w:rPr>
                <w:sz w:val="14"/>
                <w:szCs w:val="14"/>
                <w:color w:val="auto"/>
              </w:rPr>
            </w:pPr>
          </w:p>
        </w:tc>
        <w:tc>
          <w:tcPr>
            <w:tcW w:w="1540" w:type="dxa"/>
            <w:vAlign w:val="bottom"/>
          </w:tcPr>
          <w:p>
            <w:pPr>
              <w:jc w:val="right"/>
              <w:ind w:right="124"/>
              <w:spacing w:after="0"/>
              <w:rPr>
                <w:sz w:val="20"/>
                <w:szCs w:val="20"/>
                <w:color w:val="auto"/>
              </w:rPr>
            </w:pPr>
            <w:r>
              <w:rPr>
                <w:rFonts w:ascii="Arial" w:cs="Arial" w:eastAsia="Arial" w:hAnsi="Arial"/>
                <w:sz w:val="14"/>
                <w:szCs w:val="14"/>
                <w:color w:val="auto"/>
              </w:rPr>
              <w:t>September 30, 2007</w:t>
            </w:r>
          </w:p>
        </w:tc>
        <w:tc>
          <w:tcPr>
            <w:tcW w:w="48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2006</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rPr>
              <w:t>$ 10,190</w:t>
            </w:r>
          </w:p>
        </w:tc>
        <w:tc>
          <w:tcPr>
            <w:tcW w:w="4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15,098</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+100 basis points</w:t>
            </w:r>
          </w:p>
        </w:tc>
        <w:tc>
          <w:tcPr>
            <w:tcW w:w="2040" w:type="dxa"/>
            <w:vAlign w:val="bottom"/>
            <w:gridSpan w:val="2"/>
          </w:tcPr>
          <w:p>
            <w:pPr>
              <w:jc w:val="right"/>
              <w:ind w:right="424"/>
              <w:spacing w:after="0"/>
              <w:rPr>
                <w:sz w:val="20"/>
                <w:szCs w:val="20"/>
                <w:color w:val="auto"/>
              </w:rPr>
            </w:pPr>
            <w:r>
              <w:rPr>
                <w:rFonts w:ascii="Arial" w:cs="Arial" w:eastAsia="Arial" w:hAnsi="Arial"/>
                <w:sz w:val="18"/>
                <w:szCs w:val="18"/>
                <w:color w:val="auto"/>
              </w:rPr>
              <w:t>7,109</w:t>
            </w:r>
          </w:p>
        </w:tc>
        <w:tc>
          <w:tcPr>
            <w:tcW w:w="2020" w:type="dxa"/>
            <w:vAlign w:val="bottom"/>
            <w:gridSpan w:val="2"/>
          </w:tcPr>
          <w:p>
            <w:pPr>
              <w:jc w:val="right"/>
              <w:ind w:right="399"/>
              <w:spacing w:after="0"/>
              <w:rPr>
                <w:sz w:val="20"/>
                <w:szCs w:val="20"/>
                <w:color w:val="auto"/>
              </w:rPr>
            </w:pPr>
            <w:r>
              <w:rPr>
                <w:rFonts w:ascii="Arial" w:cs="Arial" w:eastAsia="Arial" w:hAnsi="Arial"/>
                <w:sz w:val="18"/>
                <w:szCs w:val="18"/>
                <w:color w:val="auto"/>
              </w:rPr>
              <w:t>13,260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2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(4,343)</w:t>
            </w:r>
          </w:p>
        </w:tc>
        <w:tc>
          <w:tcPr>
            <w:tcW w:w="20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(12,759)</w:t>
            </w: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-200 basis points</w:t>
            </w:r>
          </w:p>
        </w:tc>
        <w:tc>
          <w:tcPr>
            <w:tcW w:w="2040" w:type="dxa"/>
            <w:vAlign w:val="bottom"/>
            <w:gridSpan w:val="2"/>
          </w:tcPr>
          <w:p>
            <w:pPr>
              <w:jc w:val="right"/>
              <w:ind w:right="364"/>
              <w:spacing w:after="0"/>
              <w:rPr>
                <w:sz w:val="20"/>
                <w:szCs w:val="20"/>
                <w:color w:val="auto"/>
              </w:rPr>
            </w:pPr>
            <w:r>
              <w:rPr>
                <w:rFonts w:ascii="Arial" w:cs="Arial" w:eastAsia="Arial" w:hAnsi="Arial"/>
                <w:sz w:val="18"/>
                <w:szCs w:val="18"/>
                <w:color w:val="auto"/>
              </w:rPr>
              <w:t>(10,764)</w:t>
            </w:r>
          </w:p>
        </w:tc>
        <w:tc>
          <w:tcPr>
            <w:tcW w:w="2020" w:type="dxa"/>
            <w:vAlign w:val="bottom"/>
            <w:gridSpan w:val="2"/>
          </w:tcPr>
          <w:p>
            <w:pPr>
              <w:jc w:val="right"/>
              <w:ind w:right="339"/>
              <w:spacing w:after="0"/>
              <w:rPr>
                <w:sz w:val="20"/>
                <w:szCs w:val="20"/>
                <w:color w:val="auto"/>
              </w:rPr>
            </w:pPr>
            <w:r>
              <w:rPr>
                <w:rFonts w:ascii="Arial" w:cs="Arial" w:eastAsia="Arial" w:hAnsi="Arial"/>
                <w:sz w:val="18"/>
                <w:szCs w:val="18"/>
                <w:color w:val="auto"/>
              </w:rPr>
              <w:t>(26,546)</w:t>
            </w:r>
          </w:p>
        </w:tc>
      </w:tr>
    </w:tbl>
    <w:p>
      <w:pPr>
        <w:spacing w:after="0" w:line="7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ind w:right="300" w:firstLine="222"/>
        <w:spacing w:after="0" w:line="293"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3" w:lineRule="exact"/>
        <w:rPr>
          <w:sz w:val="20"/>
          <w:szCs w:val="20"/>
          <w:color w:val="auto"/>
        </w:rPr>
      </w:pPr>
    </w:p>
    <w:p>
      <w:pPr>
        <w:jc w:val="both"/>
        <w:ind w:right="140" w:firstLine="222"/>
        <w:spacing w:after="0" w:line="288" w:lineRule="auto"/>
        <w:rPr>
          <w:sz w:val="20"/>
          <w:szCs w:val="20"/>
          <w:color w:val="auto"/>
        </w:rPr>
      </w:pPr>
      <w:r>
        <w:rPr>
          <w:rFonts w:ascii="Arial" w:cs="Arial" w:eastAsia="Arial" w:hAnsi="Arial"/>
          <w:sz w:val="16"/>
          <w:szCs w:val="16"/>
          <w:color w:val="auto"/>
        </w:rPr>
        <w:t>The notional amounts of interest rate contracts entered into for trading purposes totaled $9.5 billion at September 30, 2007, compared with $8.0 billion at September 30, 2006 and $7.6 billion at December 31, 2006. The notional amounts of foreign currency and other option and futures contracts entered into for trading purposes were $899 million, $727 million and $613 million at September 30, 2007, September 30, 2006 and December 31, 2006, respectively.</w:t>
      </w:r>
    </w:p>
    <w:p>
      <w:pPr>
        <w:ind w:right="220"/>
        <w:spacing w:after="0" w:line="281" w:lineRule="auto"/>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$180 million and</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$82 million, respectively, at September 30, 2007, $176 million and $67 million, respectively, at September 30, 2006, and $137 million and $65 million, respectively, at December 31, 2006. Included in trading account assets at September 30, 2007 were $47 million related to deferred compensation plans, compared with $43 million at September 30, 2006 and $45 million at December 31, 2006. Changes in the fair value of such assets are recorded as trading account and foreign exchange gains in the consolidated statement of income. Included in other liabilities in the consolidated balance sheet at September 30, 2007, September 30, 2006 and December 31, 2006 were $50 million, $48 million and $49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7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third quarter of 2007 was $34 million, compared with $17 million in the year-earlier quarter and $30 million in the second quarter of 2007. Net loan charge-offs were $22 million in each of the quarters ended September 30 and June 30, 2007, compared with $17 million in 2006’s third quarter. Net charge-offs as an annualized percentage of average loans and leases were .20% in the two most recent quarters, compared with .16% in the third quarter of 2006. For the nine-month periods ended September 30, 2007 and 2006, the provision for credit losses was $91 million and $52 million, respectively. Net charge-offs through September 30 were $60 million and $43 million in 2007 and 2006, respectively, representing an annualized .19% and .14% of average loans and leases. A summary of net charge-offs by loan type follows.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5"/>
              </w:rPr>
              <w:t>1st Qtr.</w:t>
            </w:r>
          </w:p>
        </w:tc>
        <w:tc>
          <w:tcPr>
            <w:tcW w:w="70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2nd Qtr.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3rd Qtr.</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2,917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c>
          <w:tcPr>
            <w:tcW w:w="6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2,483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4,603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10,618</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10,722</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13,835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color w:val="auto"/>
              </w:rPr>
              <w:t>2006</w:t>
            </w: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5"/>
              </w:rPr>
              <w:t>1st Qtr.</w:t>
            </w:r>
          </w:p>
        </w:tc>
        <w:tc>
          <w:tcPr>
            <w:tcW w:w="70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2nd Qtr.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3rd Qtr.</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1,384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6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696</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2,431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10,188</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6,916</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12,822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16,532</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Loans classified as nonperforming, which consist of nonaccrual and restructured loans, totaled $371 million or .83% of total loans and leases outstanding at September 30, 2007, compared with $180 million or .43% at September 30, 2006, $224 million or .52% at December 31, 2006, and $296 million or .68% at June 30, 2007. The rise in such loans from September 30, 2006 was due, in part, to the addition of several large credits as follows: a $10 million commercial real estate loan to an assisted living facility (added in the fourth quarter of 2006, paid off in the first quarter of 2007); a loan to a residential home builder and developer in the Mid-Atlantic Region ($34 million added in the second quarter of 2007 and a $5 million advance added in the third quarter of 2007); $31 million relationship with a residential home builder and developer in the Mid-Atlantic Region (added in the third quarter of 2007); and a relationship with a manufacturer of residential heating equipment ($22 million added in the first quarter of 2007). Several other loans having balances of less than $7 million were added to the nonperforming category from September 30, 2006 to September 30, 2007. Also contributing to the higher nonperforming loans through 2007’s first three quarters were higher levels of residential real estate loans in that category.</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Loans past due 90 days or more and accruing interest were $140 million or .31% of total loans and leases at September 30, 2007, compared with</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$112 million or .27% a year earlier, $111 million or .26% at December 31, 2006 and $135 million or .31% at June 30, 2007. Those loans included $70 million at each of September 30 and June 30, 2007, $77 million at December 31, 2006 and $76 million at September 30, 2006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were $61 million and $58 million at September 30, 2007 and 2006, respectively, $65 million at December 31, 2006 and $58 million at June 30, 2007. Loans past due 90 days or more and accruing interest that were guaranteed by government-related entities also included foreign commercial and industrial loans supported by the Export-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Import Bank of the United States totaling $9 million at September 30, 2007, $18 million a year earlier, $11 million at December 31, 2006 and $12 million at June 30, 2007. The rise in accruing loans past due 90 days or more from the prior dates noted to September 30, 2007 was largely due to increases in non-guaranteed residential real estate loans.</w:t>
      </w:r>
    </w:p>
    <w:p>
      <w:pPr>
        <w:spacing w:after="0" w:line="73" w:lineRule="exact"/>
        <w:rPr>
          <w:sz w:val="20"/>
          <w:szCs w:val="20"/>
          <w:color w:val="auto"/>
        </w:rPr>
      </w:pPr>
    </w:p>
    <w:p>
      <w:pPr>
        <w:jc w:val="both"/>
        <w:ind w:right="120" w:firstLine="225"/>
        <w:spacing w:after="0" w:line="286" w:lineRule="auto"/>
        <w:rPr>
          <w:sz w:val="20"/>
          <w:szCs w:val="20"/>
          <w:color w:val="auto"/>
        </w:rPr>
      </w:pPr>
      <w:r>
        <w:rPr>
          <w:rFonts w:ascii="Arial" w:cs="Arial" w:eastAsia="Arial" w:hAnsi="Arial"/>
          <w:sz w:val="17"/>
          <w:szCs w:val="17"/>
          <w:color w:val="auto"/>
        </w:rPr>
        <w:t>Commercial loans and leases classified as nonperforming totaled $114 million at September 30, 2007, $67 million at September 30, 2006, $79 million at December 31, 2006, and $115 million at June 30, 2007. The rise in such loans from September 30, 2006 was due, in part, to the first quarter 2007 addition of outstanding commercial loans to the relationship with the manufacturer of residential heating equipment already noted.</w:t>
      </w:r>
    </w:p>
    <w:p>
      <w:pPr>
        <w:spacing w:after="0" w:line="5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Nonperforming commercial real estate loans totaled $112 million at September 30, 2007, $40 million a year earlier, $57 million at December 31, 2006 and $72 million at June 30, 2007. The increase in such loans from the end of the third quarter of 2006 reflects $73 million of loans to residential homebuilders and developers classified as nonperforming during the second and third quarters of 2007.</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Nonperforming residential real estate loans totaled $86 million at September 30, 2007, $30 million at September 30, 2006, $42 million at December 31, 2006 and $61 million at June 30, 2007. The higher levels of loans in this category at June 30 and September 30, 2007 substantially resulted from delinquencies in the Company’s portfolio of Alt-A residential mortgage loans. Residential real estate loans past due 90 days or more and accruing interest totaled $118 million at September 30, 2007, compared with $81 million at September 30, 2006, and $92 million and $110 million at December 31, 2006 and June 30, 2007, respectively. As already discussed, a significant portion of such amounts relate to repurchased loans that are guaranteed by government-related entities. However, due to higher delinquencies in the Company’s residential real estate portfolio, the level of unguaranteed loans in this category has increased, largely due to the Alt-A portfolio noted above.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Nonperforming consumer loans and leases totaled $59 million at September 30, 2007, compared with $42 million a year earlier, $46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and $48 million at June 30, 2007. As a percentage of consumer loan balances outstanding, nonperforming consumer loans and leases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 at the recent quarter-end, .42% at September 30, 2006, .46% at December 31, 2006 and .47% at June 30, 2007.</w:t>
      </w:r>
    </w:p>
    <w:p>
      <w:pPr>
        <w:spacing w:after="0" w:line="103" w:lineRule="exact"/>
        <w:rPr>
          <w:sz w:val="20"/>
          <w:szCs w:val="20"/>
          <w:color w:val="auto"/>
        </w:rPr>
      </w:pPr>
    </w:p>
    <w:p>
      <w:pPr>
        <w:ind w:right="980" w:firstLine="215"/>
        <w:spacing w:after="0" w:line="277" w:lineRule="auto"/>
        <w:rPr>
          <w:sz w:val="20"/>
          <w:szCs w:val="20"/>
          <w:color w:val="auto"/>
        </w:rPr>
      </w:pPr>
      <w:r>
        <w:rPr>
          <w:rFonts w:ascii="Arial" w:cs="Arial" w:eastAsia="Arial" w:hAnsi="Arial"/>
          <w:sz w:val="18"/>
          <w:szCs w:val="18"/>
          <w:color w:val="auto"/>
        </w:rPr>
        <w:t>Assets acquired in settlement of defaulted loans totaled $22 million at September 30, 2007, $14 million at September 30, 2006, $12 million at December 31, 2006 and $18 million at June 30,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4"/>
                <w:szCs w:val="14"/>
                <w:color w:val="auto"/>
                <w:w w:val="91"/>
              </w:rPr>
              <w:t>2007 Quarters</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3"/>
          </w:tcPr>
          <w:p>
            <w:pPr>
              <w:ind w:left="640"/>
              <w:spacing w:after="0"/>
              <w:rPr>
                <w:sz w:val="20"/>
                <w:szCs w:val="20"/>
                <w:color w:val="auto"/>
              </w:rPr>
            </w:pPr>
            <w:r>
              <w:rPr>
                <w:rFonts w:ascii="Arial" w:cs="Arial" w:eastAsia="Arial" w:hAnsi="Arial"/>
                <w:sz w:val="14"/>
                <w:szCs w:val="14"/>
                <w:color w:val="auto"/>
                <w:w w:val="91"/>
              </w:rPr>
              <w:t>2006 Quarters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Second</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First</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Fourth</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356,438</w:t>
            </w: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282,133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259,015</w:t>
            </w:r>
          </w:p>
        </w:tc>
        <w:tc>
          <w:tcPr>
            <w:tcW w:w="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209,272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Renegotiated loans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14,953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13,706</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14,210</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14,956</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371,391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295,839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273,225</w:t>
            </w:r>
          </w:p>
        </w:tc>
        <w:tc>
          <w:tcPr>
            <w:tcW w:w="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224,228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22,080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17,837</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15,095</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12,141</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393,471</w:t>
            </w: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313,676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288,320</w:t>
            </w:r>
          </w:p>
        </w:tc>
        <w:tc>
          <w:tcPr>
            <w:tcW w:w="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236,369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193,432</w:t>
            </w: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140,313</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134,906</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118,094</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111,307</w:t>
            </w:r>
          </w:p>
        </w:tc>
        <w:tc>
          <w:tcPr>
            <w:tcW w:w="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112,090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15,999</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16,717</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18,007</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17,586</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69,956</w:t>
            </w: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69,563</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70,626</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76,622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Nonperforming loans to total loans and leases, net of</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.83%</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.68%</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 and other assets owned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leases, net of 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4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Predominately residential mortgage loans.</w:t>
      </w:r>
    </w:p>
    <w:p>
      <w:pPr>
        <w:spacing w:after="0" w:line="11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at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(iii) the size of the Company’s portfolio of loans to individual consumers, which historically have experienced higher net charge-offs as a percentage of loans outstanding than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loan types; and (iv) the repayment performance associated with the Company’s portfolio of Alt-A residential mortgage loans. The level of the allowance is adjusted based on the results of management’s analysis.</w:t>
      </w:r>
    </w:p>
    <w:p>
      <w:pPr>
        <w:spacing w:after="0" w:line="62"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2007 in light of (i) the sluggish pace of economic growth in many of the markets served by the Company; (ii) continuing weakness in industrial employment in upstate New York and central Pennsylvania;</w:t>
      </w:r>
    </w:p>
    <w:p>
      <w:pPr>
        <w:ind w:right="20" w:firstLine="8"/>
        <w:spacing w:after="0" w:line="252"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significant subjectivity involved in commercial real estate valuations for properties located in areas with stagnant or low growth economies; (iv) the continuing emergence of higher levels of delinquencies of residential mortgage loans; and (v) the amount of loan growth experienced by the Company late in 2007’s third quarter. Although the national economy experienced moderate growth in 2006 and 2007 with inflation being reasonably well contained, concerns exist about the level and volatility of energy prices; a weakening housing market; Federal Reserve positioning of monetary policy; the underlying impact on businesses’ operations and abilities to repay loans resulting from a higher level of interest rates; sluggish job creation, which could cause consumer spending to slow; continued stagnant population growth in the upstate New York and central Pennsylvania regions; and continued slowing of domestic automobile sales.</w:t>
      </w:r>
    </w:p>
    <w:p>
      <w:pPr>
        <w:spacing w:after="0" w:line="85"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such as those described above, but also real estate valuations, in particular, given the size of the commercial and residential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Management believes that the allowance for credit losses at September 30, 2007 was adequate to absorb credit losses inherent in the portfolio as of that date. The allowance for credit losses was $680 million, or 1.52% of total loans and leases at September 30, 2007, compared with $646 million or 1.54% at September 30, 2006, $650 million or 1.51% at December 31, 2006 and $668 million or 1.53% at June 30, 2007. The ratio of the allowance for credit losses to nonperforming loans was 183% at the most recent quarter-end, compared with 360% a year earlier, 290% at December 31, 2006 and 226% at June 30, 2007. The level of the allowance reflects management’s evaluation of the loan and lease portfolio as of each respective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totaled $253 million in the third quarter of 2007, down 8% from $274 million in the corresponding quarter of 2006 and 11% below</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$283 million in the second quarter of 2007. The decrease from the prior year’s third quarter was largely the result of M&amp;T’s pro-rata portion of BLG’s operating loss in the recent quarter as previously noted, which aggregated $11 million, and the previously discussed $13 million gain in the third quarter of 2006 from the accelerated recognition of a purchase accounting premium related to a call of an FHLB borrowing assumed in an acquisition. The decline from the second quarter of 2007 was largely due to M&amp;T’s share of BLG’s operating results, which was a loss of $11 million in the recent quarter, compared with income of $8 million in 2007’s second quarter, and lower revenues from mortgage banking and corporate advisory services.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Mortgage banking revenues totaled $32 million in the recent quarter, down from $37 million in the third quarter of 2006 and $36 million in the second quarter of 2007. Mortgage banking revenues are comprised of both residential and commercial mortgage banking activities.</w:t>
      </w:r>
    </w:p>
    <w:p>
      <w:pPr>
        <w:spacing w:after="0" w:line="62"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totaled $27 million in the recent quarter, compared with $30 million in the year-earlier period and $28 million in the second quarter of 2007. The decline in residential mortgage banking revenues in the third quarter of 2007 as compared with the corresponding 2006 quarter resulted from lower realized gains from sales of residential mortgage loans and loans servicing rights due to a combination of lower sold volume and slimmer margins realized by the Company due to changes in market conditions. Residential mortgage loans originated for sale to other investors were approximately</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$1.4 billion during the two most recent quarters, compared with $1.5 billion in the third quarter of 2006. Residential mortgage loans sold to investors totaled $1.3 billion in the two most recent quarters, compared with $1.5 billion in the third quarter of 2006. Realized gains from sales of residential mortgage loans and loan servicing rights and recognized net unrealized losses attributable to residential mortgage loans held for sale, commitments to originate loans for sale and commitments to sell loans aggregated $6 million in the recently completed quarter, compared with $12 million in the third quarter of 2006 and $8 million in 2007’s second quarter.</w:t>
      </w:r>
    </w:p>
    <w:p>
      <w:pPr>
        <w:spacing w:after="0" w:line="8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Revenues from servicing residential mortgage loans for others were $18 million in the two most recent quarters, compared with $16 million in the third quarter of 2006. Included in such servicing revenues were amounts related to purchased servicing rights associated with small balance commercial mortgage loans which totaled $6 million in the recent quarter, $4 million in the third quarter of 2006 and $5 million in 2007’s second quarter. Residential mortgage loans serviced for others were $18.6 billion at September 30, 2007, $16.2 billion a year earlier and $16.7 billion at December 31, 2006, including the small balance commercial mortgage loans noted above of approximately $4.5 billion and $2.8 billion at September 30, 2007 and 2006, respectively, and $3.3 billion at December 31, 2006. Capitalized residential mortgage servicing assets, net of a valuation allowance for impairment, were $166 million at September 30, 2007, compared with $149 million at September 30, 2006 and $153 million at December 31, 2006. Included in capitalized residential mortgage servicing assets were $55 million at September 30, 2007, $32 million a year earlier and $36 million at December 31, 2006 of purchased servicing rights associated with the small balance commercial mortgage loans noted above. Servicing rights for the small balance commercial mortgage loans were purchased from BLG or its affiliates. In addition, at September 30, 2007 capitalized servicing rights included $43 million for servicing rights for $5.0 billion of residential real estate loans that were purchased from affiliates of BLG.</w:t>
      </w:r>
    </w:p>
    <w:p>
      <w:pPr>
        <w:spacing w:after="0" w:line="75"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Loans held for sale that were secured by residential real estate totaled $950 million and $1.4 billion at September 30, 2007 and 2006, respectively, and $1.9 billion at December 31, 2006. Commitments to sell loans and commitments to originate loans for sale at pre-determined rates were $984 million and $579 million, respectively, at September 30, 2007, $1.2 billion and $676 million, respectively, at September 30, 2006 and $1.8 billion and $680 million, respectively, at December 31, 2006. Net unrealized losses on residential mortgage loans held for sale, commitments to sell loans, and commitments to originate loans for sale were approximately $5 million at September 30, 2007 and $1 million a year earlier, compared with net realized gains of $4 million at December 31, 2006. Changes in such net unrealized gains or losses 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recorded in mortgage banking revenues and resulted in net decreases in revenues of $2 million in both the second and third quarters of 2007 and $1 million during 2006’s third quarter.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mortgage banking revenues in the recent quarter were $5 million, compared with $7 million in each of 2006’s third quarter and the second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quarter of 2007. Revenues from commercial mortgage loan origination and sales activities were $2 million in the third quarter of 2007, compared with</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 million in the corresponding 2006 period and $4 million in 2007’s second quarter. Commercial mortgage loan servicing revenues were $3 million in the two most recent quarters, compared with $4 million in the third quarter of 2006. Capitalized commercial mortgage servicing assets totaled $20 million at each of September 30, 2007 and 2006, and $21 million at December 31, 2006. Commercial mortgage loans held for sale at September 30, 2007 and 2006 were $43 million and $70 million, respectively, and $49 million at December 31, 2006.</w:t>
      </w:r>
    </w:p>
    <w:p>
      <w:pPr>
        <w:spacing w:after="0" w:line="8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Service charges on deposit accounts rose 4% to $104 million in the recent quarter from $100 million in the third quarter of 2006 and were approximately equal to the second quarter of 2007. The increase from the year-earlier period was largely due to higher overdraft fees. Trust income totaled $38 million in the two most recent quarters, compared with $35 million in last year’s third quarter. Brokerage services income, which includes revenues from the sale of mutual funds and annuities and securities brokerage fees, totaled $15 million in the third quarters of 2007 and 2006, compared with $17 million in the second quarter of 2007. Trading account and foreign exchange activity resulted in gains of $7 million during the two most recent quarters, and $5 million in the third quarter of 2006. As already discussed, M&amp;T’s pro-rata share of the operating income or loss of BLG in the recent quarter was a loss of $11 million, compared with income of $8 million in the second quarter of 2007.</w:t>
      </w:r>
    </w:p>
    <w:p>
      <w:pPr>
        <w:spacing w:after="0" w:line="70"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Other revenues from operations aggregated $68 million in the recent quarter, compared with $81 million in 2006’s third quarter and $73 million in the second quarter of 2007. The decrease in such revenues in the recent quarter as compared with the year-earlier quarter resulted predominantly from last year’s $13 million gain from the accelerated recognition of a purchase accounting premium related to a call of an FHLB borrowing assumed in a prior acquisition. The decline in other revenues from the second quarter of 2007 was largely due to lower corporate advisory fees. Included in other revenues from operations were the following significant components. Letter of credit and other credit-related fees totaled $19 million in the recent quarter, $20 million in the third quarter of 2006 and $22 million in the second quarter of 2007. Tax-exempt income from bank owned life insurance, which includes increases in the cash surrender value of life insurance policies and benefits received, aggregated $14 million in the recent quarter, $10 million in the year-earlier quarter and</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in 2007’s second quarter. Revenues from merchant discount and credit card fees were $9 million in each of the two most recent quarters, compared with $8 million in the third quarter of 2006. Insurance-related sales commissions and other revenues aggregated $8 million in each of the quarters ended September 30, 2007, September 30, 2006 and June 30, 2007.</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income totaled $772 million in the first three quarters of 2007, compared with $789 million in the similar 2006 period. The most significant factors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decline in such income were lower mortgage banking revenues, M&amp;T’s pro-rata share of BLG’s operating loss in 2007 and the previously noted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 million gain in 2006’s third quarter related to the call of an FHLB borrowing. Partially offsetting those factors were higher service charges on deposit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accounts and trust income.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For the first nine months of 2007, mortgage banking revenues totaled $81 million, down 28% from $113 million in the year-earlier period. Residential mortgage banking revenues declined to $62 million during the nine-month period ended September 30, 2007 from $94 million in the similar 2006 period. Residential mortgage loans originated for sale to other investors were $4.2 billion in the first three quarters of 2007, compared with $4.8 billion in the corresponding 2006 period. Realized gains from sales of residential mortgage loans and loan servicing rights and recognized unrealized gains and losses on residential mortgage loans held for sale, commitments to originate loans for sale and commitments to sell loans totaled $1 million and $40 million during the nine-month periods ended September 30, 2007 and 2006, respectively. Reflected in the 2007 results were $18 million of losses recognized in the first quarter related to Alt-A residential mortgages. Unfavorable market conditions and a lack of market liquidity impacted the Company’s willingness to sell Alt-A mortgage loans during the first quarter of 2007. As a result, the Company reclassified $883 million of Alt-A loans previously held for sale (including</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$808 million of first mortgage loans and $75 million of second mortgage loans) to its held-for-investment portfolio during 2007’s first quarter. In accordance with GAAP, loans held for sale must be recorded at the lower of cost or market value. Accordingly, prior to reclassifying the $883 million of Alt-A mortgage loans to held for investment, the carrying value of such loans was reduced by $12 million to reflect estimated market value. 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 Revenues from servicing residential mortgage loans for others were $54 million and $49 million for the first three quarters of 2007 and 2006, respectively. Included in such amounts were revenues related to purchased servicing rights associated with the previously noted small balance commercial mortgage loans of $15 million and</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$10 million for the nine-month periods ended September 30, 2007 and 2006, respectively. Commercial mortgage banking revenues totaled $19 million during each of the nine-month periods ended September 30, 2007 and 2006.</w:t>
      </w:r>
    </w:p>
    <w:p>
      <w:pPr>
        <w:spacing w:after="0" w:line="7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Service charges on deposit accounts rose 7% to $304 million during the first nine months of 2007 from $285 million in the similar 2006 period, largely due to consumer service charges related to overdrafts and debit card usage. Trust income increased 9% to $113 million from $104 million a year earlier. Brokerage services income rose 6% to $47 million during the first nine months of 2007 from $44 million in the corresponding 2006 period. Trading account and foreign exchange activity resulted in gains of $20 million and $18 million for the nine-month periods ended September 30, 2007 and 2006, respectively. M&amp;T’s February 2007 investment in BLG resulted in a pro-rata allocation of $6 million of losses for the nine months ended September 30, 2007.</w:t>
      </w:r>
    </w:p>
    <w:p>
      <w:pPr>
        <w:spacing w:after="0" w:line="50"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Other revenues from operations were $212 million in the first three quarters of 2007, compared with $225 million in the similar 2006 period. Contributing to the year-over-year decrease in other revenues from operations was the previously noted $13 million gain in 2006 from the call of an FHLB borrowing and lower income from educational lending services. Also included in other revenues from operations during the nine-month periods ended September 30, 2007 and 2006 were letter of credit and other credit-related fees of $62 million and $59 million, respectively, and income from bank owned life insurance of</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$35 million and $38 million, respectively. Merchant discount and credit card fees were $26 million and $24 million, respectively, and insurance-related sales commissions and other revenues totaled $24 million and $23 million, respectively, during the nine-month periods ended September 30, 2007 and 2006.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expense totaled $391 million in the third quarter of 2007, down 5% from $409 million in the year-earlier period, and 1% below $393 million in 2007’s second quarter. Included in the amounts noted above are expenses considered by management to be “nonoperating” in nature consisting of amortization of core deposit and other intangible assets of $16 million in the two most recent quarters and $20 million in the third quarter of 2006, and the branch acquisition-related expenses of $1 million in the third quarter of 2006. There were no similar expenses in 2007. Exclusive of these nonoperating expenses, noninterest operating expenses aggregated $375 million in the recent quarter, compared with $388 million in the third quarter of 2006 and $376 million in the second quarter of 2007. The most significant contributor to the higher operating expenses in 2006’s third quarter as compared with the 2007 quarters was the</w:t>
      </w:r>
    </w:p>
    <w:p>
      <w:pPr>
        <w:spacing w:after="0" w:line="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$18 million charitable contribution noted earlier. Also contributing to the higher expense level in the third quarter of 2006 was an addition to the valuation allowance for impairment of capitalized residential mortgage servicing rights of $5 million. In contrast, a partial reversal of the valuation allowance for capitalized servicing rights of $5 million was recorded in the second quarter of 2007. There were no adjustments to the valuation allowance during the recent quarter.</w:t>
      </w:r>
    </w:p>
    <w:p>
      <w:pPr>
        <w:spacing w:after="0" w:line="82"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Other expense for the nine-month period ended September 30, 2007 aggregated $1.18 billion, up $14 million or 1% from $1.17 billion in the corresponding 2006 period. Included in those amounts are expenses considered to be “nonoperating” in nature consisting of amortization of core deposit and other intangible assets of $51 million and $44 million in 2007 and 2006, respectively, and the branch acquisition-related expenses of $5 million in the first nine months of 2006. Exclusive of these nonoperating expenses, noninterest operating expenses through the first nine months of 2007 increased $13 million or 1% to $1.13 billion from $1.12 billion in the comparable 2006 period. Higher costs for salaries and benefits, including incentive compensation, in 2007 were the largest contributors to that increase. Table 2 provides a reconciliation of other expense to noninterest operating expense.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$221 million in the third quarter of 2007, compared with $219 million in the similar 2006 quarter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$225 million in the second quarter of 2007. For the first three quarters of 2007, salaries and employee benefits expense increased to $682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$660 million in the year-earlier period. The higher expense level for the nine-month 2007 period as compared with the similar 2006 period was due largely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salaries-related costs, including the impact of merit pay increases and incentive compensation awarded to employees. Stock-based compensation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for each of the quarters ended September 30, 2007, September 30, 2006 and June 30, 2007, and $41 million and $40 million for the nine-month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ended September 30, 2007 and 2006, respectively. The number of full-time equivalent employees was 12,534 at September 30, 2007, 12,815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12,721 at December 31, 2006 and 12,701 at June 30, 2007.</w:t>
      </w:r>
    </w:p>
    <w:p>
      <w:pPr>
        <w:spacing w:after="0" w:line="103"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Excluding the nonoperating expense items previously noted, nonpersonnel operating expense totaled $154 million in the third quarter of 2007, compared with $169 million in the similar quarter of 2006 and $151 million in the second quarter of 2007. The decline in nonpersonnel expenses from 2006’s third quarter resulted from the previously noted $18 million charitable contribution made in the year-earlier quarter. Also contributing to the higher level of expenses in 2006’s third quarter was a $5 million addition to the valuation allowance for the impairment of capitalized residential mortgage servicing rights. During the second quarter of 2007, the Company recognized partial reversals of the valuation allowance for impairment of capitalized residential mortgage servicing rights of $5 million. There were no similar adjustments to that valuation allowance in the recent quarter.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Nonpersonnel operating expenses were $449 million during the first nine months of 2007 and $459 million during the corresponding period of 2006. The principal factor in the decrease in expenses from 2006 to 2007 was the $18 million charitable contribution in 2006, offset, in part, by the impact of net partial reversals of the valuation allowance for impairment of capitalized residential mortgage servicing rights, which totaled $6 million in 2007 and $10 million in 2006.</w:t>
      </w:r>
    </w:p>
    <w:p>
      <w:pPr>
        <w:spacing w:after="0" w:line="79"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51.6% during the recent quarter, compared with 52.8% during the third quarter of 2006 and 50.2% in the second quarter of 2007. The efficiency ratios for the nine months ended September 30, 2007 and 2006 were 52.2% and 52.0%, respectively. Noninterest operating expenses used in calculating the efficiency ratio do not include the amortization of core deposit and other intangible assets or the acquisition-related expenses noted earlier. If charges for amortization of core deposit and other intangible assets were included, the ratio for the three-month periods ended September 30, 2007, September 30, 2006 and June 30, 2007 would have been 53.8%, 55.5% and 52.4%, respectively, and for the nine-month periods ended September 30, 2007 and 2006 would have been 54.6% and 54.0%,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The provision for income taxes for the third quarter of 2007 was $97 million, compared with $95 million and $108 million in the third quarter of 2006 and second quarter of 2007, respectively. The effective tax rates were 32.7%, 31.1% and 33.6% for the quarters ended September 30, 2007, September 30, 2006 and June 30, 2007, respectively. The lower tax rate in the third quarter of 2006 as compared with the subsequent periods reflects the previously noted</w:t>
      </w:r>
    </w:p>
    <w:p>
      <w:pPr>
        <w:spacing w:after="0" w:line="254" w:lineRule="auto"/>
        <w:rPr>
          <w:sz w:val="20"/>
          <w:szCs w:val="20"/>
          <w:color w:val="auto"/>
        </w:rPr>
      </w:pPr>
      <w:r>
        <w:rPr>
          <w:rFonts w:ascii="Arial" w:cs="Arial" w:eastAsia="Arial" w:hAnsi="Arial"/>
          <w:sz w:val="18"/>
          <w:szCs w:val="18"/>
          <w:color w:val="auto"/>
        </w:rPr>
        <w:t>$3 million reduction of income tax expense related to the favorable settlement of refund claims originally filed by Allfirst. The refunds received, consisting of income taxes and taxable interest, exceeded the amounts previously accrued for such items by $5 million (pre-tax). For the nine-month periods ended September 30, 2007 and 2006, the provision for income taxes was $290 million and $294 million, respectively, resulting in effective tax rates of 33.0% in 2007 and 32.0% in 2006.</w:t>
      </w:r>
    </w:p>
    <w:p>
      <w:pPr>
        <w:spacing w:after="0" w:line="82"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The Company adopted FASB Interpretation (“FIN”) No. 48, “Accounting for Uncertainty in Income Taxes,” on January 1, 2007. That adoption did not have a material effect on the Company’s financial position or on its results of operations during the first three quarters of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Stockholders’ equity totaled $6.2 billion at September 30, 2007 and 2006 and $6.3 billion at December 31, 2006. As a percentage of total assets, stockholders’ equity at September 30, 2007, September 30, 2006 and December 31, 2006 was 10.40%, 10.91% and 11.01%, respectively. On a per share basis, stockholders’ equity was $58.40 at September 30, 2007, up from $55.58 and $56.94 at September 30 and December 31, 2006, respectively. Tangible equity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per share, which excludes goodwill and core deposit and other intangible assets and applicable deferred tax balances, was $29.48 at September 30, 2007, compared with $27.15 a year earlier and $28.57 at December 31, 2006. A reconciliation of total stockholders’ equity and tangible equity as of each of those respective dates is presented in table 2.</w:t>
      </w:r>
    </w:p>
    <w:p>
      <w:pPr>
        <w:spacing w:after="0" w:line="73"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Company adopted SFAS No. 158, “Employers’ Accounting for Defined Benefit Pension and Other Postretirement Plans,” effective December 31, 2006. Prior to the adoption of SFAS No. 158, the Company was required to recognize additional minimum pension liability amounts pursuant to the provisions of SFAS No. 87, “Employers’ Accounting for Pensions.” Adjustments to reflect the funded status of defined benefit pension and other postretirement plans as required under SFAS No. 158, net of applicable tax effect, reduced accumulated other comprehensive income by $28 million or by $.26 per share at both September 30, 2007 and December 31, 2006. Similar adjustments to recognize minimum pension liabilities as then required by SFAS No. 87, net of applicable tax effect, reduced stockholders’ equity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$49 million at September 30, 2006, or by $.45 per share.</w:t>
      </w:r>
    </w:p>
    <w:p>
      <w:pPr>
        <w:spacing w:after="0" w:line="103"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Net unrealized losses on available for sale investment securities were $58 million, or $.54 per common share, at September 30, 2007, compared with unrealized losses of $38 million, or $.34 per share, at September 30, 2006 and $25 million, or $.23 per share, at December 31, 2006. Such unrealized losses are generally due to changes in interest rates and represent the difference, net of applicable income tax effect, between the estimated fair value and amortized cost of investment securities classified as available for sale. Included in net unrealized losses on investment securities at September 30, 2007 were $66 million of unrealized losses (pre tax-effect) on three collateralized debt obligations with a cost basis of $132 million. The collateralized debt obligations were rated</w:t>
      </w:r>
    </w:p>
    <w:p>
      <w:pPr>
        <w:spacing w:after="0" w:line="2" w:lineRule="exact"/>
        <w:rPr>
          <w:sz w:val="20"/>
          <w:szCs w:val="20"/>
          <w:color w:val="auto"/>
        </w:rPr>
      </w:pPr>
    </w:p>
    <w:p>
      <w:pPr>
        <w:ind w:firstLine="8"/>
        <w:spacing w:after="0" w:line="267" w:lineRule="auto"/>
        <w:tabs>
          <w:tab w:leader="none" w:pos="4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or AA by a nationally recognized rating agency as of September 30, 2007, although two of the securities have been placed on negative watch status. The Company concluded as of September 30, 2007 that the impairment of such securities was largely attributable to a general lack of liquidity due to credit concerns which resulted in a widening of rate of return spreads required by market participants. The Company performed a detailed analysis of each of the collateralized debt obligations utilizing current loss expectations for the underlying collateral. Based on information available and conditions at September 30, 2007, the Company believed it would receive contractual principal and interest for each of the securities. Accordingly, the Company concluded that the collateralized debt obligations were not other than temporarily impaired as of September 30, 2007. Nevertheless, future credit losses could differ significantly from the assumptions used by management in those analyses that could lead to a different conclusion at a later date. The Company also had pre-tax unrealized losses of $46 million on privately issued mortgage-backed securities having a cost basis of $2.8 billion at September 30, 2007. As of that date, the Company believed it would receive all contractual principal and interest on such securities. As of September 30, 2007, the Company has the ability and intent to hold each of its impaired securities to recovery, which may be until maturity. The Company intends to closely monitor the performance of the collateralized debt obligations, the privately issued mortgage-backed securities and other securities to assess if changes in their underlying credit performance or other events cause the cost basis of these securities to become other than temporarily impaired. However, because the unrealized losses described have already been reflected in the financial statement values for investment securities and stockholders’ equity, any recognition of an other than temporary decline in value of these investment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would have no effect on the Company’s consolidated financial condition.</w:t>
      </w:r>
    </w:p>
    <w:p>
      <w:pPr>
        <w:spacing w:after="0" w:line="117"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Also reflected in accumulated other comprehensive income is a gain of $1 million, representing the unamortized gain on the termination of an interest rate swap agreement designated as a cash flow hedge that was entered into in anticipation of the Company issuing senior notes payable in the second quarter of 2007. In addition, net unrealized fair value losses associated with interest rate swap agreements designated as cash flow hedges were $2 million at September 30, 2007, representing approximately $.02 per share. There were no outstanding interest rate swap agreements designated as cash flow hedges at September 30 or December 31, 2006.</w:t>
      </w:r>
    </w:p>
    <w:p>
      <w:pPr>
        <w:spacing w:after="0" w:line="80"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In February 2007, M&amp;T announced that it had been authorized by its Board of Directors to purchase up to 5,000,000 shares of its common stock. During the quarter ended September 30, 2007, M&amp;T repurchased 675,000 shares of common stock pursuant to such plan at an average cost of $105.28 per share. During the first nine months of 2007, M&amp;T repurchased 4,389,800 shares of common stock (including 1,696,300 shares that were repurchased under a previous authorization that was completed in March 2007) at an average cost of $113.00 per share.</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At September 30, 2007, core capital included $689 million of the trust preferred securities described in note 4 of Notes to Financial Statements, and total capital further included $1.4 billion of subordinated notes.</w:t>
      </w:r>
    </w:p>
    <w:p>
      <w:pPr>
        <w:spacing w:after="0" w:line="7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generates significant amounts of regulatory capital. The rate of regulatory core capital generation, or net operating income (as previously defined) less the sum of dividends paid and the after-tax effect of merger-related expenses expressed as an annualized percentage of regulatory “core capital” at the beginning of each period was 14.02% during the third quarter of 2007, compared with 17.32% in the similar quarter of 2006 and 16.78% in the second quarter of 2007.</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September 30, 2007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7.44%</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6.74%</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55.22%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11.31%</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10.67%</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56.32%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7.09%</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6.44%</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Commercial Banking segment recorded net income of $56 million in the third quarter of 2007, slightly improved from $55 million in the year-earlier quarter, but below the $58 million earned in 2007’s second quarter. The improvement from the year-earlier quarter was the result of a $3 million decrease in the provision for credit losses, partially offset by higher personnel costs. The decrease from the second quarter of 2007 was largely the result of a decline in fees received for providing corporate advisory and loan syndication services of $4 million and $2 million, respectively. Partially offsetting those declines was a $4 million decrease in the provision for credit losses. Net income aggregated $171 million during the first nine months of 2007, compared with $169 million in the similar 2006 period. Contributing to that improvement was higher net interest income of $11 million, largely attributable to growth in average loan and deposit balances of $859 million and $164 million, respectively, partially offset by a 30 basis point narrowing of the segment’s net interest margin, and</w:t>
      </w:r>
    </w:p>
    <w:p>
      <w:pPr>
        <w:spacing w:after="0" w:line="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$4 million increases in fees received for providing corporate advisory and loan syndication services. Those factors were offset, in part, by a $6 million increase in the provision for credit losses, higher personnel costs of $4 million and a $3 million increase in other noninterest expenses.</w:t>
      </w:r>
    </w:p>
    <w:p>
      <w:pPr>
        <w:spacing w:after="0" w:line="5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Net income earned by the Commercial Real Estate segment was $35 million in the two most recent quarters, compared with $32 million in the third quarter of 2006. The favorable performance in the recent quarter as compared with the year-earlier quarter resulted from higher net interest income of $5 million, reflecting a $337 million increase in average loan balances outstanding and a 10 basis point increase in the loan net interest margin. A $2 million decline in commercial mortgage banking revenues from the second to the third quarter of 2007 was offset by a higher provision for credit losses and increased personnel costs. For the nine-month period ended September 30, 2007, net income totaled $102 million, compared with the $98 million in the corresponding 2006 period. The main factor for that improved performance was higher net interest income of $7 million, resulting largely from a $336 million increase in average loan balances outstanding.</w:t>
      </w:r>
    </w:p>
    <w:p>
      <w:pPr>
        <w:spacing w:after="0" w:line="81"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Discretionary Portfolio segment contributed net income of $21 million in each of the second and third quarters of 2007, compared with $27 million in the third quarter of 2006. The decline from the third quarter of 2006 to the recent quarter was primarily due to the $13 million gain recognized in 2006 resulting from the accelerated recognition of a purchase accounting premium related to the call of an FHLB borrowing assumed in a previous acquisition, offset, in part, by higher revenues in the recent quarter from bank owned life insurance of $3 million. As compared with the immediately preceding quarter, a $3 million increase in revenues from bank owned life insurance was largely offset by lower net interest income of $2 million due to a 22 basis point decline in the loan net interest margin. Net income for this segment declined to $61 million during the first nine months of 2007 from $73 million in the similar 2006 period. That decline resulted from the previously mentioned gain on the FHLB borrowing in 2006 and a $6 million increase in the provision for credit losses resulting from higher net charge-offs of residential real estate loans.</w:t>
      </w:r>
    </w:p>
    <w:p>
      <w:pPr>
        <w:spacing w:after="0" w:line="7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Net income of the Residential Mortgage Banking segment was $6 million in the third quarter of 2007, down from $10 million in both the year-earlier quarter and the second quarter of 2007. The decline from the third quarter of 2006 was largely the result of lower gains from residential mortgage loan origination and sales activities of $7 million and a $6 million decrease in net interest income, mainly due to a $766 million decline in average loan balances outstanding. Partially offsetting those unfavorable factors were lower personnel costs of $6 million. As compared with the immediately preceding quarter, the recent quarter’s lower net income was primarily due to a $5 million partial reversal of the capitalized mortgage servicing rights valuation allowance recorded in 2007’s second quarter, while there was no similar reversal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2007. Net contribution for this segment was $14 million for the first nine months of 2007, compared with $44 million in the year-earlier period. The main contributors to that decline in net income were a $35 million decline in mortgage banking revenues and an $8 million decrease in net interest income. The lower mortgage banking revenues resulted from the $18 million loss recognized on Alt-A mortgage loans due to unfavorable market conditions experienced in the first quarter of 2007 and lower gains from residential mortgage loan origination and sales activities of $26 million due to a combination of lower sold volume and slimmer margins realized due to changes in market conditions. Those factors were partially offset by higher mortgage servicing revenues. The decline in net interest income was due to a $303 million decrease in average loan balances outstanding. Also contributing to the unfavorable performance were reversals of a portion of the valuation allowance for the impairment of capitalized mortgage servicing rights, which totaled $6 million in 2007 and $10 million in 2006.</w:t>
      </w:r>
    </w:p>
    <w:p>
      <w:pPr>
        <w:spacing w:after="0" w:line="84"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Net income for the Retail Banking segment aggregated $116 million in the third quarter of 2007, improved from $110 million in the year-earlier quarter but below the $120 million recorded in 2007’s second quarter. The favorable performance in the recent quarter as compared with the corresponding 2006 period was the result of an increase in net interest income of $9 million, higher service charges on deposit accounts of $4 million and a decline in noninterest expenses of $3 million. Partially offsetting those favorable factors was a $7 million increase in the provision for credit losses. The rise in net interest income resulted from a 30 basis point widening of the deposit net interest margin, partially offset by the impact of a $1.2 billion decline in average deposit balances. The unfavorable performance as compared with the second quarter of 2007 reflects an increase in the provision for credit losses of $4 million due to higher consumer loan charge-offs. For the first nine months of 2007, the Retail Banking segment’s net income increased 13% to $343 million from $305 million in the year-earlier period. The favorable performance was due to a $62 million increase in net interest income, resulting from a 35 basis point rise in the deposit net interest margin, and a $20 million increase in deposit service charge revenues, offset, in part, by a $17 million rise in the provision for credit losses, reflecting higher loan charge-offs.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as determined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SFAS No. 131, such as the M&amp;T Investment Group, which includes the Company’s trust, brokerage and insurance businesses. Also reflected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category are the amortization of core deposit and other intangible assets resulting from acquisitions of financial institutions, M&amp;T’s equity in the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BLG, merger-related expenses resulting from acquisitions and the net impact of the Company’s allocation methodologies for internal funds transfer pricing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provision for credit losses. The various components of the “All Other” category resulted in net losses of $35 million in the third quarter of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 million in the year-earlier quarter and $30 million in the second quarter of 2007. Contributing to the net losses incurred in each of those quarters were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allocation methodologies for internal transfers for funding charges and credits associated with earning assets and interest-bearing liabilities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reportable segments and the provision for credit losses. The recent quarter’s performance also reflects a $9 million reduction of net income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M&amp;T’s investment in BLG, inclusive of interest expense to fund that investment, while the second quarter’s results reflect a $2 million addition to net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that investment. The net loss incurred in the third quarter of 2006 reflects the $18 million charitable contribution made by M&amp;T Bank to the M&amp;T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Charitable Foundation. For the first nine months of 2007 and 2006, the “All Other” segment reported net losses of $102 million and $63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higher net loss experienced in 2007 resulted from the impact of the Company’s allocation methodologies for internal transfers for funding charges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credits associated with earning assets and interest-bearing liabilities of the Company’s reportable segments and the provision for credit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losses; an increase in personnel costs of the business units that are included in the “All Other” category; the loss from M&amp;T’s investment in BLG and higher charges for the amortization of core deposit and other intangible assets. Partially offsetting those factors was the previously mentioned charitable contribution made in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2006, the Financial Accounting Standards Board (“FASB”) issued SFAS No. 157, “Fair Value Measurements.”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 The disclosures focus on the inputs used to measure fair value and the effect of the measurements on earnings for the period. SFAS No. 157 is effective for financial statements issued for fiscal years beginning after November 15, 2007, and interim periods within those fiscal years, with early application permitted as of the beginning of a preceding fiscal year, provided that the reporting entity has not yet issued financial statements for that fiscal year. The provisions generally should be applied prospectively as of the beginning of the fiscal year in which SFAS No. 157 is applied, with certain provisions required to be applied retrospectively. Many of the Company’s assets, liabilities and off-balance sheet positions are required to either be accounted for or disclosed using fair value as their relevant measurement attribute. The Company has not early adopted SFAS No. 157 but, rather, will adopt its provisions as required effective January 1, 2008.</w:t>
      </w:r>
    </w:p>
    <w:p>
      <w:pPr>
        <w:spacing w:after="0" w:line="7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which permits entities to choose to measure eligible financial instruments and other items at fair value. The objective of SFAS No. 159 is to improve financial reporting by providing entities with the opportunity to mitigate volatility in reported earnings caused by measuring related assets and liabilities differently without having to apply complex hedge accounting provisions. After adopting SFAS No. 159, an entity shall report unrealized gains and losses on items for which the fair value option has been elected in earnings at each subsequent reporting date. The fair value option may generally be applied on an instrument by instrument basis and is an irrevocable election. SFAS No. 159 is effective as of the beginning of an entity’s first fiscal year that begins after November 15, 2007. Early adoption is permitted as of the beginning of a fiscal year that begins on or before November 15, 2007, provided the entity also elects to apply the provisions of SFAS No. 157. SFAS No. 159 generally permits prospective application to eligible items existing at the effective date. The Company has not early adopted SFAS No. 159 and is still evaluating to what extent it may make any fair value elections effective January 1, 2008.</w:t>
      </w:r>
    </w:p>
    <w:p>
      <w:pPr>
        <w:spacing w:after="0" w:line="5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Emerging Issues Task Force (“EITF”) reached a final consensus on Issue 06-04, “Accounting for Deferred Compensation and Postretirement Benefit Aspects of Endorsement Split-Dollar Life Insurance Arrangements” and on Issue 06-10, “Accounting for Deferred Compensation and Postretirement Benefit Aspects of Collateral Assignment Split-Dollar Life Insurance Arrangements,” at its September 2006 and March 2007 meetings, respectively. The EITF consensus for each issue stipulates that an agreement by an employer to share a portion of the proceeds of a life insurance policy with an employee during the postretirement period is a postretirement benefit arrangement required to be accounted for under SFAS No. 106, “Employers’ Accounting for Postretirement Benefits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Than Pensions,” or Accounting Principles Board Opinion (“APB”) No. 12, “Omnibus Opinion – 1967.” Each consensus concludes that the purchase of a split-dollar life insurance policy does not constitute a settlement under SFAS No. 106 and, therefore, a liability for the postretirement obligation must be recognized under SFAS No. 106 if the benefit is offered under an arrangement that constitutes a plan or under APB No. 12 if it is not part of a plan. Issue 06-04 and Issue 06-10 are effective for annual or interim reporting periods beginning after December 15, 2007. The provisions of both Issue 06-04 and Issue 06-10 should be applied through either a cumulative effect adjustment to retained earnings as of the beginning of the year of adoption or retrospective application. The Company has endorsement and collateral assignment split-dollar life insurance policies that it inherited through certain acquisitions that are associated with individuals who are no longer active employees. The Company does not anticipate that the adoption of the provisions of Issue 06-04 and Issue 06-10 on January 1, 2008 will have a material effect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w w:val="89"/>
              </w:rPr>
              <w:t>Table 1</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2007 Quarters</w:t>
            </w: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891"/>
              <w:spacing w:after="0"/>
              <w:rPr>
                <w:sz w:val="20"/>
                <w:szCs w:val="20"/>
                <w:color w:val="auto"/>
              </w:rPr>
            </w:pPr>
            <w:r>
              <w:rPr>
                <w:rFonts w:ascii="Arial" w:cs="Arial" w:eastAsia="Arial" w:hAnsi="Arial"/>
                <w:sz w:val="14"/>
                <w:szCs w:val="14"/>
                <w:color w:val="auto"/>
              </w:rPr>
              <w:t>2006 Quarters</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color w:val="auto"/>
              </w:rPr>
              <w:t>Third</w:t>
            </w:r>
          </w:p>
        </w:tc>
        <w:tc>
          <w:tcPr>
            <w:tcW w:w="136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Second</w:t>
            </w:r>
          </w:p>
        </w:tc>
        <w:tc>
          <w:tcPr>
            <w:tcW w:w="13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First</w:t>
            </w:r>
          </w:p>
        </w:tc>
        <w:tc>
          <w:tcPr>
            <w:tcW w:w="13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color w:val="auto"/>
              </w:rPr>
              <w:t>Fourth</w:t>
            </w:r>
          </w:p>
        </w:tc>
        <w:tc>
          <w:tcPr>
            <w:tcW w:w="13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Third</w:t>
            </w:r>
          </w:p>
        </w:tc>
        <w:tc>
          <w:tcPr>
            <w:tcW w:w="13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color w:val="auto"/>
              </w:rPr>
              <w:t>Second</w:t>
            </w:r>
          </w:p>
        </w:tc>
        <w:tc>
          <w:tcPr>
            <w:tcW w:w="11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i w:val="1"/>
                <w:iCs w:val="1"/>
                <w:color w:val="auto"/>
              </w:rPr>
              <w:t>Amounts in thousands,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i w:val="1"/>
                <w:iCs w:val="1"/>
                <w:color w:val="auto"/>
              </w:rPr>
              <w:t>except per share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(taxable-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 basis)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6"/>
              </w:rPr>
              <w:t>898,126</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883,148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866,172</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876,197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858,008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817,552</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782,003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6"/>
              </w:rPr>
              <w:t>425,326</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416,264</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410,622</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404,356</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395,652</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366,298</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330,246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6"/>
              </w:rPr>
              <w:t>472,800</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466,884</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455,550</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471,841</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462,356</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451,254</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451,757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Less: provision for credit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losses</w:t>
            </w:r>
          </w:p>
        </w:tc>
        <w:tc>
          <w:tcPr>
            <w:tcW w:w="30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34,000</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30,000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27,000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28,000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17,000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17,000</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6"/>
              </w:rPr>
              <w:t>252,899</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283,117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236,483</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256,417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273,902</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262,602</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252,931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6"/>
              </w:rPr>
              <w:t>390,528</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392,651</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399,037</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383,810</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408,941</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376,997</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382,003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before income taxes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6"/>
              </w:rPr>
              <w:t>301,171</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327,350</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265,996</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316,448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310,317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319,859</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304,685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30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96,872</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108,209</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84,900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97,996</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94,775</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102,645</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97,037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Taxable-equivalent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5,112</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4,972</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5,123</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5,123</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5,172</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4,641</w:t>
            </w: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6"/>
              </w:rPr>
              <w:t>199,187</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214,169</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175,973</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213,329</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210,370</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212,573</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202,917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data</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1.86</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1.98</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1.60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1.93</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1.89</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1.91</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1.83</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1.95</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1.57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1.85</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1.87</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.70</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.60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.60</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common shares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w w:val="86"/>
              </w:rPr>
              <w:t>107,056</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107,939</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109,694</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110,705</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111,047</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111,259</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111,693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86"/>
              </w:rPr>
              <w:t>108,957</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109,919</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112,187</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113,468</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113,897</w:t>
            </w:r>
          </w:p>
        </w:tc>
        <w:tc>
          <w:tcPr>
            <w:tcW w:w="13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113,968</w:t>
            </w: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114,347</w:t>
            </w:r>
          </w:p>
        </w:tc>
        <w:tc>
          <w:tcPr>
            <w:tcW w:w="20" w:type="dxa"/>
            <w:vAlign w:val="bottom"/>
          </w:tcPr>
          <w:p>
            <w:pPr>
              <w:spacing w:after="0"/>
              <w:rPr>
                <w:sz w:val="18"/>
                <w:szCs w:val="18"/>
                <w:color w:val="auto"/>
              </w:rPr>
            </w:pPr>
          </w:p>
        </w:tc>
      </w:tr>
      <w:tr>
        <w:trPr>
          <w:trHeight w:val="20"/>
        </w:trPr>
        <w:tc>
          <w:tcPr>
            <w:tcW w:w="2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b w:val="1"/>
                <w:bCs w:val="1"/>
                <w:color w:val="auto"/>
              </w:rPr>
              <w:t>Performance ratios,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b w:val="1"/>
                <w:bCs w:val="1"/>
                <w:color w:val="auto"/>
              </w:rPr>
              <w:t>annualized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Return 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Average assets</w:t>
            </w:r>
          </w:p>
        </w:tc>
        <w:tc>
          <w:tcPr>
            <w:tcW w:w="30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1.37%</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1.49%</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1.25%</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1.50%</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1.49%</w:t>
            </w: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1.54%</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common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12.78%</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13.92%</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11.38%</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13.55%</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13.72%</w:t>
            </w: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14.35%</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Net interest margin 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average earning assets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(taxable-equivalent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basis)</w:t>
            </w:r>
          </w:p>
        </w:tc>
        <w:tc>
          <w:tcPr>
            <w:tcW w:w="300" w:type="dxa"/>
            <w:vAlign w:val="bottom"/>
          </w:tcPr>
          <w:p>
            <w:pPr>
              <w:spacing w:after="0"/>
              <w:rPr>
                <w:sz w:val="20"/>
                <w:szCs w:val="20"/>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3.65%</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3.67%</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3.64%</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3.73%</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3.68%</w:t>
            </w: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3.66%</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to</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total loans and leases,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unearned discount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.68%</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.63%</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w:t>
            </w: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53.80%</w:t>
            </w:r>
          </w:p>
        </w:tc>
        <w:tc>
          <w:tcPr>
            <w:tcW w:w="13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52.37%</w:t>
            </w: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57.75%</w:t>
            </w: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52.79%</w:t>
            </w: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55.47%</w:t>
            </w:r>
          </w:p>
        </w:tc>
        <w:tc>
          <w:tcPr>
            <w:tcW w:w="13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52.29%</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operating</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(tangible) results (b)</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Net income (in thousands)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1"/>
              <w:spacing w:after="0"/>
              <w:rPr>
                <w:sz w:val="20"/>
                <w:szCs w:val="20"/>
                <w:color w:val="auto"/>
              </w:rPr>
            </w:pPr>
            <w:r>
              <w:rPr>
                <w:rFonts w:ascii="Arial" w:cs="Arial" w:eastAsia="Arial" w:hAnsi="Arial"/>
                <w:sz w:val="18"/>
                <w:szCs w:val="18"/>
                <w:color w:val="auto"/>
                <w:w w:val="86"/>
              </w:rPr>
              <w:t>208,749</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224,190</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187,162</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224,733</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223,228</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221,838</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210,856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1.92</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2.04</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1.67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1.96</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1.95</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Annualized return 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1.65%</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1.40%</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1.67%</w:t>
            </w:r>
          </w:p>
        </w:tc>
        <w:tc>
          <w:tcPr>
            <w:tcW w:w="13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1.67%</w:t>
            </w: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1.69%</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Average tangible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common stockholders’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0"/>
                <w:szCs w:val="20"/>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26.80%</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29.35%</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24.11%</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28.71%</w:t>
            </w:r>
          </w:p>
        </w:tc>
        <w:tc>
          <w:tcPr>
            <w:tcW w:w="1340" w:type="dxa"/>
            <w:vAlign w:val="bottom"/>
          </w:tcPr>
          <w:p>
            <w:pPr>
              <w:jc w:val="right"/>
              <w:ind w:right="211"/>
              <w:spacing w:after="0"/>
              <w:rPr>
                <w:sz w:val="20"/>
                <w:szCs w:val="20"/>
                <w:color w:val="auto"/>
              </w:rPr>
            </w:pPr>
            <w:r>
              <w:rPr>
                <w:rFonts w:ascii="Arial" w:cs="Arial" w:eastAsia="Arial" w:hAnsi="Arial"/>
                <w:sz w:val="18"/>
                <w:szCs w:val="18"/>
                <w:color w:val="auto"/>
              </w:rPr>
              <w:t>30.22%</w:t>
            </w: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30.02%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29.31%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51.64%</w:t>
            </w:r>
          </w:p>
        </w:tc>
        <w:tc>
          <w:tcPr>
            <w:tcW w:w="1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50.18%</w:t>
            </w:r>
          </w:p>
        </w:tc>
        <w:tc>
          <w:tcPr>
            <w:tcW w:w="13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55.09%</w:t>
            </w:r>
          </w:p>
        </w:tc>
        <w:tc>
          <w:tcPr>
            <w:tcW w:w="13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50.22%</w:t>
            </w:r>
          </w:p>
        </w:tc>
        <w:tc>
          <w:tcPr>
            <w:tcW w:w="13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52.76%</w:t>
            </w:r>
          </w:p>
        </w:tc>
        <w:tc>
          <w:tcPr>
            <w:tcW w:w="1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50.70%</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52.36%</w:t>
            </w:r>
          </w:p>
        </w:tc>
        <w:tc>
          <w:tcPr>
            <w:tcW w:w="20" w:type="dxa"/>
            <w:vAlign w:val="bottom"/>
          </w:tcPr>
          <w:p>
            <w:pPr>
              <w:spacing w:after="0"/>
              <w:rPr>
                <w:sz w:val="18"/>
                <w:szCs w:val="18"/>
                <w:color w:val="auto"/>
              </w:rPr>
            </w:pPr>
          </w:p>
        </w:tc>
      </w:tr>
      <w:tr>
        <w:trPr>
          <w:trHeight w:val="20"/>
        </w:trPr>
        <w:tc>
          <w:tcPr>
            <w:tcW w:w="2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In millions, except per share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Average balances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57,862</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57,523</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57,207</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56,575</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56,158</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55,498</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30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54,766</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54,415</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54,085</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53,437</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53,004</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52,522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52,130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51,325</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50,982</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50,693</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50,235</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49,849</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49,443</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49,066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7,260</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6,886</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7,214</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7,556</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7,898</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8,314</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8,383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and leases, net of</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43,750</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43,572</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43,114</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42,474</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41,710</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40,980</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40,544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36,936</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37,048</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37,966</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38,504</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39,158</w:t>
            </w:r>
          </w:p>
        </w:tc>
        <w:tc>
          <w:tcPr>
            <w:tcW w:w="1340" w:type="dxa"/>
            <w:vAlign w:val="bottom"/>
          </w:tcPr>
          <w:p>
            <w:pPr>
              <w:jc w:val="right"/>
              <w:ind w:right="371"/>
              <w:spacing w:after="0"/>
              <w:rPr>
                <w:sz w:val="20"/>
                <w:szCs w:val="20"/>
                <w:color w:val="auto"/>
              </w:rPr>
            </w:pPr>
            <w:r>
              <w:rPr>
                <w:rFonts w:ascii="Arial" w:cs="Arial" w:eastAsia="Arial" w:hAnsi="Arial"/>
                <w:sz w:val="18"/>
                <w:szCs w:val="18"/>
                <w:color w:val="auto"/>
              </w:rPr>
              <w:t>38,435</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37,569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 (c)</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6,186</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6,172</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6,270</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6,244</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6,085</w:t>
            </w:r>
          </w:p>
        </w:tc>
        <w:tc>
          <w:tcPr>
            <w:tcW w:w="13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5,940</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Tangible stockholders’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equity (c)</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3,090</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3,064</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3,148</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3,106</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2,931</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2,964</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ectPr>
          <w:pgSz w:w="11900" w:h="16838" w:orient="portrait"/>
          <w:cols w:equalWidth="0" w:num="1">
            <w:col w:w="11420"/>
          </w:cols>
          <w:pgMar w:left="240" w:top="419"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w w:val="94"/>
              </w:rPr>
              <w:t>60,008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57,869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57,842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57,065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56,373</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56,507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55,420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56,919</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54,767</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54,727</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53,936</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53,227</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53,345</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52,443</w:t>
            </w: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3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w w:val="94"/>
              </w:rPr>
              <w:t>53,267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51,131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51,046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50,379</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49,950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49,628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49,281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8,003</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6,982</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7,028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7,252</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7,626</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7,903</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8,294</w:t>
            </w:r>
          </w:p>
        </w:tc>
      </w:tr>
      <w:tr>
        <w:trPr>
          <w:trHeight w:val="202"/>
        </w:trPr>
        <w:tc>
          <w:tcPr>
            <w:tcW w:w="20" w:type="dxa"/>
            <w:vAlign w:val="bottom"/>
          </w:tcPr>
          <w:p>
            <w:pPr>
              <w:spacing w:after="0"/>
              <w:rPr>
                <w:sz w:val="17"/>
                <w:szCs w:val="17"/>
                <w:color w:val="auto"/>
              </w:rPr>
            </w:pPr>
          </w:p>
        </w:tc>
        <w:tc>
          <w:tcPr>
            <w:tcW w:w="2220" w:type="dxa"/>
            <w:vAlign w:val="bottom"/>
          </w:tcPr>
          <w:p>
            <w:pPr>
              <w:ind w:left="200"/>
              <w:spacing w:after="0" w:line="201" w:lineRule="exact"/>
              <w:rPr>
                <w:sz w:val="20"/>
                <w:szCs w:val="20"/>
                <w:color w:val="auto"/>
              </w:rPr>
            </w:pPr>
            <w:r>
              <w:rPr>
                <w:rFonts w:ascii="Arial" w:cs="Arial" w:eastAsia="Arial" w:hAnsi="Arial"/>
                <w:sz w:val="18"/>
                <w:szCs w:val="18"/>
                <w:color w:val="auto"/>
              </w:rPr>
              <w:t>Loans and leases, net of</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unearned discount</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w w:val="94"/>
              </w:rPr>
              <w:t>44,778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43,744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43,507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42,947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42,098</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41,599</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40,859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38,473</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39,419</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38,938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39,911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39,079</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38,514</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38,171</w:t>
            </w: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Stockholders’ equity (c)</w:t>
            </w:r>
          </w:p>
        </w:tc>
        <w:tc>
          <w:tcPr>
            <w:tcW w:w="3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6,238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6,175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6,253</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6,281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6,151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6,000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5,919</w:t>
            </w: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Tangible stockholders’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(c)</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3,149</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3,073</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3,138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3,152</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3,005</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2,838</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2,942</w:t>
            </w:r>
          </w:p>
        </w:tc>
      </w:tr>
      <w:tr>
        <w:trPr>
          <w:trHeight w:val="202"/>
        </w:trPr>
        <w:tc>
          <w:tcPr>
            <w:tcW w:w="20" w:type="dxa"/>
            <w:vAlign w:val="bottom"/>
          </w:tcPr>
          <w:p>
            <w:pPr>
              <w:spacing w:after="0"/>
              <w:rPr>
                <w:sz w:val="17"/>
                <w:szCs w:val="17"/>
                <w:color w:val="auto"/>
              </w:rPr>
            </w:pPr>
          </w:p>
        </w:tc>
        <w:tc>
          <w:tcPr>
            <w:tcW w:w="2220" w:type="dxa"/>
            <w:vAlign w:val="bottom"/>
          </w:tcPr>
          <w:p>
            <w:pPr>
              <w:ind w:left="200"/>
              <w:spacing w:after="0" w:line="201" w:lineRule="exact"/>
              <w:rPr>
                <w:sz w:val="20"/>
                <w:szCs w:val="20"/>
                <w:color w:val="auto"/>
              </w:rPr>
            </w:pPr>
            <w:r>
              <w:rPr>
                <w:rFonts w:ascii="Arial" w:cs="Arial" w:eastAsia="Arial" w:hAnsi="Arial"/>
                <w:sz w:val="18"/>
                <w:szCs w:val="18"/>
                <w:color w:val="auto"/>
              </w:rPr>
              <w:t>Equity per common</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58.40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57.59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57.32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56.94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55.58</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54.01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53.11</w:t>
            </w: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Tangible equity per</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common share</w:t>
            </w: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29.48</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28.66</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28.77</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28.57</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27.15</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25.55</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26.41</w:t>
            </w:r>
          </w:p>
        </w:tc>
      </w:tr>
      <w:tr>
        <w:trPr>
          <w:trHeight w:val="20"/>
        </w:trPr>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2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b w:val="1"/>
                <w:bCs w:val="1"/>
                <w:color w:val="auto"/>
              </w:rPr>
              <w:t>Market price per common</w:t>
            </w: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b w:val="1"/>
                <w:bCs w:val="1"/>
                <w:color w:val="auto"/>
              </w:rPr>
              <w:t>share</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4"/>
              </w:rPr>
              <w:t>115.81</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114.33</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125.13</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124.98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124.94</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119.93</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117.39</w:t>
            </w: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97.26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104.00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112.05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117.31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116.00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112.90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105.72</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Closing</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4"/>
              </w:rPr>
              <w:t>103.45</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106.90</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115.83</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122.16</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119.96</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117.92</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114.14</w:t>
            </w: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76" w:lineRule="exact"/>
        <w:rPr>
          <w:rFonts w:ascii="Arial" w:cs="Arial" w:eastAsia="Arial" w:hAnsi="Arial"/>
          <w:sz w:val="18"/>
          <w:szCs w:val="18"/>
          <w:color w:val="auto"/>
        </w:rPr>
      </w:pPr>
    </w:p>
    <w:p>
      <w:pPr>
        <w:jc w:val="both"/>
        <w:ind w:left="460" w:right="1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60" w:right="480" w:hanging="452"/>
        <w:spacing w:after="0" w:line="34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line="4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w w:val="89"/>
              </w:rPr>
              <w:t>Table 2</w:t>
            </w:r>
          </w:p>
        </w:tc>
      </w:tr>
      <w:tr>
        <w:trPr>
          <w:trHeight w:val="432"/>
        </w:trPr>
        <w:tc>
          <w:tcPr>
            <w:tcW w:w="6240" w:type="dxa"/>
            <w:vAlign w:val="bottom"/>
            <w:gridSpan w:val="6"/>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2007 Quarters</w:t>
            </w: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891"/>
              <w:spacing w:after="0"/>
              <w:rPr>
                <w:sz w:val="20"/>
                <w:szCs w:val="20"/>
                <w:color w:val="auto"/>
              </w:rPr>
            </w:pPr>
            <w:r>
              <w:rPr>
                <w:rFonts w:ascii="Arial" w:cs="Arial" w:eastAsia="Arial" w:hAnsi="Arial"/>
                <w:sz w:val="14"/>
                <w:szCs w:val="14"/>
                <w:color w:val="auto"/>
              </w:rPr>
              <w:t>2006 Quarters</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color w:val="auto"/>
              </w:rPr>
              <w:t>Third</w:t>
            </w:r>
          </w:p>
        </w:tc>
        <w:tc>
          <w:tcPr>
            <w:tcW w:w="13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color w:val="auto"/>
              </w:rPr>
              <w:t>Second</w:t>
            </w:r>
          </w:p>
        </w:tc>
        <w:tc>
          <w:tcPr>
            <w:tcW w:w="13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color w:val="auto"/>
              </w:rPr>
              <w:t>First</w:t>
            </w:r>
          </w:p>
        </w:tc>
        <w:tc>
          <w:tcPr>
            <w:tcW w:w="13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color w:val="auto"/>
              </w:rPr>
              <w:t>Fourth</w:t>
            </w:r>
          </w:p>
        </w:tc>
        <w:tc>
          <w:tcPr>
            <w:tcW w:w="132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color w:val="auto"/>
              </w:rPr>
              <w:t>Third</w:t>
            </w:r>
          </w:p>
        </w:tc>
        <w:tc>
          <w:tcPr>
            <w:tcW w:w="136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Second</w:t>
            </w:r>
          </w:p>
        </w:tc>
        <w:tc>
          <w:tcPr>
            <w:tcW w:w="11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i w:val="1"/>
                <w:iCs w:val="1"/>
                <w:color w:val="auto"/>
              </w:rPr>
              <w:t>In thousands, except per</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i w:val="1"/>
                <w:iCs w:val="1"/>
                <w:color w:val="auto"/>
              </w:rPr>
              <w:t>share</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color w:val="auto"/>
              </w:rPr>
              <w:t>$199,187</w:t>
            </w: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214,169</w:t>
            </w: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175,973</w:t>
            </w: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213,329</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210,370</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212,573</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202,917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 and other</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(a)</w:t>
            </w:r>
          </w:p>
        </w:tc>
        <w:tc>
          <w:tcPr>
            <w:tcW w:w="13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9,562</w:t>
            </w:r>
          </w:p>
        </w:tc>
        <w:tc>
          <w:tcPr>
            <w:tcW w:w="13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10,021</w:t>
            </w:r>
          </w:p>
        </w:tc>
        <w:tc>
          <w:tcPr>
            <w:tcW w:w="13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11,189</w:t>
            </w:r>
          </w:p>
        </w:tc>
        <w:tc>
          <w:tcPr>
            <w:tcW w:w="13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11,404</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12,154</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6,921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7,939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Merger-related expenses</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(a)</w:t>
            </w:r>
          </w:p>
        </w:tc>
        <w:tc>
          <w:tcPr>
            <w:tcW w:w="60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704</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2,344</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operating income</w:t>
            </w:r>
          </w:p>
        </w:tc>
        <w:tc>
          <w:tcPr>
            <w:tcW w:w="136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$208,749</w:t>
            </w:r>
          </w:p>
        </w:tc>
        <w:tc>
          <w:tcPr>
            <w:tcW w:w="13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224,190</w:t>
            </w:r>
          </w:p>
        </w:tc>
        <w:tc>
          <w:tcPr>
            <w:tcW w:w="132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187,162</w:t>
            </w:r>
          </w:p>
        </w:tc>
        <w:tc>
          <w:tcPr>
            <w:tcW w:w="134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224,733</w:t>
            </w:r>
          </w:p>
        </w:tc>
        <w:tc>
          <w:tcPr>
            <w:tcW w:w="132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223,228</w:t>
            </w:r>
          </w:p>
        </w:tc>
        <w:tc>
          <w:tcPr>
            <w:tcW w:w="136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221,838</w:t>
            </w:r>
          </w:p>
        </w:tc>
        <w:tc>
          <w:tcPr>
            <w:tcW w:w="11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210,856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1"/>
              </w:rPr>
              <w:t>1.83</w:t>
            </w:r>
          </w:p>
        </w:tc>
        <w:tc>
          <w:tcPr>
            <w:tcW w:w="13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1.95</w:t>
            </w:r>
          </w:p>
        </w:tc>
        <w:tc>
          <w:tcPr>
            <w:tcW w:w="13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1.57</w:t>
            </w:r>
          </w:p>
        </w:tc>
        <w:tc>
          <w:tcPr>
            <w:tcW w:w="13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1.88</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1.85</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1.87</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Amortization of core</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deposit and other</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intangible assets (a)</w:t>
            </w:r>
          </w:p>
        </w:tc>
        <w:tc>
          <w:tcPr>
            <w:tcW w:w="60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.10</w:t>
            </w: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.06</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Merger-related expenses</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6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Diluted net operating</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earnings per share</w:t>
            </w: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1"/>
              </w:rPr>
              <w:t>1.92</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2.04</w:t>
            </w: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1.67</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1.98</w:t>
            </w: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1.96</w:t>
            </w:r>
          </w:p>
        </w:tc>
        <w:tc>
          <w:tcPr>
            <w:tcW w:w="13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1.95</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Other expense</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color w:val="auto"/>
              </w:rPr>
              <w:t>$390,528</w:t>
            </w: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392,651</w:t>
            </w: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399,037</w:t>
            </w: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383,810</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408,941</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376,997</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382,003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 and other</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(15,702)</w:t>
            </w:r>
          </w:p>
        </w:tc>
        <w:tc>
          <w:tcPr>
            <w:tcW w:w="13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(16,457)</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(18,356)</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(18,687)</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(19,936)</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(11,357)</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(13,028)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(1,155)</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(3,842)</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Noninterest operating</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136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$374,826</w:t>
            </w:r>
          </w:p>
        </w:tc>
        <w:tc>
          <w:tcPr>
            <w:tcW w:w="13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376,194</w:t>
            </w:r>
          </w:p>
        </w:tc>
        <w:tc>
          <w:tcPr>
            <w:tcW w:w="13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380,681</w:t>
            </w:r>
          </w:p>
        </w:tc>
        <w:tc>
          <w:tcPr>
            <w:tcW w:w="13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365,123</w:t>
            </w:r>
          </w:p>
        </w:tc>
        <w:tc>
          <w:tcPr>
            <w:tcW w:w="13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387,850</w:t>
            </w:r>
          </w:p>
        </w:tc>
        <w:tc>
          <w:tcPr>
            <w:tcW w:w="13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361,798</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368,975</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Salaries and employee</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305</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510</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Equipment and net</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occupancy</w:t>
            </w:r>
          </w:p>
        </w:tc>
        <w:tc>
          <w:tcPr>
            <w:tcW w:w="60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212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Printing, postage and</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supplies</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141</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697</w:t>
            </w:r>
          </w:p>
        </w:tc>
        <w:tc>
          <w:tcPr>
            <w:tcW w:w="13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3,106</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1,155</w:t>
            </w:r>
          </w:p>
        </w:tc>
        <w:tc>
          <w:tcPr>
            <w:tcW w:w="13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3,842</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$57,862</w:t>
            </w:r>
          </w:p>
        </w:tc>
        <w:tc>
          <w:tcPr>
            <w:tcW w:w="13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57,523</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57,207</w:t>
            </w:r>
          </w:p>
        </w:tc>
        <w:tc>
          <w:tcPr>
            <w:tcW w:w="13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56,575</w:t>
            </w:r>
          </w:p>
        </w:tc>
        <w:tc>
          <w:tcPr>
            <w:tcW w:w="13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56,158</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55,498</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(2,909)</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(2,909)</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(2,909)</w:t>
            </w:r>
          </w:p>
        </w:tc>
        <w:tc>
          <w:tcPr>
            <w:tcW w:w="1360" w:type="dxa"/>
            <w:vAlign w:val="bottom"/>
          </w:tcPr>
          <w:p>
            <w:pPr>
              <w:jc w:val="right"/>
              <w:ind w:right="291"/>
              <w:spacing w:after="0"/>
              <w:rPr>
                <w:sz w:val="20"/>
                <w:szCs w:val="20"/>
                <w:color w:val="auto"/>
              </w:rPr>
            </w:pPr>
            <w:r>
              <w:rPr>
                <w:rFonts w:ascii="Arial" w:cs="Arial" w:eastAsia="Arial" w:hAnsi="Arial"/>
                <w:sz w:val="18"/>
                <w:szCs w:val="18"/>
                <w:color w:val="auto"/>
              </w:rPr>
              <w:t>(2,909)</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(223)</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(241)</w:t>
            </w: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(261)</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(281)</w:t>
            </w:r>
          </w:p>
        </w:tc>
        <w:tc>
          <w:tcPr>
            <w:tcW w:w="13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(107)</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36</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136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$54,766</w:t>
            </w:r>
          </w:p>
        </w:tc>
        <w:tc>
          <w:tcPr>
            <w:tcW w:w="13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54,415</w:t>
            </w:r>
          </w:p>
        </w:tc>
        <w:tc>
          <w:tcPr>
            <w:tcW w:w="13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54,085</w:t>
            </w:r>
          </w:p>
        </w:tc>
        <w:tc>
          <w:tcPr>
            <w:tcW w:w="13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53,437</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53,004</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52,522</w:t>
            </w: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52,130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Average equity</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6,186</w:t>
            </w:r>
          </w:p>
        </w:tc>
        <w:tc>
          <w:tcPr>
            <w:tcW w:w="13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6,172</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6,270</w:t>
            </w:r>
          </w:p>
        </w:tc>
        <w:tc>
          <w:tcPr>
            <w:tcW w:w="13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6,244</w:t>
            </w:r>
          </w:p>
        </w:tc>
        <w:tc>
          <w:tcPr>
            <w:tcW w:w="13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6,085</w:t>
            </w:r>
          </w:p>
        </w:tc>
        <w:tc>
          <w:tcPr>
            <w:tcW w:w="13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5,940</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(2,909)</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(2,909)</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(2,909)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(2,909)</w:t>
            </w:r>
          </w:p>
        </w:tc>
        <w:tc>
          <w:tcPr>
            <w:tcW w:w="1360" w:type="dxa"/>
            <w:vAlign w:val="bottom"/>
          </w:tcPr>
          <w:p>
            <w:pPr>
              <w:jc w:val="right"/>
              <w:ind w:right="291"/>
              <w:spacing w:after="0"/>
              <w:rPr>
                <w:sz w:val="20"/>
                <w:szCs w:val="20"/>
                <w:color w:val="auto"/>
              </w:rPr>
            </w:pPr>
            <w:r>
              <w:rPr>
                <w:rFonts w:ascii="Arial" w:cs="Arial" w:eastAsia="Arial" w:hAnsi="Arial"/>
                <w:sz w:val="18"/>
                <w:szCs w:val="18"/>
                <w:color w:val="auto"/>
              </w:rPr>
              <w:t>(2,909)</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(223)</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(241)</w:t>
            </w: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(261)</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(281)</w:t>
            </w:r>
          </w:p>
        </w:tc>
        <w:tc>
          <w:tcPr>
            <w:tcW w:w="13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(107)</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36</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equity</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3,090</w:t>
            </w:r>
          </w:p>
        </w:tc>
        <w:tc>
          <w:tcPr>
            <w:tcW w:w="13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3,064</w:t>
            </w:r>
          </w:p>
        </w:tc>
        <w:tc>
          <w:tcPr>
            <w:tcW w:w="13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3,148</w:t>
            </w:r>
          </w:p>
        </w:tc>
        <w:tc>
          <w:tcPr>
            <w:tcW w:w="13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3,106</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2,931</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2,964</w:t>
            </w: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8"/>
                <w:szCs w:val="18"/>
                <w:color w:val="auto"/>
              </w:rPr>
            </w:pPr>
          </w:p>
        </w:tc>
      </w:tr>
      <w:tr>
        <w:trPr>
          <w:trHeight w:val="20"/>
        </w:trPr>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$60,008</w:t>
            </w:r>
          </w:p>
        </w:tc>
        <w:tc>
          <w:tcPr>
            <w:tcW w:w="1380" w:type="dxa"/>
            <w:vAlign w:val="bottom"/>
          </w:tcPr>
          <w:p>
            <w:pPr>
              <w:jc w:val="right"/>
              <w:ind w:right="271"/>
              <w:spacing w:after="0"/>
              <w:rPr>
                <w:sz w:val="20"/>
                <w:szCs w:val="20"/>
                <w:color w:val="auto"/>
              </w:rPr>
            </w:pPr>
            <w:r>
              <w:rPr>
                <w:rFonts w:ascii="Arial" w:cs="Arial" w:eastAsia="Arial" w:hAnsi="Arial"/>
                <w:sz w:val="18"/>
                <w:szCs w:val="18"/>
                <w:color w:val="auto"/>
              </w:rPr>
              <w:t>57,869</w:t>
            </w: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57,842</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57,065</w:t>
            </w: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56,373</w:t>
            </w:r>
          </w:p>
        </w:tc>
        <w:tc>
          <w:tcPr>
            <w:tcW w:w="1360" w:type="dxa"/>
            <w:vAlign w:val="bottom"/>
          </w:tcPr>
          <w:p>
            <w:pPr>
              <w:jc w:val="right"/>
              <w:ind w:right="351"/>
              <w:spacing w:after="0"/>
              <w:rPr>
                <w:sz w:val="20"/>
                <w:szCs w:val="20"/>
                <w:color w:val="auto"/>
              </w:rPr>
            </w:pPr>
            <w:r>
              <w:rPr>
                <w:rFonts w:ascii="Arial" w:cs="Arial" w:eastAsia="Arial" w:hAnsi="Arial"/>
                <w:sz w:val="18"/>
                <w:szCs w:val="18"/>
                <w:color w:val="auto"/>
              </w:rPr>
              <w:t>56,507</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55,420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(2,909)</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(2,909)</w:t>
            </w: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(2,909)</w:t>
            </w:r>
          </w:p>
        </w:tc>
        <w:tc>
          <w:tcPr>
            <w:tcW w:w="13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(2,909)</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Core deposit and other</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(232)</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(250)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(271)</w:t>
            </w:r>
          </w:p>
        </w:tc>
        <w:tc>
          <w:tcPr>
            <w:tcW w:w="1360" w:type="dxa"/>
            <w:vAlign w:val="bottom"/>
          </w:tcPr>
          <w:p>
            <w:pPr>
              <w:jc w:val="right"/>
              <w:ind w:right="291"/>
              <w:spacing w:after="0"/>
              <w:rPr>
                <w:sz w:val="20"/>
                <w:szCs w:val="20"/>
                <w:color w:val="auto"/>
              </w:rPr>
            </w:pPr>
            <w:r>
              <w:rPr>
                <w:rFonts w:ascii="Arial" w:cs="Arial" w:eastAsia="Arial" w:hAnsi="Arial"/>
                <w:sz w:val="18"/>
                <w:szCs w:val="18"/>
                <w:color w:val="auto"/>
              </w:rPr>
              <w:t>(291)</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34</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38</w:t>
            </w: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13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$56,919</w:t>
            </w: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54,767</w:t>
            </w:r>
          </w:p>
        </w:tc>
        <w:tc>
          <w:tcPr>
            <w:tcW w:w="13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54,727</w:t>
            </w: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53,936</w:t>
            </w:r>
          </w:p>
        </w:tc>
        <w:tc>
          <w:tcPr>
            <w:tcW w:w="13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53,227</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53,345</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52,443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ectPr>
          <w:pgSz w:w="11900" w:h="16884" w:orient="portrait"/>
          <w:cols w:equalWidth="0" w:num="1">
            <w:col w:w="11420"/>
          </w:cols>
          <w:pgMar w:left="240" w:top="419"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Total equity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6,238</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6,175</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6,253</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6,281</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6,151</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6,000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5,919</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1"/>
              </w:rPr>
              <w:t>(2,909)</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(2,909)</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(2,909)</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(2,909)</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(2,909)</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Core deposit and other</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(232)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(250)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(271)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(291)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(111)</w:t>
            </w:r>
          </w:p>
        </w:tc>
      </w:tr>
      <w:tr>
        <w:trPr>
          <w:trHeight w:val="216"/>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34</w:t>
            </w:r>
          </w:p>
        </w:tc>
        <w:tc>
          <w:tcPr>
            <w:tcW w:w="13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r>
      <w:tr>
        <w:trPr>
          <w:trHeight w:val="223"/>
        </w:trPr>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tangible equity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3,149</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3,073</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3,138</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3,152</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3,005</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2,838</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2,942</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6780" w:type="dxa"/>
            <w:vAlign w:val="bottom"/>
            <w:gridSpan w:val="7"/>
          </w:tcPr>
          <w:p>
            <w:pPr>
              <w:spacing w:after="0"/>
              <w:rPr>
                <w:sz w:val="20"/>
                <w:szCs w:val="20"/>
                <w:color w:val="auto"/>
              </w:rPr>
            </w:pPr>
            <w:r>
              <w:rPr>
                <w:rFonts w:ascii="Arial" w:cs="Arial" w:eastAsia="Arial" w:hAnsi="Arial"/>
                <w:sz w:val="18"/>
                <w:szCs w:val="18"/>
                <w:color w:val="auto"/>
                <w:w w:val="98"/>
              </w:rPr>
              <w:t>AVERAGE BALANCE SHEETS AND ANNUALIZED TAXABLE-EQUIVALENT RATES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6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Average</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w w:val="92"/>
              </w:rPr>
              <w:t>2007 Third Quarter</w:t>
            </w:r>
          </w:p>
        </w:tc>
        <w:tc>
          <w:tcPr>
            <w:tcW w:w="760" w:type="dxa"/>
            <w:vAlign w:val="bottom"/>
            <w:vMerge w:val="restart"/>
          </w:tcPr>
          <w:p>
            <w:pPr>
              <w:jc w:val="right"/>
              <w:ind w:right="91"/>
              <w:spacing w:after="0"/>
              <w:rPr>
                <w:sz w:val="20"/>
                <w:szCs w:val="20"/>
                <w:color w:val="auto"/>
              </w:rPr>
            </w:pPr>
            <w:r>
              <w:rPr>
                <w:rFonts w:ascii="Arial" w:cs="Arial" w:eastAsia="Arial" w:hAnsi="Arial"/>
                <w:sz w:val="14"/>
                <w:szCs w:val="14"/>
                <w:color w:val="auto"/>
              </w:rPr>
              <w:t>Average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00" w:type="dxa"/>
            <w:vAlign w:val="bottom"/>
          </w:tcPr>
          <w:p>
            <w:pPr>
              <w:jc w:val="right"/>
              <w:spacing w:after="0"/>
              <w:rPr>
                <w:sz w:val="20"/>
                <w:szCs w:val="20"/>
                <w:color w:val="auto"/>
              </w:rPr>
            </w:pPr>
            <w:r>
              <w:rPr>
                <w:rFonts w:ascii="Arial" w:cs="Arial" w:eastAsia="Arial" w:hAnsi="Arial"/>
                <w:sz w:val="14"/>
                <w:szCs w:val="14"/>
                <w:color w:val="auto"/>
                <w:w w:val="91"/>
              </w:rPr>
              <w:t>2007 Second Quarter</w:t>
            </w:r>
          </w:p>
        </w:tc>
        <w:tc>
          <w:tcPr>
            <w:tcW w:w="700" w:type="dxa"/>
            <w:vAlign w:val="bottom"/>
            <w:vMerge w:val="restart"/>
          </w:tcPr>
          <w:p>
            <w:pPr>
              <w:jc w:val="right"/>
              <w:ind w:right="91"/>
              <w:spacing w:after="0"/>
              <w:rPr>
                <w:sz w:val="20"/>
                <w:szCs w:val="20"/>
                <w:color w:val="auto"/>
              </w:rPr>
            </w:pPr>
            <w:r>
              <w:rPr>
                <w:rFonts w:ascii="Arial" w:cs="Arial" w:eastAsia="Arial" w:hAnsi="Arial"/>
                <w:sz w:val="14"/>
                <w:szCs w:val="14"/>
                <w:color w:val="auto"/>
                <w:w w:val="95"/>
              </w:rPr>
              <w:t>Average</w:t>
            </w: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w w:val="95"/>
              </w:rPr>
              <w:t>2007 First Quarter</w:t>
            </w: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Balance</w:t>
            </w: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191"/>
              <w:spacing w:after="0"/>
              <w:rPr>
                <w:sz w:val="20"/>
                <w:szCs w:val="20"/>
                <w:color w:val="auto"/>
              </w:rPr>
            </w:pPr>
            <w:r>
              <w:rPr>
                <w:rFonts w:ascii="Arial" w:cs="Arial" w:eastAsia="Arial" w:hAnsi="Arial"/>
                <w:sz w:val="14"/>
                <w:szCs w:val="14"/>
                <w:color w:val="auto"/>
              </w:rPr>
              <w:t>Rate</w:t>
            </w:r>
          </w:p>
        </w:tc>
        <w:tc>
          <w:tcPr>
            <w:tcW w:w="700" w:type="dxa"/>
            <w:vAlign w:val="bottom"/>
          </w:tcPr>
          <w:p>
            <w:pPr>
              <w:jc w:val="right"/>
              <w:spacing w:after="0"/>
              <w:rPr>
                <w:sz w:val="20"/>
                <w:szCs w:val="20"/>
                <w:color w:val="auto"/>
              </w:rPr>
            </w:pPr>
            <w:r>
              <w:rPr>
                <w:rFonts w:ascii="Arial" w:cs="Arial" w:eastAsia="Arial" w:hAnsi="Arial"/>
                <w:sz w:val="14"/>
                <w:szCs w:val="14"/>
                <w:color w:val="auto"/>
              </w:rPr>
              <w:t>Balance</w:t>
            </w:r>
          </w:p>
        </w:tc>
        <w:tc>
          <w:tcPr>
            <w:tcW w:w="130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00" w:type="dxa"/>
            <w:vAlign w:val="bottom"/>
          </w:tcPr>
          <w:p>
            <w:pPr>
              <w:jc w:val="right"/>
              <w:ind w:right="271"/>
              <w:spacing w:after="0"/>
              <w:rPr>
                <w:sz w:val="20"/>
                <w:szCs w:val="20"/>
                <w:color w:val="auto"/>
              </w:rPr>
            </w:pPr>
            <w:r>
              <w:rPr>
                <w:rFonts w:ascii="Arial" w:cs="Arial" w:eastAsia="Arial" w:hAnsi="Arial"/>
                <w:sz w:val="14"/>
                <w:szCs w:val="14"/>
                <w:color w:val="auto"/>
              </w:rPr>
              <w:t>Interest</w:t>
            </w: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Earning assets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Loans and leases, net of unearned discount*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12,239</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$223,525</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7.25%</w:t>
            </w:r>
          </w:p>
        </w:tc>
        <w:tc>
          <w:tcPr>
            <w:tcW w:w="700" w:type="dxa"/>
            <w:vAlign w:val="bottom"/>
          </w:tcPr>
          <w:p>
            <w:pPr>
              <w:jc w:val="right"/>
              <w:spacing w:after="0"/>
              <w:rPr>
                <w:sz w:val="20"/>
                <w:szCs w:val="20"/>
                <w:color w:val="auto"/>
              </w:rPr>
            </w:pPr>
            <w:r>
              <w:rPr>
                <w:rFonts w:ascii="Arial" w:cs="Arial" w:eastAsia="Arial" w:hAnsi="Arial"/>
                <w:sz w:val="18"/>
                <w:szCs w:val="18"/>
                <w:color w:val="auto"/>
              </w:rPr>
              <w:t>12,155</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219,011</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7.23%</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11,753</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210,889</w:t>
            </w: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15,474</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291,569</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290,130</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7.45</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15,474</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282,322</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5,915</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95,629</w:t>
            </w: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6.47</w:t>
            </w:r>
          </w:p>
        </w:tc>
        <w:tc>
          <w:tcPr>
            <w:tcW w:w="700" w:type="dxa"/>
            <w:vAlign w:val="bottom"/>
          </w:tcPr>
          <w:p>
            <w:pPr>
              <w:jc w:val="right"/>
              <w:spacing w:after="0"/>
              <w:rPr>
                <w:sz w:val="20"/>
                <w:szCs w:val="20"/>
                <w:color w:val="auto"/>
              </w:rPr>
            </w:pPr>
            <w:r>
              <w:rPr>
                <w:rFonts w:ascii="Arial" w:cs="Arial" w:eastAsia="Arial" w:hAnsi="Arial"/>
                <w:sz w:val="18"/>
                <w:szCs w:val="18"/>
                <w:color w:val="auto"/>
              </w:rPr>
              <w:t>5,875</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95,327</w:t>
            </w: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6.49</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5,939</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96,136</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10,122</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191,628</w:t>
            </w: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7.51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185,553</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7.47</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182,186</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loans and leases, net</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43,750</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802,351</w:t>
            </w: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7.28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43,572</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790,021</w:t>
            </w: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7.27</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43,114</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771,533</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3.12</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66</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3,429</w:t>
            </w: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5.47</w:t>
            </w: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6,734</w:t>
            </w: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6.03</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4,801</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235</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1.40</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111</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23,935</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23,238</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4.33</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2,428</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26,610</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2,040</w:t>
            </w: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7.55</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2,299</w:t>
            </w: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7.53</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2,234</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66,162</w:t>
            </w: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60,554</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5.27</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4,661</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60,817</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92,137</w:t>
            </w: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86,091</w:t>
            </w: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5.01</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7,214</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89,661</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51,325</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898,126</w:t>
            </w: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6.94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50,982</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883,148</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6.95</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50,693</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866,172</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9"/>
                <w:szCs w:val="19"/>
                <w:color w:val="auto"/>
              </w:rPr>
            </w:pPr>
          </w:p>
        </w:tc>
        <w:tc>
          <w:tcPr>
            <w:tcW w:w="1740" w:type="dxa"/>
            <w:vAlign w:val="bottom"/>
            <w:gridSpan w:val="2"/>
          </w:tcPr>
          <w:p>
            <w:pPr>
              <w:jc w:val="right"/>
              <w:ind w:right="1091"/>
              <w:spacing w:after="0"/>
              <w:rPr>
                <w:sz w:val="20"/>
                <w:szCs w:val="20"/>
                <w:color w:val="auto"/>
              </w:rPr>
            </w:pPr>
            <w:r>
              <w:rPr>
                <w:rFonts w:ascii="Arial" w:cs="Arial" w:eastAsia="Arial" w:hAnsi="Arial"/>
                <w:sz w:val="18"/>
                <w:szCs w:val="18"/>
                <w:color w:val="auto"/>
              </w:rPr>
              <w:t>(675)</w:t>
            </w:r>
          </w:p>
        </w:tc>
        <w:tc>
          <w:tcPr>
            <w:tcW w:w="760" w:type="dxa"/>
            <w:vAlign w:val="bottom"/>
          </w:tcPr>
          <w:p>
            <w:pPr>
              <w:spacing w:after="0"/>
              <w:rPr>
                <w:sz w:val="19"/>
                <w:szCs w:val="19"/>
                <w:color w:val="auto"/>
              </w:rPr>
            </w:pPr>
          </w:p>
        </w:tc>
        <w:tc>
          <w:tcPr>
            <w:tcW w:w="2000" w:type="dxa"/>
            <w:vAlign w:val="bottom"/>
            <w:gridSpan w:val="2"/>
          </w:tcPr>
          <w:p>
            <w:pPr>
              <w:jc w:val="right"/>
              <w:ind w:right="1191"/>
              <w:spacing w:after="0"/>
              <w:rPr>
                <w:sz w:val="20"/>
                <w:szCs w:val="20"/>
                <w:color w:val="auto"/>
              </w:rPr>
            </w:pPr>
            <w:r>
              <w:rPr>
                <w:rFonts w:ascii="Arial" w:cs="Arial" w:eastAsia="Arial" w:hAnsi="Arial"/>
                <w:sz w:val="18"/>
                <w:szCs w:val="18"/>
                <w:color w:val="auto"/>
              </w:rPr>
              <w:t>(667)</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1,304</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5,866</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57,862</w:t>
            </w:r>
          </w:p>
        </w:tc>
        <w:tc>
          <w:tcPr>
            <w:tcW w:w="1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57,523</w:t>
            </w:r>
          </w:p>
        </w:tc>
        <w:tc>
          <w:tcPr>
            <w:tcW w:w="1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57,207</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982</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1,024</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1,167</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14,908</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62,883</w:t>
            </w: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1.67</w:t>
            </w:r>
          </w:p>
        </w:tc>
        <w:tc>
          <w:tcPr>
            <w:tcW w:w="700" w:type="dxa"/>
            <w:vAlign w:val="bottom"/>
          </w:tcPr>
          <w:p>
            <w:pPr>
              <w:jc w:val="right"/>
              <w:spacing w:after="0"/>
              <w:rPr>
                <w:sz w:val="20"/>
                <w:szCs w:val="20"/>
                <w:color w:val="auto"/>
              </w:rPr>
            </w:pPr>
            <w:r>
              <w:rPr>
                <w:rFonts w:ascii="Arial" w:cs="Arial" w:eastAsia="Arial" w:hAnsi="Arial"/>
                <w:sz w:val="18"/>
                <w:szCs w:val="18"/>
                <w:color w:val="auto"/>
              </w:rPr>
              <w:t>15,027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60,953</w:t>
            </w: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1.63</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14,733</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60,842</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117,064</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124,020</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4.73</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11,657</w:t>
            </w:r>
          </w:p>
        </w:tc>
        <w:tc>
          <w:tcPr>
            <w:tcW w:w="12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136,682</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55,666</w:t>
            </w: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48,001</w:t>
            </w: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5.19</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3,717</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47,649</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29,576</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236,595</w:t>
            </w: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233,998</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3.16</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30,544</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246,340</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5,228</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68,376</w:t>
            </w: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5.19</w:t>
            </w:r>
          </w:p>
        </w:tc>
        <w:tc>
          <w:tcPr>
            <w:tcW w:w="700" w:type="dxa"/>
            <w:vAlign w:val="bottom"/>
          </w:tcPr>
          <w:p>
            <w:pPr>
              <w:jc w:val="right"/>
              <w:spacing w:after="0"/>
              <w:rPr>
                <w:sz w:val="20"/>
                <w:szCs w:val="20"/>
                <w:color w:val="auto"/>
              </w:rPr>
            </w:pPr>
            <w:r>
              <w:rPr>
                <w:rFonts w:ascii="Arial" w:cs="Arial" w:eastAsia="Arial" w:hAnsi="Arial"/>
                <w:sz w:val="18"/>
                <w:szCs w:val="18"/>
                <w:color w:val="auto"/>
              </w:rPr>
              <w:t>5,555</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73,500</w:t>
            </w: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5.31</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4,852</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63,564</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120,355</w:t>
            </w: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5.51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108,766</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5.52</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7,308</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100,718</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ind w:left="600"/>
              <w:spacing w:after="0" w:line="205" w:lineRule="exact"/>
              <w:rPr>
                <w:sz w:val="20"/>
                <w:szCs w:val="20"/>
                <w:color w:val="auto"/>
              </w:rPr>
            </w:pPr>
            <w:r>
              <w:rPr>
                <w:rFonts w:ascii="Arial" w:cs="Arial" w:eastAsia="Arial" w:hAnsi="Arial"/>
                <w:sz w:val="18"/>
                <w:szCs w:val="18"/>
                <w:b w:val="1"/>
                <w:bCs w:val="1"/>
                <w:color w:val="auto"/>
              </w:rPr>
              <w:t>Total interest-bearing</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43,465</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425,326</w:t>
            </w: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3.88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43,169</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416,264</w:t>
            </w: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3.87</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42,704</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410,622</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7,422</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811</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51,676</w:t>
            </w:r>
          </w:p>
        </w:tc>
        <w:tc>
          <w:tcPr>
            <w:tcW w:w="1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1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50,937</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1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6,270</w:t>
            </w:r>
          </w:p>
        </w:tc>
        <w:tc>
          <w:tcPr>
            <w:tcW w:w="1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Total liabilities and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57,862</w:t>
            </w:r>
          </w:p>
        </w:tc>
        <w:tc>
          <w:tcPr>
            <w:tcW w:w="1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57,523</w:t>
            </w:r>
          </w:p>
        </w:tc>
        <w:tc>
          <w:tcPr>
            <w:tcW w:w="1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57,207</w:t>
            </w:r>
          </w:p>
        </w:tc>
        <w:tc>
          <w:tcPr>
            <w:tcW w:w="1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spread</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3.06</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3.08</w:t>
            </w: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w:t>
            </w:r>
          </w:p>
        </w:tc>
        <w:tc>
          <w:tcPr>
            <w:tcW w:w="7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$472,800</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3.65%</w:t>
            </w:r>
          </w:p>
        </w:tc>
        <w:tc>
          <w:tcPr>
            <w:tcW w:w="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466,884</w:t>
            </w: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3.67%</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455,550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right"/>
        <w:spacing w:after="0"/>
        <w:rPr>
          <w:sz w:val="20"/>
          <w:szCs w:val="20"/>
          <w:color w:val="auto"/>
        </w:rPr>
      </w:pPr>
      <w:r>
        <w:rPr>
          <w:rFonts w:ascii="Arial" w:cs="Arial" w:eastAsia="Arial" w:hAnsi="Arial"/>
          <w:sz w:val="18"/>
          <w:szCs w:val="18"/>
          <w:color w:val="auto"/>
        </w:rPr>
        <w:t>(continued)</w:t>
      </w:r>
    </w:p>
    <w:p>
      <w:pPr>
        <w:spacing w:after="0" w:line="6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Table 3 (continued)</w:t>
            </w:r>
          </w:p>
        </w:tc>
      </w:tr>
      <w:tr>
        <w:trPr>
          <w:trHeight w:val="432"/>
        </w:trPr>
        <w:tc>
          <w:tcPr>
            <w:tcW w:w="7860" w:type="dxa"/>
            <w:vAlign w:val="bottom"/>
            <w:gridSpan w:val="6"/>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jc w:val="right"/>
              <w:ind w:right="291"/>
              <w:spacing w:after="0"/>
              <w:rPr>
                <w:sz w:val="20"/>
                <w:szCs w:val="20"/>
                <w:color w:val="auto"/>
              </w:rPr>
            </w:pPr>
            <w:r>
              <w:rPr>
                <w:rFonts w:ascii="Arial" w:cs="Arial" w:eastAsia="Arial" w:hAnsi="Arial"/>
                <w:sz w:val="14"/>
                <w:szCs w:val="14"/>
                <w:color w:val="auto"/>
              </w:rPr>
              <w:t>2006 Fourth Quarter</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gridSpan w:val="2"/>
          </w:tcPr>
          <w:p>
            <w:pPr>
              <w:jc w:val="right"/>
              <w:ind w:right="1131"/>
              <w:spacing w:after="0"/>
              <w:rPr>
                <w:sz w:val="20"/>
                <w:szCs w:val="20"/>
                <w:color w:val="auto"/>
              </w:rPr>
            </w:pPr>
            <w:r>
              <w:rPr>
                <w:rFonts w:ascii="Arial" w:cs="Arial" w:eastAsia="Arial" w:hAnsi="Arial"/>
                <w:sz w:val="14"/>
                <w:szCs w:val="14"/>
                <w:color w:val="auto"/>
              </w:rPr>
              <w:t>2006 Third Quarter</w:t>
            </w: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351"/>
              <w:spacing w:after="0" w:line="149" w:lineRule="exact"/>
              <w:rPr>
                <w:sz w:val="20"/>
                <w:szCs w:val="20"/>
                <w:color w:val="auto"/>
              </w:rPr>
            </w:pPr>
            <w:r>
              <w:rPr>
                <w:rFonts w:ascii="Arial" w:cs="Arial" w:eastAsia="Arial" w:hAnsi="Arial"/>
                <w:sz w:val="14"/>
                <w:szCs w:val="14"/>
                <w:color w:val="auto"/>
                <w:w w:val="88"/>
              </w:rPr>
              <w:t>Average</w:t>
            </w:r>
          </w:p>
        </w:tc>
        <w:tc>
          <w:tcPr>
            <w:tcW w:w="1920" w:type="dxa"/>
            <w:vAlign w:val="bottom"/>
          </w:tcPr>
          <w:p>
            <w:pPr>
              <w:spacing w:after="0"/>
              <w:rPr>
                <w:sz w:val="12"/>
                <w:szCs w:val="12"/>
                <w:color w:val="auto"/>
              </w:rPr>
            </w:pPr>
          </w:p>
        </w:tc>
        <w:tc>
          <w:tcPr>
            <w:tcW w:w="1380" w:type="dxa"/>
            <w:vAlign w:val="bottom"/>
          </w:tcPr>
          <w:p>
            <w:pPr>
              <w:jc w:val="right"/>
              <w:ind w:right="451"/>
              <w:spacing w:after="0" w:line="149" w:lineRule="exact"/>
              <w:rPr>
                <w:sz w:val="20"/>
                <w:szCs w:val="20"/>
                <w:color w:val="auto"/>
              </w:rPr>
            </w:pPr>
            <w:r>
              <w:rPr>
                <w:rFonts w:ascii="Arial" w:cs="Arial" w:eastAsia="Arial" w:hAnsi="Arial"/>
                <w:sz w:val="14"/>
                <w:szCs w:val="14"/>
                <w:color w:val="auto"/>
              </w:rPr>
              <w:t>Average</w:t>
            </w:r>
          </w:p>
        </w:tc>
        <w:tc>
          <w:tcPr>
            <w:tcW w:w="100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Average</w:t>
            </w:r>
          </w:p>
        </w:tc>
        <w:tc>
          <w:tcPr>
            <w:tcW w:w="1140" w:type="dxa"/>
            <w:vAlign w:val="bottom"/>
          </w:tcPr>
          <w:p>
            <w:pPr>
              <w:spacing w:after="0"/>
              <w:rPr>
                <w:sz w:val="12"/>
                <w:szCs w:val="12"/>
                <w:color w:val="auto"/>
              </w:rPr>
            </w:pPr>
          </w:p>
        </w:tc>
        <w:tc>
          <w:tcPr>
            <w:tcW w:w="1420" w:type="dxa"/>
            <w:vAlign w:val="bottom"/>
          </w:tcPr>
          <w:p>
            <w:pPr>
              <w:jc w:val="right"/>
              <w:ind w:right="9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20" w:type="dxa"/>
            <w:vAlign w:val="bottom"/>
          </w:tcPr>
          <w:p>
            <w:pPr>
              <w:spacing w:after="0"/>
              <w:rPr>
                <w:sz w:val="15"/>
                <w:szCs w:val="15"/>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color w:val="auto"/>
                <w:w w:val="90"/>
              </w:rPr>
              <w:t>Balance</w:t>
            </w:r>
          </w:p>
        </w:tc>
        <w:tc>
          <w:tcPr>
            <w:tcW w:w="1920" w:type="dxa"/>
            <w:vAlign w:val="bottom"/>
          </w:tcPr>
          <w:p>
            <w:pPr>
              <w:jc w:val="right"/>
              <w:ind w:right="651"/>
              <w:spacing w:after="0"/>
              <w:rPr>
                <w:sz w:val="20"/>
                <w:szCs w:val="20"/>
                <w:color w:val="auto"/>
              </w:rPr>
            </w:pPr>
            <w:r>
              <w:rPr>
                <w:rFonts w:ascii="Arial" w:cs="Arial" w:eastAsia="Arial" w:hAnsi="Arial"/>
                <w:sz w:val="14"/>
                <w:szCs w:val="14"/>
                <w:color w:val="auto"/>
              </w:rPr>
              <w:t>Interest</w:t>
            </w:r>
          </w:p>
        </w:tc>
        <w:tc>
          <w:tcPr>
            <w:tcW w:w="1380" w:type="dxa"/>
            <w:vAlign w:val="bottom"/>
          </w:tcPr>
          <w:p>
            <w:pPr>
              <w:jc w:val="right"/>
              <w:ind w:right="551"/>
              <w:spacing w:after="0"/>
              <w:rPr>
                <w:sz w:val="20"/>
                <w:szCs w:val="20"/>
                <w:color w:val="auto"/>
              </w:rPr>
            </w:pPr>
            <w:r>
              <w:rPr>
                <w:rFonts w:ascii="Arial" w:cs="Arial" w:eastAsia="Arial" w:hAnsi="Arial"/>
                <w:sz w:val="14"/>
                <w:szCs w:val="14"/>
                <w:color w:val="auto"/>
              </w:rPr>
              <w:t>Rate</w:t>
            </w:r>
          </w:p>
        </w:tc>
        <w:tc>
          <w:tcPr>
            <w:tcW w:w="1000" w:type="dxa"/>
            <w:vAlign w:val="bottom"/>
          </w:tcPr>
          <w:p>
            <w:pPr>
              <w:jc w:val="right"/>
              <w:ind w:right="211"/>
              <w:spacing w:after="0"/>
              <w:rPr>
                <w:sz w:val="20"/>
                <w:szCs w:val="20"/>
                <w:color w:val="auto"/>
              </w:rPr>
            </w:pPr>
            <w:r>
              <w:rPr>
                <w:rFonts w:ascii="Arial" w:cs="Arial" w:eastAsia="Arial" w:hAnsi="Arial"/>
                <w:sz w:val="14"/>
                <w:szCs w:val="14"/>
                <w:color w:val="auto"/>
              </w:rPr>
              <w:t>Balance</w:t>
            </w:r>
          </w:p>
        </w:tc>
        <w:tc>
          <w:tcPr>
            <w:tcW w:w="1140" w:type="dxa"/>
            <w:vAlign w:val="bottom"/>
          </w:tcPr>
          <w:p>
            <w:pPr>
              <w:jc w:val="right"/>
              <w:spacing w:after="0"/>
              <w:rPr>
                <w:sz w:val="20"/>
                <w:szCs w:val="20"/>
                <w:color w:val="auto"/>
              </w:rPr>
            </w:pPr>
            <w:r>
              <w:rPr>
                <w:rFonts w:ascii="Arial" w:cs="Arial" w:eastAsia="Arial" w:hAnsi="Arial"/>
                <w:sz w:val="14"/>
                <w:szCs w:val="14"/>
                <w:color w:val="auto"/>
              </w:rPr>
              <w:t>Interest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Earning assets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1"/>
              <w:spacing w:after="0"/>
              <w:rPr>
                <w:sz w:val="20"/>
                <w:szCs w:val="20"/>
                <w:color w:val="auto"/>
              </w:rPr>
            </w:pPr>
            <w:r>
              <w:rPr>
                <w:rFonts w:ascii="Arial" w:cs="Arial" w:eastAsia="Arial" w:hAnsi="Arial"/>
                <w:sz w:val="18"/>
                <w:szCs w:val="18"/>
                <w:color w:val="auto"/>
                <w:w w:val="87"/>
              </w:rPr>
              <w:t>11,523</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$212,716</w:t>
            </w: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7.32%</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11,436</w:t>
            </w:r>
          </w:p>
        </w:tc>
        <w:tc>
          <w:tcPr>
            <w:tcW w:w="1140" w:type="dxa"/>
            <w:vAlign w:val="bottom"/>
          </w:tcPr>
          <w:p>
            <w:pPr>
              <w:jc w:val="right"/>
              <w:spacing w:after="0"/>
              <w:rPr>
                <w:sz w:val="20"/>
                <w:szCs w:val="20"/>
                <w:color w:val="auto"/>
              </w:rPr>
            </w:pPr>
            <w:r>
              <w:rPr>
                <w:rFonts w:ascii="Arial" w:cs="Arial" w:eastAsia="Arial" w:hAnsi="Arial"/>
                <w:sz w:val="18"/>
                <w:szCs w:val="18"/>
                <w:color w:val="auto"/>
              </w:rPr>
              <w:t>210,733</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7.31%</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7"/>
              </w:rPr>
              <w:t>15,492</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291,681</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7.53</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15,256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283,197</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7.43</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2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5,537</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90,551</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6.54</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5,053</w:t>
            </w:r>
          </w:p>
        </w:tc>
        <w:tc>
          <w:tcPr>
            <w:tcW w:w="1140" w:type="dxa"/>
            <w:vAlign w:val="bottom"/>
          </w:tcPr>
          <w:p>
            <w:pPr>
              <w:jc w:val="right"/>
              <w:spacing w:after="0"/>
              <w:rPr>
                <w:sz w:val="20"/>
                <w:szCs w:val="20"/>
                <w:color w:val="auto"/>
              </w:rPr>
            </w:pPr>
            <w:r>
              <w:rPr>
                <w:rFonts w:ascii="Arial" w:cs="Arial" w:eastAsia="Arial" w:hAnsi="Arial"/>
                <w:sz w:val="18"/>
                <w:szCs w:val="18"/>
                <w:color w:val="auto"/>
              </w:rPr>
              <w:t>81,833</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6.48</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9,922</w:t>
            </w:r>
          </w:p>
        </w:tc>
        <w:tc>
          <w:tcPr>
            <w:tcW w:w="19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185,578</w:t>
            </w: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7.42</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9,965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183,041</w:t>
            </w: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7.29</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7"/>
              </w:rPr>
              <w:t>42,474</w:t>
            </w:r>
          </w:p>
        </w:tc>
        <w:tc>
          <w:tcPr>
            <w:tcW w:w="19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780,526</w:t>
            </w: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7.29</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41,710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758,804</w:t>
            </w: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7.22</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11</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68</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2.45</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3.67</w:t>
            </w: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2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125</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2,327</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7.42</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136</w:t>
            </w:r>
          </w:p>
        </w:tc>
        <w:tc>
          <w:tcPr>
            <w:tcW w:w="1140" w:type="dxa"/>
            <w:vAlign w:val="bottom"/>
          </w:tcPr>
          <w:p>
            <w:pPr>
              <w:jc w:val="right"/>
              <w:spacing w:after="0"/>
              <w:rPr>
                <w:sz w:val="20"/>
                <w:szCs w:val="20"/>
                <w:color w:val="auto"/>
              </w:rPr>
            </w:pPr>
            <w:r>
              <w:rPr>
                <w:rFonts w:ascii="Arial" w:cs="Arial" w:eastAsia="Arial" w:hAnsi="Arial"/>
                <w:sz w:val="18"/>
                <w:szCs w:val="18"/>
                <w:color w:val="auto"/>
              </w:rPr>
              <w:t>2,487</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7.23</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69</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342</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1.98</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2,627</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28,490</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4.30</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2,826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4.27</w:t>
            </w:r>
          </w:p>
        </w:tc>
      </w:tr>
      <w:tr>
        <w:trPr>
          <w:trHeight w:val="202"/>
        </w:trPr>
        <w:tc>
          <w:tcPr>
            <w:tcW w:w="20" w:type="dxa"/>
            <w:vAlign w:val="bottom"/>
          </w:tcPr>
          <w:p>
            <w:pPr>
              <w:spacing w:after="0"/>
              <w:rPr>
                <w:sz w:val="17"/>
                <w:szCs w:val="17"/>
                <w:color w:val="auto"/>
              </w:rPr>
            </w:pPr>
          </w:p>
        </w:tc>
        <w:tc>
          <w:tcPr>
            <w:tcW w:w="320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2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131</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2,244</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6.83</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147</w:t>
            </w:r>
          </w:p>
        </w:tc>
        <w:tc>
          <w:tcPr>
            <w:tcW w:w="1140" w:type="dxa"/>
            <w:vAlign w:val="bottom"/>
          </w:tcPr>
          <w:p>
            <w:pPr>
              <w:jc w:val="right"/>
              <w:spacing w:after="0"/>
              <w:rPr>
                <w:sz w:val="20"/>
                <w:szCs w:val="20"/>
                <w:color w:val="auto"/>
              </w:rPr>
            </w:pPr>
            <w:r>
              <w:rPr>
                <w:rFonts w:ascii="Arial" w:cs="Arial" w:eastAsia="Arial" w:hAnsi="Arial"/>
                <w:sz w:val="18"/>
                <w:szCs w:val="18"/>
                <w:color w:val="auto"/>
              </w:rPr>
              <w:t>2,434</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4,798</w:t>
            </w:r>
          </w:p>
        </w:tc>
        <w:tc>
          <w:tcPr>
            <w:tcW w:w="19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62,200</w:t>
            </w: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5.14</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4,925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5.08</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7,556</w:t>
            </w:r>
          </w:p>
        </w:tc>
        <w:tc>
          <w:tcPr>
            <w:tcW w:w="19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92,934</w:t>
            </w: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4.88</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7,898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95,916</w:t>
            </w: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50,235</w:t>
            </w:r>
          </w:p>
        </w:tc>
        <w:tc>
          <w:tcPr>
            <w:tcW w:w="19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876,197</w:t>
            </w: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6.92</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49,849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858,008</w:t>
            </w: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6.83</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(652)</w:t>
            </w:r>
          </w:p>
        </w:tc>
        <w:tc>
          <w:tcPr>
            <w:tcW w:w="1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(648)</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1,332</w:t>
            </w: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1,365</w:t>
            </w:r>
          </w:p>
        </w:tc>
        <w:tc>
          <w:tcPr>
            <w:tcW w:w="1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5,660</w:t>
            </w:r>
          </w:p>
        </w:tc>
        <w:tc>
          <w:tcPr>
            <w:tcW w:w="1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5,592</w:t>
            </w:r>
          </w:p>
        </w:tc>
        <w:tc>
          <w:tcPr>
            <w:tcW w:w="1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56,575</w:t>
            </w:r>
          </w:p>
        </w:tc>
        <w:tc>
          <w:tcPr>
            <w:tcW w:w="19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56,158</w:t>
            </w:r>
          </w:p>
        </w:tc>
        <w:tc>
          <w:tcPr>
            <w:tcW w:w="1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461</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1,063</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.92</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2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w w:val="87"/>
              </w:rPr>
              <w:t>14,549</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58,591</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1.60</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14,463</w:t>
            </w:r>
          </w:p>
        </w:tc>
        <w:tc>
          <w:tcPr>
            <w:tcW w:w="1140" w:type="dxa"/>
            <w:vAlign w:val="bottom"/>
          </w:tcPr>
          <w:p>
            <w:pPr>
              <w:jc w:val="right"/>
              <w:spacing w:after="0"/>
              <w:rPr>
                <w:sz w:val="20"/>
                <w:szCs w:val="20"/>
                <w:color w:val="auto"/>
              </w:rPr>
            </w:pPr>
            <w:r>
              <w:rPr>
                <w:rFonts w:ascii="Arial" w:cs="Arial" w:eastAsia="Arial" w:hAnsi="Arial"/>
                <w:sz w:val="18"/>
                <w:szCs w:val="18"/>
                <w:color w:val="auto"/>
              </w:rPr>
              <w:t>51,816</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7"/>
              </w:rPr>
              <w:t>12,086</w:t>
            </w:r>
          </w:p>
        </w:tc>
        <w:tc>
          <w:tcPr>
            <w:tcW w:w="19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141,853</w:t>
            </w:r>
          </w:p>
        </w:tc>
        <w:tc>
          <w:tcPr>
            <w:tcW w:w="13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4.66</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152,571</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4.65</w:t>
            </w: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3,777</w:t>
            </w:r>
          </w:p>
        </w:tc>
        <w:tc>
          <w:tcPr>
            <w:tcW w:w="19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49,503</w:t>
            </w: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5.20</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3,674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48,244</w:t>
            </w: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5.21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30,873</w:t>
            </w:r>
          </w:p>
        </w:tc>
        <w:tc>
          <w:tcPr>
            <w:tcW w:w="19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251,010</w:t>
            </w: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3.23</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31,587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253,591</w:t>
            </w: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3.19</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4,794</w:t>
            </w:r>
          </w:p>
        </w:tc>
        <w:tc>
          <w:tcPr>
            <w:tcW w:w="1920" w:type="dxa"/>
            <w:vAlign w:val="bottom"/>
          </w:tcPr>
          <w:p>
            <w:pPr>
              <w:jc w:val="right"/>
              <w:ind w:right="571"/>
              <w:spacing w:after="0"/>
              <w:rPr>
                <w:sz w:val="20"/>
                <w:szCs w:val="20"/>
                <w:color w:val="auto"/>
              </w:rPr>
            </w:pPr>
            <w:r>
              <w:rPr>
                <w:rFonts w:ascii="Arial" w:cs="Arial" w:eastAsia="Arial" w:hAnsi="Arial"/>
                <w:sz w:val="18"/>
                <w:szCs w:val="18"/>
                <w:color w:val="auto"/>
              </w:rPr>
              <w:t>64,173</w:t>
            </w:r>
          </w:p>
        </w:tc>
        <w:tc>
          <w:tcPr>
            <w:tcW w:w="1380" w:type="dxa"/>
            <w:vAlign w:val="bottom"/>
          </w:tcPr>
          <w:p>
            <w:pPr>
              <w:jc w:val="right"/>
              <w:ind w:right="551"/>
              <w:spacing w:after="0"/>
              <w:rPr>
                <w:sz w:val="20"/>
                <w:szCs w:val="20"/>
                <w:color w:val="auto"/>
              </w:rPr>
            </w:pPr>
            <w:r>
              <w:rPr>
                <w:rFonts w:ascii="Arial" w:cs="Arial" w:eastAsia="Arial" w:hAnsi="Arial"/>
                <w:sz w:val="18"/>
                <w:szCs w:val="18"/>
                <w:color w:val="auto"/>
              </w:rPr>
              <w:t>5.31</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4,441</w:t>
            </w:r>
          </w:p>
        </w:tc>
        <w:tc>
          <w:tcPr>
            <w:tcW w:w="1140" w:type="dxa"/>
            <w:vAlign w:val="bottom"/>
          </w:tcPr>
          <w:p>
            <w:pPr>
              <w:jc w:val="right"/>
              <w:spacing w:after="0"/>
              <w:rPr>
                <w:sz w:val="20"/>
                <w:szCs w:val="20"/>
                <w:color w:val="auto"/>
              </w:rPr>
            </w:pPr>
            <w:r>
              <w:rPr>
                <w:rFonts w:ascii="Arial" w:cs="Arial" w:eastAsia="Arial" w:hAnsi="Arial"/>
                <w:sz w:val="18"/>
                <w:szCs w:val="18"/>
                <w:color w:val="auto"/>
              </w:rPr>
              <w:t>59,487</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6,174</w:t>
            </w:r>
          </w:p>
        </w:tc>
        <w:tc>
          <w:tcPr>
            <w:tcW w:w="192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89,173</w:t>
            </w: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5.73</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5,660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82,574</w:t>
            </w: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5.79</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7"/>
              </w:rPr>
              <w:t>41,841</w:t>
            </w:r>
          </w:p>
        </w:tc>
        <w:tc>
          <w:tcPr>
            <w:tcW w:w="19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404,356</w:t>
            </w: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3.83</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41,688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395,652</w:t>
            </w:r>
          </w:p>
        </w:tc>
        <w:tc>
          <w:tcPr>
            <w:tcW w:w="1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3.77</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7,631</w:t>
            </w: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7,571</w:t>
            </w:r>
          </w:p>
        </w:tc>
        <w:tc>
          <w:tcPr>
            <w:tcW w:w="1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859</w:t>
            </w:r>
          </w:p>
        </w:tc>
        <w:tc>
          <w:tcPr>
            <w:tcW w:w="1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814</w:t>
            </w:r>
          </w:p>
        </w:tc>
        <w:tc>
          <w:tcPr>
            <w:tcW w:w="1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50,331</w:t>
            </w:r>
          </w:p>
        </w:tc>
        <w:tc>
          <w:tcPr>
            <w:tcW w:w="19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50,073</w:t>
            </w:r>
          </w:p>
        </w:tc>
        <w:tc>
          <w:tcPr>
            <w:tcW w:w="1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6,244</w:t>
            </w:r>
          </w:p>
        </w:tc>
        <w:tc>
          <w:tcPr>
            <w:tcW w:w="1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6,085</w:t>
            </w: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56,575</w:t>
            </w:r>
          </w:p>
        </w:tc>
        <w:tc>
          <w:tcPr>
            <w:tcW w:w="19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56,158</w:t>
            </w:r>
          </w:p>
        </w:tc>
        <w:tc>
          <w:tcPr>
            <w:tcW w:w="1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0"/>
        </w:trPr>
        <w:tc>
          <w:tcPr>
            <w:tcW w:w="3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color w:val="auto"/>
              </w:rPr>
              <w:t>3.09</w:t>
            </w:r>
          </w:p>
        </w:tc>
        <w:tc>
          <w:tcPr>
            <w:tcW w:w="10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.64</w:t>
            </w:r>
          </w:p>
        </w:tc>
        <w:tc>
          <w:tcPr>
            <w:tcW w:w="10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.62</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$471,841</w:t>
            </w: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3.73%</w:t>
            </w:r>
          </w:p>
        </w:tc>
        <w:tc>
          <w:tcPr>
            <w:tcW w:w="10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462,356</w:t>
            </w: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w:t>
            </w: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20" w:firstLine="233"/>
        <w:spacing w:after="0" w:line="312" w:lineRule="auto"/>
        <w:tabs>
          <w:tab w:leader="none" w:pos="4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2007.</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2007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2006.</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700" w:hanging="24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18"/>
        </w:numPr>
        <w:rPr>
          <w:rFonts w:ascii="Arial" w:cs="Arial" w:eastAsia="Arial" w:hAnsi="Arial"/>
          <w:sz w:val="18"/>
          <w:szCs w:val="18"/>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7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(a)Total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Number</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5"/>
              </w:rPr>
              <w:t>(b)Average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of Shares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0"/>
              </w:rPr>
              <w:t>Price Paid</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7"/>
              </w:rPr>
              <w:t>per Share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58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980" w:type="dxa"/>
            <w:vAlign w:val="bottom"/>
            <w:gridSpan w:val="3"/>
          </w:tcPr>
          <w:p>
            <w:pPr>
              <w:jc w:val="right"/>
              <w:ind w:right="660"/>
              <w:spacing w:after="0"/>
              <w:rPr>
                <w:sz w:val="20"/>
                <w:szCs w:val="20"/>
                <w:color w:val="auto"/>
              </w:rPr>
            </w:pPr>
            <w:r>
              <w:rPr>
                <w:rFonts w:ascii="Arial" w:cs="Arial" w:eastAsia="Arial" w:hAnsi="Arial"/>
                <w:sz w:val="14"/>
                <w:szCs w:val="14"/>
                <w:color w:val="auto"/>
              </w:rPr>
              <w:t>Purchased(1)</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8"/>
              </w:rPr>
              <w:t>(or Unit)</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2007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106.42</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2,881,500</w:t>
            </w: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August 1 – August 31, 2007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378,496</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105.24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375,000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2007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104.86</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2,306,500</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679,713</w:t>
            </w:r>
          </w:p>
        </w:tc>
        <w:tc>
          <w:tcPr>
            <w:tcW w:w="6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105.31</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675,000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number of shares purchased during the periods indicated includes shares purchased as part of publicly announced programs and shares deemed to have been received from employees who exercised stock options by attesting to previously acquired shares in satisfaction of the exercise price, as is permitted under M&amp;T’s stock option plans.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22, 2007, M&amp;T announced that its Board of Directors had approved a program to purchase up to 5,000,000 shares of its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820"/>
        <w:spacing w:after="0"/>
        <w:rPr>
          <w:sz w:val="20"/>
          <w:szCs w:val="20"/>
          <w:color w:val="auto"/>
        </w:rPr>
      </w:pPr>
      <w:r>
        <w:rPr>
          <w:rFonts w:ascii="Arial" w:cs="Arial" w:eastAsia="Arial" w:hAnsi="Arial"/>
          <w:sz w:val="14"/>
          <w:szCs w:val="14"/>
          <w:color w:val="auto"/>
        </w:rPr>
        <w:t>Exhibit</w:t>
      </w:r>
    </w:p>
    <w:p>
      <w:pPr>
        <w:jc w:val="center"/>
        <w:ind w:right="1082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0" w:lineRule="exact"/>
        <w:rPr>
          <w:sz w:val="20"/>
          <w:szCs w:val="20"/>
          <w:color w:val="auto"/>
        </w:rPr>
      </w:pPr>
    </w:p>
    <w:p>
      <w:pPr>
        <w:ind w:left="820" w:right="400" w:hanging="631"/>
        <w:spacing w:after="0" w:line="277"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July 18, 2007 by and among M&amp;T Bank Corporation, MTB One, Inc. and Partners Trust Financial Group, Inc. Incorporated by reference to Exhibit 2.1 to the Form 8-K dated July 18, 2007 (File No. 1-9861).</w:t>
      </w:r>
    </w:p>
    <w:p>
      <w:pPr>
        <w:spacing w:after="0" w:line="170"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31, 2007</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405"/>
        </w:trPr>
        <w:tc>
          <w:tcPr>
            <w:tcW w:w="3520" w:type="dxa"/>
            <w:vAlign w:val="bottom"/>
          </w:tcPr>
          <w:p>
            <w:pPr>
              <w:spacing w:after="0"/>
              <w:rPr>
                <w:sz w:val="24"/>
                <w:szCs w:val="24"/>
                <w:color w:val="auto"/>
              </w:rPr>
            </w:pPr>
          </w:p>
        </w:tc>
        <w:tc>
          <w:tcPr>
            <w:tcW w:w="6220" w:type="dxa"/>
            <w:vAlign w:val="bottom"/>
            <w:gridSpan w:val="2"/>
          </w:tcPr>
          <w:p>
            <w:pPr>
              <w:jc w:val="right"/>
              <w:ind w:right="3790"/>
              <w:spacing w:after="0"/>
              <w:rPr>
                <w:sz w:val="20"/>
                <w:szCs w:val="20"/>
                <w:color w:val="auto"/>
              </w:rPr>
            </w:pPr>
            <w:r>
              <w:rPr>
                <w:rFonts w:ascii="Arial" w:cs="Arial" w:eastAsia="Arial" w:hAnsi="Arial"/>
                <w:sz w:val="18"/>
                <w:szCs w:val="18"/>
                <w:color w:val="auto"/>
              </w:rPr>
              <w:t>-55-</w:t>
            </w:r>
          </w:p>
        </w:tc>
        <w:tc>
          <w:tcPr>
            <w:tcW w:w="168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jc w:val="center"/>
        <w:ind w:right="10560"/>
        <w:spacing w:after="0"/>
        <w:rPr>
          <w:sz w:val="20"/>
          <w:szCs w:val="20"/>
          <w:color w:val="auto"/>
        </w:rPr>
      </w:pPr>
      <w:r>
        <w:rPr>
          <w:rFonts w:ascii="Arial" w:cs="Arial" w:eastAsia="Arial" w:hAnsi="Arial"/>
          <w:sz w:val="14"/>
          <w:szCs w:val="14"/>
          <w:color w:val="auto"/>
        </w:rPr>
        <w:t>Exhibit</w:t>
      </w:r>
    </w:p>
    <w:p>
      <w:pPr>
        <w:jc w:val="center"/>
        <w:ind w:right="105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375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90" w:lineRule="exact"/>
        <w:rPr>
          <w:sz w:val="20"/>
          <w:szCs w:val="20"/>
          <w:color w:val="auto"/>
        </w:rPr>
      </w:pPr>
    </w:p>
    <w:p>
      <w:pPr>
        <w:ind w:left="1040" w:hanging="807"/>
        <w:spacing w:after="0" w:line="277" w:lineRule="auto"/>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July 18, 2007 by and among M&amp;T Bank Corporation, MTB One, Inc. and Partners Trust Financial Group, Inc. Incorporated by reference to Exhibit 2.1 to the Form 8-K dated July 18, 2007 (File No. 1-9861).</w:t>
      </w:r>
    </w:p>
    <w:p>
      <w:pPr>
        <w:spacing w:after="0" w:line="170"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419" w:right="3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hanging="272"/>
        <w:spacing w:after="0"/>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Exchange Act Rules 13a-15(e) and 15d-15(e)) and internal control over financial reporting (as defined in Exchange Act Rules 13a-15(f) and 15d-15(f))</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the registrant and have:</w:t>
      </w:r>
    </w:p>
    <w:p>
      <w:pPr>
        <w:spacing w:after="0" w:line="9" w:lineRule="exact"/>
        <w:rPr>
          <w:sz w:val="20"/>
          <w:szCs w:val="20"/>
          <w:color w:val="auto"/>
        </w:rPr>
      </w:pPr>
    </w:p>
    <w:p>
      <w:pPr>
        <w:ind w:left="280" w:right="140" w:hanging="272"/>
        <w:spacing w:after="0" w:line="25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280" w:right="20" w:hanging="272"/>
        <w:spacing w:after="0" w:line="25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280" w:right="320" w:hanging="272"/>
        <w:spacing w:after="0" w:line="255"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sz w:val="20"/>
          <w:szCs w:val="20"/>
          <w:color w:val="auto"/>
        </w:rPr>
      </w:pPr>
    </w:p>
    <w:p>
      <w:pPr>
        <w:ind w:left="280" w:right="360" w:hanging="272"/>
        <w:spacing w:after="0" w:line="274" w:lineRule="auto"/>
        <w:tabs>
          <w:tab w:leader="none" w:pos="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280" w:right="240" w:hanging="272"/>
        <w:spacing w:after="0" w:line="250"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80" w:right="480" w:hanging="272"/>
        <w:spacing w:after="0" w:line="261"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gridSpan w:val="2"/>
          </w:tcPr>
          <w:p>
            <w:pPr>
              <w:spacing w:after="0"/>
              <w:rPr>
                <w:sz w:val="20"/>
                <w:szCs w:val="20"/>
                <w:color w:val="auto"/>
              </w:rPr>
            </w:pPr>
            <w:r>
              <w:rPr>
                <w:rFonts w:ascii="Arial" w:cs="Arial" w:eastAsia="Arial" w:hAnsi="Arial"/>
                <w:sz w:val="18"/>
                <w:szCs w:val="18"/>
                <w:color w:val="auto"/>
              </w:rPr>
              <w:t>/s/ Robert G. Wilmers</w:t>
            </w:r>
          </w:p>
        </w:tc>
      </w:tr>
      <w:tr>
        <w:trPr>
          <w:trHeight w:val="222"/>
        </w:trPr>
        <w:tc>
          <w:tcPr>
            <w:tcW w:w="56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G. Wilmers</w:t>
            </w:r>
          </w:p>
        </w:tc>
        <w:tc>
          <w:tcPr>
            <w:tcW w:w="38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w w:val="89"/>
              </w:rPr>
              <w:t>Chairman of the Board and</w:t>
            </w:r>
          </w:p>
        </w:tc>
      </w:tr>
      <w:tr>
        <w:trPr>
          <w:trHeight w:val="230"/>
        </w:trPr>
        <w:tc>
          <w:tcPr>
            <w:tcW w:w="56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hanging="272"/>
        <w:spacing w:after="0"/>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Exchange Act Rules 13a-15(e) and 15d-15(e)) and internal control over financial reporting (as defined in Exchange Act Rules 13a-15(f) and 15d-15(f))</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the registrant and have:</w:t>
      </w:r>
    </w:p>
    <w:p>
      <w:pPr>
        <w:spacing w:after="0" w:line="9" w:lineRule="exact"/>
        <w:rPr>
          <w:sz w:val="20"/>
          <w:szCs w:val="20"/>
          <w:color w:val="auto"/>
        </w:rPr>
      </w:pPr>
    </w:p>
    <w:p>
      <w:pPr>
        <w:ind w:left="280" w:right="140" w:hanging="272"/>
        <w:spacing w:after="0" w:line="250"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280" w:right="20" w:hanging="272"/>
        <w:spacing w:after="0" w:line="250"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280" w:right="320" w:hanging="272"/>
        <w:spacing w:after="0" w:line="255"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sz w:val="20"/>
          <w:szCs w:val="20"/>
          <w:color w:val="auto"/>
        </w:rPr>
      </w:pPr>
    </w:p>
    <w:p>
      <w:pPr>
        <w:ind w:left="280" w:right="360" w:hanging="272"/>
        <w:spacing w:after="0" w:line="274" w:lineRule="auto"/>
        <w:tabs>
          <w:tab w:leader="none" w:pos="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280" w:right="240" w:hanging="272"/>
        <w:spacing w:after="0" w:line="250"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80" w:right="480" w:hanging="272"/>
        <w:spacing w:after="0" w:line="261"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gridSpan w:val="2"/>
          </w:tcPr>
          <w:p>
            <w:pPr>
              <w:spacing w:after="0"/>
              <w:rPr>
                <w:sz w:val="20"/>
                <w:szCs w:val="20"/>
                <w:color w:val="auto"/>
              </w:rPr>
            </w:pPr>
            <w:r>
              <w:rPr>
                <w:rFonts w:ascii="Arial" w:cs="Arial" w:eastAsia="Arial" w:hAnsi="Arial"/>
                <w:sz w:val="18"/>
                <w:szCs w:val="18"/>
                <w:color w:val="auto"/>
              </w:rPr>
              <w:t>/s/ René F. Jones</w:t>
            </w:r>
          </w:p>
        </w:tc>
      </w:tr>
      <w:tr>
        <w:trPr>
          <w:trHeight w:val="222"/>
        </w:trPr>
        <w:tc>
          <w:tcPr>
            <w:tcW w:w="56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c>
          <w:tcPr>
            <w:tcW w:w="78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8"/>
              </w:rPr>
              <w:t>Executive Vice President</w:t>
            </w:r>
          </w:p>
        </w:tc>
      </w:tr>
      <w:tr>
        <w:trPr>
          <w:trHeight w:val="230"/>
        </w:trPr>
        <w:tc>
          <w:tcPr>
            <w:tcW w:w="5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and Chief Financial Officer</w:t>
            </w:r>
          </w:p>
        </w:tc>
      </w:tr>
    </w:tbl>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360" w:hanging="436"/>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2007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660" w:right="520" w:hanging="43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360" w:hanging="43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2007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660" w:right="520" w:hanging="43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lowerRoman"/>
      <w:start w:val="2"/>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1"/>
      <w:numFmt w:val="upperLetter"/>
      <w:start w:val="53"/>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3"/>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2019-12-13T01:23:29Z</dcterms:created>
  <dcterms:modified xsi:type="dcterms:W3CDTF">2019-12-13T01:23:29Z</dcterms:modified>
</cp:coreProperties>
</file>