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M&amp;T BANK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20" w:type="dxa"/>
        <w:tblCellMar>
          <w:top w:w="0" w:type="dxa"/>
          <w:left w:w="0" w:type="dxa"/>
          <w:bottom w:w="0" w:type="dxa"/>
          <w:right w:w="0" w:type="dxa"/>
        </w:tblCellMar>
      </w:tblPr>
      <w:tr>
        <w:trPr>
          <w:trHeight w:val="212"/>
        </w:trPr>
        <w:tc>
          <w:tcPr>
            <w:tcW w:w="6040" w:type="dxa"/>
            <w:vAlign w:val="bottom"/>
          </w:tcPr>
          <w:p>
            <w:pPr>
              <w:jc w:val="center"/>
              <w:ind w:right="3559"/>
              <w:spacing w:after="0"/>
              <w:rPr>
                <w:sz w:val="20"/>
                <w:szCs w:val="20"/>
                <w:color w:val="auto"/>
              </w:rPr>
            </w:pPr>
            <w:r>
              <w:rPr>
                <w:rFonts w:ascii="Arial" w:cs="Arial" w:eastAsia="Arial" w:hAnsi="Arial"/>
                <w:sz w:val="18"/>
                <w:szCs w:val="18"/>
                <w:b w:val="1"/>
                <w:bCs w:val="1"/>
                <w:color w:val="auto"/>
                <w:w w:val="92"/>
              </w:rPr>
              <w:t>New York</w:t>
            </w:r>
          </w:p>
        </w:tc>
        <w:tc>
          <w:tcPr>
            <w:tcW w:w="1540" w:type="dxa"/>
            <w:vAlign w:val="bottom"/>
          </w:tcPr>
          <w:p>
            <w:pPr>
              <w:jc w:val="right"/>
              <w:ind w:right="41"/>
              <w:spacing w:after="0"/>
              <w:rPr>
                <w:sz w:val="20"/>
                <w:szCs w:val="20"/>
                <w:color w:val="auto"/>
              </w:rPr>
            </w:pPr>
            <w:r>
              <w:rPr>
                <w:rFonts w:ascii="Arial" w:cs="Arial" w:eastAsia="Arial" w:hAnsi="Arial"/>
                <w:sz w:val="18"/>
                <w:szCs w:val="18"/>
                <w:b w:val="1"/>
                <w:bCs w:val="1"/>
                <w:color w:val="auto"/>
              </w:rPr>
              <w:t>16-0968385</w:t>
            </w:r>
          </w:p>
        </w:tc>
      </w:tr>
      <w:tr>
        <w:trPr>
          <w:trHeight w:val="149"/>
        </w:trPr>
        <w:tc>
          <w:tcPr>
            <w:tcW w:w="6040" w:type="dxa"/>
            <w:vAlign w:val="bottom"/>
          </w:tcPr>
          <w:p>
            <w:pPr>
              <w:jc w:val="center"/>
              <w:ind w:right="35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40" w:type="dxa"/>
            <w:vAlign w:val="bottom"/>
          </w:tcPr>
          <w:p>
            <w:pPr>
              <w:jc w:val="center"/>
              <w:ind w:left="3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40" w:type="dxa"/>
            <w:vAlign w:val="bottom"/>
          </w:tcPr>
          <w:p>
            <w:pPr>
              <w:jc w:val="center"/>
              <w:ind w:right="3559"/>
              <w:spacing w:after="0"/>
              <w:rPr>
                <w:sz w:val="20"/>
                <w:szCs w:val="20"/>
                <w:color w:val="auto"/>
              </w:rPr>
            </w:pPr>
            <w:r>
              <w:rPr>
                <w:rFonts w:ascii="Arial" w:cs="Arial" w:eastAsia="Arial" w:hAnsi="Arial"/>
                <w:sz w:val="14"/>
                <w:szCs w:val="14"/>
                <w:b w:val="1"/>
                <w:bCs w:val="1"/>
                <w:color w:val="auto"/>
                <w:w w:val="94"/>
              </w:rPr>
              <w:t>incorporation or organization)</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6040" w:type="dxa"/>
            <w:vAlign w:val="bottom"/>
          </w:tcPr>
          <w:p>
            <w:pPr>
              <w:jc w:val="center"/>
              <w:ind w:right="3559"/>
              <w:spacing w:after="0"/>
              <w:rPr>
                <w:sz w:val="20"/>
                <w:szCs w:val="20"/>
                <w:color w:val="auto"/>
              </w:rPr>
            </w:pPr>
            <w:r>
              <w:rPr>
                <w:rFonts w:ascii="Arial" w:cs="Arial" w:eastAsia="Arial" w:hAnsi="Arial"/>
                <w:sz w:val="18"/>
                <w:szCs w:val="18"/>
                <w:b w:val="1"/>
                <w:bCs w:val="1"/>
                <w:color w:val="auto"/>
                <w:w w:val="97"/>
              </w:rPr>
              <w:t>One M &amp; T Plaza</w:t>
            </w:r>
          </w:p>
        </w:tc>
        <w:tc>
          <w:tcPr>
            <w:tcW w:w="1540" w:type="dxa"/>
            <w:vAlign w:val="bottom"/>
          </w:tcPr>
          <w:p>
            <w:pPr>
              <w:spacing w:after="0"/>
              <w:rPr>
                <w:sz w:val="24"/>
                <w:szCs w:val="24"/>
                <w:color w:val="auto"/>
              </w:rPr>
            </w:pPr>
          </w:p>
        </w:tc>
      </w:tr>
      <w:tr>
        <w:trPr>
          <w:trHeight w:val="225"/>
        </w:trPr>
        <w:tc>
          <w:tcPr>
            <w:tcW w:w="6040" w:type="dxa"/>
            <w:vAlign w:val="bottom"/>
          </w:tcPr>
          <w:p>
            <w:pPr>
              <w:jc w:val="center"/>
              <w:ind w:right="3559"/>
              <w:spacing w:after="0"/>
              <w:rPr>
                <w:sz w:val="20"/>
                <w:szCs w:val="20"/>
                <w:color w:val="auto"/>
              </w:rPr>
            </w:pPr>
            <w:r>
              <w:rPr>
                <w:rFonts w:ascii="Arial" w:cs="Arial" w:eastAsia="Arial" w:hAnsi="Arial"/>
                <w:sz w:val="18"/>
                <w:szCs w:val="18"/>
                <w:b w:val="1"/>
                <w:bCs w:val="1"/>
                <w:color w:val="auto"/>
                <w:w w:val="93"/>
              </w:rPr>
              <w:t>Buffalo, New York</w:t>
            </w:r>
          </w:p>
        </w:tc>
        <w:tc>
          <w:tcPr>
            <w:tcW w:w="1540" w:type="dxa"/>
            <w:vAlign w:val="bottom"/>
          </w:tcPr>
          <w:p>
            <w:pPr>
              <w:jc w:val="right"/>
              <w:ind w:right="261"/>
              <w:spacing w:after="0"/>
              <w:rPr>
                <w:sz w:val="20"/>
                <w:szCs w:val="20"/>
                <w:color w:val="auto"/>
              </w:rPr>
            </w:pPr>
            <w:r>
              <w:rPr>
                <w:rFonts w:ascii="Arial" w:cs="Arial" w:eastAsia="Arial" w:hAnsi="Arial"/>
                <w:sz w:val="18"/>
                <w:szCs w:val="18"/>
                <w:b w:val="1"/>
                <w:bCs w:val="1"/>
                <w:color w:val="auto"/>
              </w:rPr>
              <w:t>14203</w:t>
            </w:r>
          </w:p>
        </w:tc>
      </w:tr>
      <w:tr>
        <w:trPr>
          <w:trHeight w:val="186"/>
        </w:trPr>
        <w:tc>
          <w:tcPr>
            <w:tcW w:w="6040" w:type="dxa"/>
            <w:vAlign w:val="bottom"/>
          </w:tcPr>
          <w:p>
            <w:pPr>
              <w:jc w:val="center"/>
              <w:ind w:right="35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6040" w:type="dxa"/>
            <w:vAlign w:val="bottom"/>
          </w:tcPr>
          <w:p>
            <w:pPr>
              <w:jc w:val="right"/>
              <w:ind w:right="1399"/>
              <w:spacing w:after="0"/>
              <w:rPr>
                <w:sz w:val="20"/>
                <w:szCs w:val="20"/>
                <w:color w:val="auto"/>
              </w:rPr>
            </w:pPr>
            <w:r>
              <w:rPr>
                <w:rFonts w:ascii="Arial" w:cs="Arial" w:eastAsia="Arial" w:hAnsi="Arial"/>
                <w:sz w:val="18"/>
                <w:szCs w:val="18"/>
                <w:b w:val="1"/>
                <w:bCs w:val="1"/>
                <w:color w:val="auto"/>
              </w:rPr>
              <w:t>(716) 635-4000</w:t>
            </w:r>
          </w:p>
        </w:tc>
        <w:tc>
          <w:tcPr>
            <w:tcW w:w="1540" w:type="dxa"/>
            <w:vAlign w:val="bottom"/>
          </w:tcPr>
          <w:p>
            <w:pPr>
              <w:spacing w:after="0"/>
              <w:rPr>
                <w:sz w:val="24"/>
                <w:szCs w:val="24"/>
                <w:color w:val="auto"/>
              </w:rPr>
            </w:pPr>
          </w:p>
        </w:tc>
      </w:tr>
      <w:tr>
        <w:trPr>
          <w:trHeight w:val="186"/>
        </w:trPr>
        <w:tc>
          <w:tcPr>
            <w:tcW w:w="6040" w:type="dxa"/>
            <w:vAlign w:val="bottom"/>
          </w:tcPr>
          <w:p>
            <w:pPr>
              <w:jc w:val="center"/>
              <w:ind w:left="185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0" w:lineRule="exact"/>
        <w:rPr>
          <w:sz w:val="24"/>
          <w:szCs w:val="24"/>
          <w:color w:val="auto"/>
        </w:rPr>
      </w:pPr>
    </w:p>
    <w:p>
      <w:pPr>
        <w:sectPr>
          <w:pgSz w:w="11900" w:h="16838" w:orient="portrait"/>
          <w:cols w:equalWidth="0" w:num="5">
            <w:col w:w="8140" w:space="180"/>
            <w:col w:w="160" w:space="80"/>
            <w:col w:w="260" w:space="180"/>
            <w:col w:w="160" w:space="80"/>
            <w:col w:w="2180"/>
          </w:cols>
          <w:pgMar w:left="240" w:top="230"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of the registrant’s Common Stock, $0.50 par value, outstanding as of the close of business on October 31, 2014: 132,111,892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M&amp;T BANK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FORM 10-Q</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 the Quarterly Period Ended September 30,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60" w:type="dxa"/>
            <w:vAlign w:val="bottom"/>
            <w:tcBorders>
              <w:bottom w:val="single" w:sz="8" w:color="auto"/>
            </w:tcBorders>
            <w:gridSpan w:val="13"/>
          </w:tcPr>
          <w:p>
            <w:pPr>
              <w:spacing w:after="0"/>
              <w:rPr>
                <w:sz w:val="20"/>
                <w:szCs w:val="20"/>
                <w:color w:val="auto"/>
              </w:rPr>
            </w:pPr>
            <w:r>
              <w:rPr>
                <w:rFonts w:ascii="Arial" w:cs="Arial" w:eastAsia="Arial" w:hAnsi="Arial"/>
                <w:sz w:val="14"/>
                <w:szCs w:val="14"/>
                <w:color w:val="auto"/>
                <w:w w:val="94"/>
              </w:rPr>
              <w:t>Table of Contents of Information Required in Report</w:t>
            </w:r>
          </w:p>
        </w:tc>
        <w:tc>
          <w:tcPr>
            <w:tcW w:w="7940" w:type="dxa"/>
            <w:vAlign w:val="bottom"/>
            <w:gridSpan w:val="11"/>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Page</w:t>
            </w:r>
          </w:p>
        </w:tc>
      </w:tr>
      <w:tr>
        <w:trPr>
          <w:trHeight w:val="264"/>
        </w:trPr>
        <w:tc>
          <w:tcPr>
            <w:tcW w:w="1100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320" w:type="dxa"/>
            <w:vAlign w:val="bottom"/>
          </w:tcPr>
          <w:p>
            <w:pPr>
              <w:spacing w:after="0"/>
              <w:rPr>
                <w:sz w:val="22"/>
                <w:szCs w:val="22"/>
                <w:color w:val="auto"/>
              </w:rPr>
            </w:pPr>
          </w:p>
        </w:tc>
      </w:tr>
      <w:tr>
        <w:trPr>
          <w:trHeight w:val="304"/>
        </w:trPr>
        <w:tc>
          <w:tcPr>
            <w:tcW w:w="1120" w:type="dxa"/>
            <w:vAlign w:val="bottom"/>
            <w:tcBorders>
              <w:top w:val="single" w:sz="8" w:color="0000EE"/>
            </w:tcBorders>
            <w:gridSpan w:val="2"/>
          </w:tcPr>
          <w:p>
            <w:pPr>
              <w:ind w:left="360"/>
              <w:spacing w:after="0"/>
              <w:rPr>
                <w:sz w:val="20"/>
                <w:szCs w:val="20"/>
                <w:color w:val="auto"/>
              </w:rPr>
            </w:pPr>
            <w:r>
              <w:rPr>
                <w:rFonts w:ascii="Arial" w:cs="Arial" w:eastAsia="Arial" w:hAnsi="Arial"/>
                <w:sz w:val="18"/>
                <w:szCs w:val="18"/>
                <w:color w:val="auto"/>
              </w:rPr>
              <w:t>Item 1.</w:t>
            </w:r>
          </w:p>
        </w:tc>
        <w:tc>
          <w:tcPr>
            <w:tcW w:w="1620" w:type="dxa"/>
            <w:vAlign w:val="bottom"/>
            <w:tcBorders>
              <w:top w:val="single" w:sz="8" w:color="0000EE"/>
            </w:tcBorders>
            <w:gridSpan w:val="9"/>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Financial Statements.</w:t>
              </w:r>
            </w:hyperlink>
          </w:p>
        </w:tc>
        <w:tc>
          <w:tcPr>
            <w:tcW w:w="8260" w:type="dxa"/>
            <w:vAlign w:val="bottom"/>
            <w:gridSpan w:val="13"/>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 - September 30, 2014 and December 31, 2013</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6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CONSOLIDATED STATEMENT OF INCOME - Three and nine months ended September 30, 2014 and 2013</w:t>
              </w:r>
            </w:hyperlink>
          </w:p>
        </w:tc>
        <w:tc>
          <w:tcPr>
            <w:tcW w:w="1920" w:type="dxa"/>
            <w:vAlign w:val="bottom"/>
            <w:gridSpan w:val="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22"/>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CONSOLIDATED STATEMENT OF COMPREHENSIVE INCOME - Three and nine months ended September 30, 2014 and 2013</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6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CONSOLIDATED STATEMENT OF CASH FLOWS - Nine months ended September 30, 2014 and 2013</w:t>
              </w:r>
            </w:hyperlink>
          </w:p>
        </w:tc>
        <w:tc>
          <w:tcPr>
            <w:tcW w:w="1840" w:type="dxa"/>
            <w:vAlign w:val="bottom"/>
            <w:tcBorders>
              <w:top w:val="single" w:sz="8" w:color="0000EE"/>
            </w:tcBorders>
            <w:gridSpan w:val="3"/>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22"/>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CONSOLIDATED STATEMENT OF CHANGES IN SHAREHOLDERS’ EQUITY - Nine months ended September 30, 2014 and</w:t>
              </w:r>
            </w:hyperlink>
          </w:p>
        </w:tc>
        <w:tc>
          <w:tcPr>
            <w:tcW w:w="32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top w:val="single" w:sz="8" w:color="0000EE"/>
            </w:tcBorders>
            <w:gridSpan w:val="2"/>
          </w:tcPr>
          <w:p>
            <w:pPr>
              <w:ind w:left="180"/>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2013</w:t>
              </w:r>
            </w:hyperlink>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NOTES TO FINANCIAL STATEMENTS</w:t>
              </w:r>
            </w:hyperlink>
          </w:p>
        </w:tc>
        <w:tc>
          <w:tcPr>
            <w:tcW w:w="6820" w:type="dxa"/>
            <w:vAlign w:val="bottom"/>
            <w:gridSpan w:val="9"/>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112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650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Management’s Discussion and Analysis of Financial Condition and Results of Operations.</w:t>
              </w:r>
            </w:hyperlink>
          </w:p>
        </w:tc>
        <w:tc>
          <w:tcPr>
            <w:tcW w:w="338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04"/>
        </w:trPr>
        <w:tc>
          <w:tcPr>
            <w:tcW w:w="112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440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104">
              <w:r>
                <w:rPr>
                  <w:rFonts w:ascii="Arial" w:cs="Arial" w:eastAsia="Arial" w:hAnsi="Arial"/>
                  <w:sz w:val="18"/>
                  <w:szCs w:val="18"/>
                  <w:color w:val="0000EE"/>
                  <w:w w:val="91"/>
                </w:rPr>
                <w:t>Quantitative and Qualitative Disclosures About Market Risk.</w:t>
              </w:r>
            </w:hyperlink>
          </w:p>
        </w:tc>
        <w:tc>
          <w:tcPr>
            <w:tcW w:w="548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102</w:t>
            </w:r>
          </w:p>
        </w:tc>
      </w:tr>
      <w:tr>
        <w:trPr>
          <w:trHeight w:val="304"/>
        </w:trPr>
        <w:tc>
          <w:tcPr>
            <w:tcW w:w="112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104">
              <w:r>
                <w:rPr>
                  <w:rFonts w:ascii="Arial" w:cs="Arial" w:eastAsia="Arial" w:hAnsi="Arial"/>
                  <w:sz w:val="18"/>
                  <w:szCs w:val="18"/>
                  <w:color w:val="0000EE"/>
                  <w:w w:val="88"/>
                </w:rPr>
                <w:t>Controls and Procedures.</w:t>
              </w:r>
            </w:hyperlink>
          </w:p>
        </w:tc>
        <w:tc>
          <w:tcPr>
            <w:tcW w:w="8060" w:type="dxa"/>
            <w:vAlign w:val="bottom"/>
            <w:gridSpan w:val="1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102</w:t>
            </w:r>
          </w:p>
        </w:tc>
      </w:tr>
      <w:tr>
        <w:trPr>
          <w:trHeight w:val="304"/>
        </w:trPr>
        <w:tc>
          <w:tcPr>
            <w:tcW w:w="244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104">
              <w:r>
                <w:rPr>
                  <w:rFonts w:ascii="Arial" w:cs="Arial" w:eastAsia="Arial" w:hAnsi="Arial"/>
                  <w:sz w:val="18"/>
                  <w:szCs w:val="18"/>
                  <w:color w:val="0000EE"/>
                  <w:w w:val="95"/>
                </w:rPr>
                <w:t>Part II. OTHER INFORMATION</w:t>
              </w:r>
            </w:hyperlink>
          </w:p>
        </w:tc>
        <w:tc>
          <w:tcPr>
            <w:tcW w:w="8560" w:type="dxa"/>
            <w:vAlign w:val="bottom"/>
            <w:gridSpan w:val="17"/>
          </w:tcPr>
          <w:p>
            <w:pPr>
              <w:spacing w:after="0"/>
              <w:rPr>
                <w:sz w:val="24"/>
                <w:szCs w:val="24"/>
                <w:color w:val="auto"/>
              </w:rPr>
            </w:pPr>
          </w:p>
        </w:tc>
        <w:tc>
          <w:tcPr>
            <w:tcW w:w="320" w:type="dxa"/>
            <w:vAlign w:val="bottom"/>
          </w:tcPr>
          <w:p>
            <w:pPr>
              <w:spacing w:after="0"/>
              <w:rPr>
                <w:sz w:val="24"/>
                <w:szCs w:val="24"/>
                <w:color w:val="auto"/>
              </w:rPr>
            </w:pPr>
          </w:p>
        </w:tc>
      </w:tr>
      <w:tr>
        <w:trPr>
          <w:trHeight w:val="304"/>
        </w:trPr>
        <w:tc>
          <w:tcPr>
            <w:tcW w:w="112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13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04">
              <w:r>
                <w:rPr>
                  <w:rFonts w:ascii="Arial" w:cs="Arial" w:eastAsia="Arial" w:hAnsi="Arial"/>
                  <w:sz w:val="18"/>
                  <w:szCs w:val="18"/>
                  <w:color w:val="0000EE"/>
                  <w:w w:val="88"/>
                </w:rPr>
                <w:t>Legal Proceedings.</w:t>
              </w:r>
            </w:hyperlink>
          </w:p>
        </w:tc>
        <w:tc>
          <w:tcPr>
            <w:tcW w:w="8500" w:type="dxa"/>
            <w:vAlign w:val="bottom"/>
            <w:gridSpan w:val="1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102</w:t>
            </w:r>
          </w:p>
        </w:tc>
      </w:tr>
      <w:tr>
        <w:trPr>
          <w:trHeight w:val="304"/>
        </w:trPr>
        <w:tc>
          <w:tcPr>
            <w:tcW w:w="1120" w:type="dxa"/>
            <w:vAlign w:val="bottom"/>
            <w:gridSpan w:val="2"/>
          </w:tcPr>
          <w:p>
            <w:pPr>
              <w:ind w:left="360"/>
              <w:spacing w:after="0"/>
              <w:rPr>
                <w:sz w:val="20"/>
                <w:szCs w:val="20"/>
                <w:color w:val="auto"/>
              </w:rPr>
            </w:pPr>
            <w:r>
              <w:rPr>
                <w:rFonts w:ascii="Arial" w:cs="Arial" w:eastAsia="Arial" w:hAnsi="Arial"/>
                <w:sz w:val="18"/>
                <w:szCs w:val="18"/>
                <w:color w:val="auto"/>
              </w:rPr>
              <w:t>Item 1A.</w:t>
            </w:r>
          </w:p>
        </w:tc>
        <w:tc>
          <w:tcPr>
            <w:tcW w:w="9880" w:type="dxa"/>
            <w:vAlign w:val="bottom"/>
            <w:gridSpan w:val="22"/>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Risk Factors.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103</w:t>
            </w: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50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2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9880" w:type="dxa"/>
            <w:vAlign w:val="bottom"/>
            <w:gridSpan w:val="22"/>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Unregistered Sales of Equity Securities and Use of Proceeds.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104</w:t>
            </w:r>
          </w:p>
        </w:tc>
      </w:tr>
      <w:tr>
        <w:trPr>
          <w:trHeight w:val="304"/>
        </w:trPr>
        <w:tc>
          <w:tcPr>
            <w:tcW w:w="112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tcBorders>
            <w:gridSpan w:val="14"/>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Defaults Upon Senior Securities.</w:t>
              </w:r>
            </w:hyperlink>
          </w:p>
        </w:tc>
        <w:tc>
          <w:tcPr>
            <w:tcW w:w="5500" w:type="dxa"/>
            <w:vAlign w:val="bottom"/>
            <w:gridSpan w:val="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104</w:t>
            </w:r>
          </w:p>
        </w:tc>
      </w:tr>
      <w:tr>
        <w:trPr>
          <w:trHeight w:val="304"/>
        </w:trPr>
        <w:tc>
          <w:tcPr>
            <w:tcW w:w="112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18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106">
              <w:r>
                <w:rPr>
                  <w:rFonts w:ascii="Arial" w:cs="Arial" w:eastAsia="Arial" w:hAnsi="Arial"/>
                  <w:sz w:val="18"/>
                  <w:szCs w:val="18"/>
                  <w:color w:val="0000EE"/>
                  <w:w w:val="90"/>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7520" w:type="dxa"/>
            <w:vAlign w:val="bottom"/>
            <w:gridSpan w:val="1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104</w:t>
            </w:r>
          </w:p>
        </w:tc>
      </w:tr>
      <w:tr>
        <w:trPr>
          <w:trHeight w:val="304"/>
        </w:trPr>
        <w:tc>
          <w:tcPr>
            <w:tcW w:w="1120" w:type="dxa"/>
            <w:vAlign w:val="bottom"/>
            <w:gridSpan w:val="2"/>
          </w:tcPr>
          <w:p>
            <w:pPr>
              <w:ind w:left="360"/>
              <w:spacing w:after="0"/>
              <w:rPr>
                <w:sz w:val="20"/>
                <w:szCs w:val="20"/>
                <w:color w:val="auto"/>
              </w:rPr>
            </w:pPr>
            <w:r>
              <w:rPr>
                <w:rFonts w:ascii="Arial" w:cs="Arial" w:eastAsia="Arial" w:hAnsi="Arial"/>
                <w:sz w:val="18"/>
                <w:szCs w:val="18"/>
                <w:color w:val="auto"/>
              </w:rPr>
              <w:t>Item 5.</w:t>
            </w:r>
          </w:p>
        </w:tc>
        <w:tc>
          <w:tcPr>
            <w:tcW w:w="136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106">
              <w:r>
                <w:rPr>
                  <w:rFonts w:ascii="Arial" w:cs="Arial" w:eastAsia="Arial" w:hAnsi="Arial"/>
                  <w:sz w:val="18"/>
                  <w:szCs w:val="18"/>
                  <w:color w:val="0000EE"/>
                  <w:w w:val="92"/>
                </w:rPr>
                <w:t>Other Information.</w:t>
              </w:r>
            </w:hyperlink>
          </w:p>
        </w:tc>
        <w:tc>
          <w:tcPr>
            <w:tcW w:w="8520" w:type="dxa"/>
            <w:vAlign w:val="bottom"/>
            <w:gridSpan w:val="1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104</w:t>
            </w:r>
          </w:p>
        </w:tc>
      </w:tr>
      <w:tr>
        <w:trPr>
          <w:trHeight w:val="304"/>
        </w:trPr>
        <w:tc>
          <w:tcPr>
            <w:tcW w:w="1120" w:type="dxa"/>
            <w:vAlign w:val="bottom"/>
            <w:gridSpan w:val="2"/>
          </w:tcPr>
          <w:p>
            <w:pPr>
              <w:ind w:left="360"/>
              <w:spacing w:after="0"/>
              <w:rPr>
                <w:sz w:val="20"/>
                <w:szCs w:val="20"/>
                <w:color w:val="auto"/>
              </w:rPr>
            </w:pPr>
            <w:r>
              <w:rPr>
                <w:rFonts w:ascii="Arial" w:cs="Arial" w:eastAsia="Arial" w:hAnsi="Arial"/>
                <w:sz w:val="18"/>
                <w:szCs w:val="18"/>
                <w:color w:val="auto"/>
              </w:rPr>
              <w:t>Item 6.</w:t>
            </w:r>
          </w:p>
        </w:tc>
        <w:tc>
          <w:tcPr>
            <w:tcW w:w="9880" w:type="dxa"/>
            <w:vAlign w:val="bottom"/>
            <w:gridSpan w:val="22"/>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Exhibits.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105</w:t>
            </w:r>
          </w:p>
        </w:tc>
      </w:tr>
      <w:tr>
        <w:trPr>
          <w:trHeight w:val="304"/>
        </w:trPr>
        <w:tc>
          <w:tcPr>
            <w:tcW w:w="1120" w:type="dxa"/>
            <w:vAlign w:val="bottom"/>
            <w:gridSpan w:val="2"/>
          </w:tcPr>
          <w:p>
            <w:pPr>
              <w:spacing w:after="0"/>
              <w:rPr>
                <w:rFonts w:ascii="Arial" w:cs="Arial" w:eastAsia="Arial" w:hAnsi="Arial"/>
                <w:sz w:val="18"/>
                <w:szCs w:val="18"/>
                <w:color w:val="0000EE"/>
                <w:w w:val="93"/>
              </w:rPr>
            </w:pPr>
            <w:hyperlink w:anchor="page107">
              <w:r>
                <w:rPr>
                  <w:rFonts w:ascii="Arial" w:cs="Arial" w:eastAsia="Arial" w:hAnsi="Arial"/>
                  <w:sz w:val="18"/>
                  <w:szCs w:val="18"/>
                  <w:color w:val="0000EE"/>
                  <w:w w:val="93"/>
                </w:rPr>
                <w:t>SIGNATURES</w:t>
              </w:r>
            </w:hyperlink>
          </w:p>
        </w:tc>
        <w:tc>
          <w:tcPr>
            <w:tcW w:w="2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105</w:t>
            </w:r>
          </w:p>
        </w:tc>
      </w:tr>
      <w:tr>
        <w:trPr>
          <w:trHeight w:val="20"/>
        </w:trPr>
        <w:tc>
          <w:tcPr>
            <w:tcW w:w="11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60" w:type="dxa"/>
            <w:vAlign w:val="bottom"/>
            <w:gridSpan w:val="2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34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108">
              <w:r>
                <w:rPr>
                  <w:rFonts w:ascii="Arial" w:cs="Arial" w:eastAsia="Arial" w:hAnsi="Arial"/>
                  <w:sz w:val="18"/>
                  <w:szCs w:val="18"/>
                  <w:color w:val="0000EE"/>
                  <w:w w:val="99"/>
                </w:rPr>
                <w:t>EXHIBIT INDEX</w:t>
              </w:r>
            </w:hyperlink>
          </w:p>
        </w:tc>
        <w:tc>
          <w:tcPr>
            <w:tcW w:w="9660" w:type="dxa"/>
            <w:vAlign w:val="bottom"/>
            <w:gridSpan w:val="21"/>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106</w:t>
            </w:r>
          </w:p>
        </w:tc>
      </w:tr>
      <w:tr>
        <w:trPr>
          <w:trHeight w:val="385"/>
        </w:trPr>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gridSpan w:val="16"/>
          </w:tcPr>
          <w:p>
            <w:pPr>
              <w:ind w:left="4440"/>
              <w:spacing w:after="0"/>
              <w:rPr>
                <w:sz w:val="20"/>
                <w:szCs w:val="20"/>
                <w:color w:val="auto"/>
              </w:rPr>
            </w:pPr>
            <w:r>
              <w:rPr>
                <w:rFonts w:ascii="Arial" w:cs="Arial" w:eastAsia="Arial" w:hAnsi="Arial"/>
                <w:sz w:val="18"/>
                <w:szCs w:val="18"/>
                <w:color w:val="auto"/>
              </w:rPr>
              <w:t>- 2 -</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thousands, except per share</w:t>
            </w:r>
          </w:p>
        </w:tc>
        <w:tc>
          <w:tcPr>
            <w:tcW w:w="8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w w:val="93"/>
              </w:rPr>
              <w:t>September 30,</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74"/>
        </w:trPr>
        <w:tc>
          <w:tcPr>
            <w:tcW w:w="92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30"/>
              <w:spacing w:after="0" w:line="154" w:lineRule="exact"/>
              <w:rPr>
                <w:sz w:val="20"/>
                <w:szCs w:val="20"/>
                <w:color w:val="auto"/>
              </w:rPr>
            </w:pPr>
            <w:r>
              <w:rPr>
                <w:rFonts w:ascii="Arial" w:cs="Arial" w:eastAsia="Arial" w:hAnsi="Arial"/>
                <w:sz w:val="14"/>
                <w:szCs w:val="14"/>
                <w:color w:val="auto"/>
              </w:rPr>
              <w:t>2014</w:t>
            </w:r>
          </w:p>
        </w:tc>
        <w:tc>
          <w:tcPr>
            <w:tcW w:w="200" w:type="dxa"/>
            <w:vAlign w:val="bottom"/>
          </w:tcPr>
          <w:p>
            <w:pPr>
              <w:spacing w:after="0"/>
              <w:rPr>
                <w:sz w:val="15"/>
                <w:szCs w:val="15"/>
                <w:color w:val="auto"/>
              </w:rPr>
            </w:pPr>
          </w:p>
        </w:tc>
        <w:tc>
          <w:tcPr>
            <w:tcW w:w="880" w:type="dxa"/>
            <w:vAlign w:val="bottom"/>
          </w:tcPr>
          <w:p>
            <w:pPr>
              <w:jc w:val="right"/>
              <w:ind w:right="211"/>
              <w:spacing w:after="0" w:line="154"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640" w:type="dxa"/>
            <w:vAlign w:val="bottom"/>
            <w:tcBorders>
              <w:top w:val="single" w:sz="8" w:color="auto"/>
            </w:tcBorders>
            <w:shd w:val="clear" w:color="auto" w:fill="CCEEFF"/>
          </w:tcPr>
          <w:p>
            <w:pPr>
              <w:spacing w:after="0"/>
              <w:rPr>
                <w:sz w:val="16"/>
                <w:szCs w:val="16"/>
                <w:color w:val="auto"/>
              </w:rPr>
            </w:pPr>
          </w:p>
        </w:tc>
        <w:tc>
          <w:tcPr>
            <w:tcW w:w="69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7600" w:type="dxa"/>
            <w:vAlign w:val="bottom"/>
            <w:gridSpan w:val="2"/>
          </w:tcPr>
          <w:p>
            <w:pPr>
              <w:ind w:left="160"/>
              <w:spacing w:after="0"/>
              <w:rPr>
                <w:sz w:val="20"/>
                <w:szCs w:val="20"/>
                <w:color w:val="auto"/>
              </w:rPr>
            </w:pPr>
            <w:r>
              <w:rPr>
                <w:rFonts w:ascii="Arial" w:cs="Arial" w:eastAsia="Arial" w:hAnsi="Arial"/>
                <w:sz w:val="18"/>
                <w:szCs w:val="18"/>
                <w:color w:val="auto"/>
              </w:rPr>
              <w:t>Cash and due from banks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1,445,877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1,573,361</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Interest-bearing deposits at banks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7,676,064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1,651,138</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7600" w:type="dxa"/>
            <w:vAlign w:val="bottom"/>
            <w:gridSpan w:val="2"/>
          </w:tcPr>
          <w:p>
            <w:pPr>
              <w:ind w:left="160"/>
              <w:spacing w:after="0"/>
              <w:rPr>
                <w:sz w:val="20"/>
                <w:szCs w:val="20"/>
                <w:color w:val="auto"/>
              </w:rPr>
            </w:pPr>
            <w:r>
              <w:rPr>
                <w:rFonts w:ascii="Arial" w:cs="Arial" w:eastAsia="Arial" w:hAnsi="Arial"/>
                <w:sz w:val="18"/>
                <w:szCs w:val="18"/>
                <w:color w:val="auto"/>
              </w:rPr>
              <w:t>Federal funds sold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77,766</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99,573</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Trading account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296,913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376,131</w:t>
            </w:r>
          </w:p>
        </w:tc>
        <w:tc>
          <w:tcPr>
            <w:tcW w:w="0" w:type="dxa"/>
            <w:vAlign w:val="bottom"/>
          </w:tcPr>
          <w:p>
            <w:pPr>
              <w:spacing w:after="0"/>
              <w:rPr>
                <w:sz w:val="1"/>
                <w:szCs w:val="1"/>
                <w:color w:val="auto"/>
              </w:rPr>
            </w:pPr>
          </w:p>
        </w:tc>
      </w:tr>
      <w:tr>
        <w:trPr>
          <w:trHeight w:val="202"/>
        </w:trPr>
        <w:tc>
          <w:tcPr>
            <w:tcW w:w="1640" w:type="dxa"/>
            <w:vAlign w:val="bottom"/>
          </w:tcPr>
          <w:p>
            <w:pPr>
              <w:spacing w:after="0"/>
              <w:rPr>
                <w:sz w:val="17"/>
                <w:szCs w:val="17"/>
                <w:color w:val="auto"/>
              </w:rPr>
            </w:pPr>
          </w:p>
        </w:tc>
        <w:tc>
          <w:tcPr>
            <w:tcW w:w="76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6"/>
              </w:rPr>
              <w:t>Investment securities (includes pledged securities that can be sold or repledged of $1,634,682 at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September 30, 2014; $1,696,438 at December 31, 2013)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3"/>
              </w:rPr>
              <w:t>Available for sale (cost: $9,175,295 at September 30, 2014; $4,444,365 at December 31, 2013)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9,384,017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4,531,786</w:t>
            </w:r>
          </w:p>
        </w:tc>
        <w:tc>
          <w:tcPr>
            <w:tcW w:w="0" w:type="dxa"/>
            <w:vAlign w:val="bottom"/>
          </w:tcPr>
          <w:p>
            <w:pPr>
              <w:spacing w:after="0"/>
              <w:rPr>
                <w:sz w:val="1"/>
                <w:szCs w:val="1"/>
                <w:color w:val="auto"/>
              </w:rPr>
            </w:pPr>
          </w:p>
        </w:tc>
      </w:tr>
      <w:tr>
        <w:trPr>
          <w:trHeight w:val="202"/>
        </w:trPr>
        <w:tc>
          <w:tcPr>
            <w:tcW w:w="1640" w:type="dxa"/>
            <w:vAlign w:val="bottom"/>
          </w:tcPr>
          <w:p>
            <w:pPr>
              <w:spacing w:after="0"/>
              <w:rPr>
                <w:sz w:val="17"/>
                <w:szCs w:val="17"/>
                <w:color w:val="auto"/>
              </w:rPr>
            </w:pPr>
          </w:p>
        </w:tc>
        <w:tc>
          <w:tcPr>
            <w:tcW w:w="7600" w:type="dxa"/>
            <w:vAlign w:val="bottom"/>
            <w:gridSpan w:val="2"/>
          </w:tcPr>
          <w:p>
            <w:pPr>
              <w:ind w:left="520"/>
              <w:spacing w:after="0" w:line="201" w:lineRule="exact"/>
              <w:rPr>
                <w:sz w:val="20"/>
                <w:szCs w:val="20"/>
                <w:color w:val="auto"/>
              </w:rPr>
            </w:pPr>
            <w:r>
              <w:rPr>
                <w:rFonts w:ascii="Arial" w:cs="Arial" w:eastAsia="Arial" w:hAnsi="Arial"/>
                <w:sz w:val="18"/>
                <w:szCs w:val="18"/>
                <w:color w:val="auto"/>
                <w:w w:val="95"/>
              </w:rPr>
              <w:t>Held to maturity (fair value: $3,621,391 at September 30, 2014; $3,860,127 at December 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7600" w:type="dxa"/>
            <w:vAlign w:val="bottom"/>
            <w:gridSpan w:val="2"/>
          </w:tcPr>
          <w:p>
            <w:pPr>
              <w:ind w:left="700"/>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3,635,815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3,966,130</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Other (fair value: $328,536 at September 30, 2014; $298,581 at December 31, 2013)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328,536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298,581</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Total investment securities</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13,348,368</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8,796,497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Loans and leases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65,800,972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64,325,783</w:t>
            </w: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7600" w:type="dxa"/>
            <w:vAlign w:val="bottom"/>
            <w:gridSpan w:val="2"/>
          </w:tcPr>
          <w:p>
            <w:pPr>
              <w:ind w:left="520"/>
              <w:spacing w:after="0"/>
              <w:rPr>
                <w:sz w:val="20"/>
                <w:szCs w:val="20"/>
                <w:color w:val="auto"/>
              </w:rPr>
            </w:pPr>
            <w:r>
              <w:rPr>
                <w:rFonts w:ascii="Arial" w:cs="Arial" w:eastAsia="Arial" w:hAnsi="Arial"/>
                <w:sz w:val="18"/>
                <w:szCs w:val="18"/>
                <w:color w:val="auto"/>
              </w:rPr>
              <w:t>Unearned discount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(228,613)</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(252,624)</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Loans and leases, net of unearned discount</w:t>
            </w: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65,572,359</w:t>
            </w: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64,073,159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7600" w:type="dxa"/>
            <w:vAlign w:val="bottom"/>
            <w:gridSpan w:val="2"/>
          </w:tcPr>
          <w:p>
            <w:pPr>
              <w:ind w:left="520"/>
              <w:spacing w:after="0"/>
              <w:rPr>
                <w:sz w:val="20"/>
                <w:szCs w:val="20"/>
                <w:color w:val="auto"/>
              </w:rPr>
            </w:pPr>
            <w:r>
              <w:rPr>
                <w:rFonts w:ascii="Arial" w:cs="Arial" w:eastAsia="Arial" w:hAnsi="Arial"/>
                <w:sz w:val="18"/>
                <w:szCs w:val="18"/>
                <w:color w:val="auto"/>
              </w:rPr>
              <w:t>Allowance for credit losses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(918,633)</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(916,676)</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Loans and leases, net</w:t>
            </w: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64,653,726</w:t>
            </w: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63,156,483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7600" w:type="dxa"/>
            <w:vAlign w:val="bottom"/>
            <w:gridSpan w:val="2"/>
          </w:tcPr>
          <w:p>
            <w:pPr>
              <w:ind w:left="160"/>
              <w:spacing w:after="0"/>
              <w:rPr>
                <w:sz w:val="20"/>
                <w:szCs w:val="20"/>
                <w:color w:val="auto"/>
              </w:rPr>
            </w:pPr>
            <w:r>
              <w:rPr>
                <w:rFonts w:ascii="Arial" w:cs="Arial" w:eastAsia="Arial" w:hAnsi="Arial"/>
                <w:sz w:val="18"/>
                <w:szCs w:val="18"/>
                <w:color w:val="auto"/>
              </w:rPr>
              <w:t>Premises and equipment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612,076</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633,520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3,524,625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3,524,625</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7600" w:type="dxa"/>
            <w:vAlign w:val="bottom"/>
            <w:gridSpan w:val="2"/>
          </w:tcPr>
          <w:p>
            <w:pPr>
              <w:ind w:left="160"/>
              <w:spacing w:after="0"/>
              <w:rPr>
                <w:sz w:val="20"/>
                <w:szCs w:val="20"/>
                <w:color w:val="auto"/>
              </w:rPr>
            </w:pPr>
            <w:r>
              <w:rPr>
                <w:rFonts w:ascii="Arial" w:cs="Arial" w:eastAsia="Arial" w:hAnsi="Arial"/>
                <w:sz w:val="18"/>
                <w:szCs w:val="18"/>
                <w:color w:val="auto"/>
              </w:rPr>
              <w:t>Core deposit and other intangible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42,197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68,851</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interest and other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5,550,730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5,282,212</w:t>
            </w: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97,228,342</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85,162,391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64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7600" w:type="dxa"/>
            <w:vAlign w:val="bottom"/>
            <w:gridSpan w:val="2"/>
          </w:tcPr>
          <w:p>
            <w:pPr>
              <w:ind w:left="160"/>
              <w:spacing w:after="0"/>
              <w:rPr>
                <w:sz w:val="20"/>
                <w:szCs w:val="20"/>
                <w:color w:val="auto"/>
              </w:rPr>
            </w:pPr>
            <w:r>
              <w:rPr>
                <w:rFonts w:ascii="Arial" w:cs="Arial" w:eastAsia="Arial" w:hAnsi="Arial"/>
                <w:sz w:val="18"/>
                <w:szCs w:val="18"/>
                <w:color w:val="auto"/>
              </w:rPr>
              <w:t>Noninterest-bearing deposits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27,440,524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24,661,007</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NOW accounts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2,098,577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1,989,441</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7600" w:type="dxa"/>
            <w:vAlign w:val="bottom"/>
            <w:gridSpan w:val="2"/>
          </w:tcPr>
          <w:p>
            <w:pPr>
              <w:ind w:left="160"/>
              <w:spacing w:after="0"/>
              <w:rPr>
                <w:sz w:val="20"/>
                <w:szCs w:val="20"/>
                <w:color w:val="auto"/>
              </w:rPr>
            </w:pPr>
            <w:r>
              <w:rPr>
                <w:rFonts w:ascii="Arial" w:cs="Arial" w:eastAsia="Arial" w:hAnsi="Arial"/>
                <w:sz w:val="18"/>
                <w:szCs w:val="18"/>
                <w:color w:val="auto"/>
              </w:rPr>
              <w:t>Savings deposits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41,389,867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36,621,580</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3,170,998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3,523,838</w:t>
            </w: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7600" w:type="dxa"/>
            <w:vAlign w:val="bottom"/>
            <w:gridSpan w:val="2"/>
          </w:tcPr>
          <w:p>
            <w:pPr>
              <w:ind w:left="160"/>
              <w:spacing w:after="0"/>
              <w:rPr>
                <w:sz w:val="20"/>
                <w:szCs w:val="20"/>
                <w:color w:val="auto"/>
              </w:rPr>
            </w:pPr>
            <w:r>
              <w:rPr>
                <w:rFonts w:ascii="Arial" w:cs="Arial" w:eastAsia="Arial" w:hAnsi="Arial"/>
                <w:sz w:val="18"/>
                <w:szCs w:val="18"/>
                <w:color w:val="auto"/>
              </w:rPr>
              <w:t>Deposits at Cayman Islands office</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241,536</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deposits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74,341,502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67,118,612</w:t>
            </w: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7600" w:type="dxa"/>
            <w:vAlign w:val="bottom"/>
            <w:gridSpan w:val="2"/>
          </w:tcPr>
          <w:p>
            <w:pPr>
              <w:ind w:left="160"/>
              <w:spacing w:after="0"/>
              <w:rPr>
                <w:sz w:val="20"/>
                <w:szCs w:val="20"/>
                <w:color w:val="auto"/>
              </w:rPr>
            </w:pPr>
            <w:r>
              <w:rPr>
                <w:rFonts w:ascii="Arial" w:cs="Arial" w:eastAsia="Arial" w:hAnsi="Arial"/>
                <w:sz w:val="18"/>
                <w:szCs w:val="18"/>
                <w:color w:val="auto"/>
              </w:rPr>
              <w:t>Federal funds purchased and agreements to repurchase securities</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164,609</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interest and other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1,327,524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1,368,922</w:t>
            </w: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7600" w:type="dxa"/>
            <w:vAlign w:val="bottom"/>
            <w:gridSpan w:val="2"/>
          </w:tcPr>
          <w:p>
            <w:pPr>
              <w:ind w:left="160"/>
              <w:spacing w:after="0"/>
              <w:rPr>
                <w:sz w:val="20"/>
                <w:szCs w:val="20"/>
                <w:color w:val="auto"/>
              </w:rPr>
            </w:pPr>
            <w:r>
              <w:rPr>
                <w:rFonts w:ascii="Arial" w:cs="Arial" w:eastAsia="Arial" w:hAnsi="Arial"/>
                <w:sz w:val="18"/>
                <w:szCs w:val="18"/>
                <w:color w:val="auto"/>
              </w:rPr>
              <w:t>Long-term borrowings</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9,061,391</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5,108,870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84,895,026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73,856,859</w:t>
            </w:r>
          </w:p>
        </w:tc>
        <w:tc>
          <w:tcPr>
            <w:tcW w:w="0" w:type="dxa"/>
            <w:vAlign w:val="bottom"/>
          </w:tcPr>
          <w:p>
            <w:pPr>
              <w:spacing w:after="0"/>
              <w:rPr>
                <w:sz w:val="1"/>
                <w:szCs w:val="1"/>
                <w:color w:val="auto"/>
              </w:rPr>
            </w:pPr>
          </w:p>
        </w:tc>
      </w:tr>
      <w:tr>
        <w:trPr>
          <w:trHeight w:val="209"/>
        </w:trPr>
        <w:tc>
          <w:tcPr>
            <w:tcW w:w="1640" w:type="dxa"/>
            <w:vAlign w:val="bottom"/>
          </w:tcPr>
          <w:p>
            <w:pPr>
              <w:spacing w:after="0"/>
              <w:rPr>
                <w:sz w:val="20"/>
                <w:szCs w:val="20"/>
                <w:color w:val="auto"/>
              </w:rPr>
            </w:pPr>
            <w:r>
              <w:rPr>
                <w:rFonts w:ascii="Arial" w:cs="Arial" w:eastAsia="Arial" w:hAnsi="Arial"/>
                <w:sz w:val="18"/>
                <w:szCs w:val="18"/>
                <w:color w:val="auto"/>
                <w:w w:val="98"/>
              </w:rPr>
              <w:t>Shareholders’ equity</w:t>
            </w:r>
          </w:p>
        </w:tc>
        <w:tc>
          <w:tcPr>
            <w:tcW w:w="7600" w:type="dxa"/>
            <w:vAlign w:val="bottom"/>
            <w:gridSpan w:val="2"/>
          </w:tcPr>
          <w:p>
            <w:pPr>
              <w:ind w:left="160"/>
              <w:spacing w:after="0"/>
              <w:rPr>
                <w:sz w:val="20"/>
                <w:szCs w:val="20"/>
                <w:color w:val="auto"/>
              </w:rPr>
            </w:pPr>
            <w:r>
              <w:rPr>
                <w:rFonts w:ascii="Arial" w:cs="Arial" w:eastAsia="Arial" w:hAnsi="Arial"/>
                <w:sz w:val="18"/>
                <w:szCs w:val="18"/>
                <w:color w:val="auto"/>
              </w:rPr>
              <w:t>Preferred stock, $1.00 par, 1,000,000 shares authorized; Issued and outstanding: Liquidation</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w w:val="89"/>
              </w:rPr>
              <w:t>preference of $1,000 per share: 731,500 shares at September 30, 2014; 381,500 shares at December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w w:val="93"/>
              </w:rPr>
              <w:t>31, 2013; Liquidation preference of $10,000 per share: 50,000 shares at September 30, 2014 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December 31, 2013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1,231,500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881,500</w:t>
            </w:r>
          </w:p>
        </w:tc>
        <w:tc>
          <w:tcPr>
            <w:tcW w:w="0" w:type="dxa"/>
            <w:vAlign w:val="bottom"/>
          </w:tcPr>
          <w:p>
            <w:pPr>
              <w:spacing w:after="0"/>
              <w:rPr>
                <w:sz w:val="1"/>
                <w:szCs w:val="1"/>
                <w:color w:val="auto"/>
              </w:rPr>
            </w:pPr>
          </w:p>
        </w:tc>
      </w:tr>
      <w:tr>
        <w:trPr>
          <w:trHeight w:val="202"/>
        </w:trPr>
        <w:tc>
          <w:tcPr>
            <w:tcW w:w="1640" w:type="dxa"/>
            <w:vAlign w:val="bottom"/>
            <w:shd w:val="clear" w:color="auto" w:fill="CCEEFF"/>
          </w:tcPr>
          <w:p>
            <w:pPr>
              <w:spacing w:after="0"/>
              <w:rPr>
                <w:sz w:val="17"/>
                <w:szCs w:val="17"/>
                <w:color w:val="auto"/>
              </w:rPr>
            </w:pPr>
          </w:p>
        </w:tc>
        <w:tc>
          <w:tcPr>
            <w:tcW w:w="76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Common stock, $.50 par, 250,000,000 shares authorized, 132,100,384 shares issued at September 30,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40" w:type="dxa"/>
            <w:vAlign w:val="bottom"/>
            <w:shd w:val="clear" w:color="auto" w:fill="CCEEFF"/>
          </w:tcPr>
          <w:p>
            <w:pPr>
              <w:spacing w:after="0"/>
              <w:rPr>
                <w:sz w:val="20"/>
                <w:szCs w:val="20"/>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2014; 130,516,364 shares issued at December 31, 2013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66,050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65,258</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7600" w:type="dxa"/>
            <w:vAlign w:val="bottom"/>
            <w:gridSpan w:val="2"/>
          </w:tcPr>
          <w:p>
            <w:pPr>
              <w:ind w:left="160"/>
              <w:spacing w:after="0"/>
              <w:rPr>
                <w:sz w:val="20"/>
                <w:szCs w:val="20"/>
                <w:color w:val="auto"/>
              </w:rPr>
            </w:pPr>
            <w:r>
              <w:rPr>
                <w:rFonts w:ascii="Arial" w:cs="Arial" w:eastAsia="Arial" w:hAnsi="Arial"/>
                <w:sz w:val="18"/>
                <w:szCs w:val="18"/>
                <w:color w:val="auto"/>
                <w:w w:val="91"/>
              </w:rPr>
              <w:t>Common stock issuable, 41,261 shares at September 30, 2014; 47,231 shares at December 31, 2013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2,590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3,377,714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3,232,014</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760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7,642,995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7,188,004</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12,467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(64,159)</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Total shareholders’ equity</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12,333,316</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11,305,532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97,228,342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85,162,391</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- 3 -</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0" w:type="dxa"/>
            <w:vAlign w:val="bottom"/>
            <w:gridSpan w:val="2"/>
            <w:vMerge w:val="restart"/>
          </w:tcPr>
          <w:p>
            <w:pPr>
              <w:spacing w:after="0"/>
              <w:rPr>
                <w:sz w:val="20"/>
                <w:szCs w:val="20"/>
                <w:color w:val="auto"/>
              </w:rPr>
            </w:pPr>
            <w:r>
              <w:rPr>
                <w:rFonts w:ascii="Arial" w:cs="Arial" w:eastAsia="Arial" w:hAnsi="Arial"/>
                <w:sz w:val="14"/>
                <w:szCs w:val="14"/>
                <w:i w:val="1"/>
                <w:iCs w:val="1"/>
                <w:color w:val="auto"/>
                <w:w w:val="92"/>
              </w:rPr>
              <w:t>In thousands, except per share</w:t>
            </w:r>
          </w:p>
        </w:tc>
        <w:tc>
          <w:tcPr>
            <w:tcW w:w="5240" w:type="dxa"/>
            <w:vAlign w:val="bottom"/>
            <w:vMerge w:val="restart"/>
          </w:tcPr>
          <w:p>
            <w:pPr>
              <w:spacing w:after="0"/>
              <w:rPr>
                <w:sz w:val="14"/>
                <w:szCs w:val="14"/>
                <w:color w:val="auto"/>
              </w:rPr>
            </w:pPr>
          </w:p>
        </w:tc>
        <w:tc>
          <w:tcPr>
            <w:tcW w:w="2180" w:type="dxa"/>
            <w:vAlign w:val="bottom"/>
            <w:gridSpan w:val="5"/>
          </w:tcPr>
          <w:p>
            <w:pPr>
              <w:ind w:left="20"/>
              <w:spacing w:after="0"/>
              <w:rPr>
                <w:sz w:val="20"/>
                <w:szCs w:val="20"/>
                <w:color w:val="auto"/>
              </w:rPr>
            </w:pPr>
            <w:r>
              <w:rPr>
                <w:rFonts w:ascii="Arial" w:cs="Arial" w:eastAsia="Arial" w:hAnsi="Arial"/>
                <w:sz w:val="14"/>
                <w:szCs w:val="14"/>
                <w:color w:val="auto"/>
                <w:w w:val="96"/>
              </w:rPr>
              <w:t>Three months ended September 30</w:t>
            </w:r>
          </w:p>
        </w:tc>
        <w:tc>
          <w:tcPr>
            <w:tcW w:w="80" w:type="dxa"/>
            <w:vAlign w:val="bottom"/>
          </w:tcPr>
          <w:p>
            <w:pPr>
              <w:spacing w:after="0"/>
              <w:rPr>
                <w:sz w:val="14"/>
                <w:szCs w:val="14"/>
                <w:color w:val="auto"/>
              </w:rPr>
            </w:pPr>
          </w:p>
        </w:tc>
        <w:tc>
          <w:tcPr>
            <w:tcW w:w="2120" w:type="dxa"/>
            <w:vAlign w:val="bottom"/>
            <w:gridSpan w:val="5"/>
          </w:tcPr>
          <w:p>
            <w:pPr>
              <w:jc w:val="right"/>
              <w:ind w:right="140"/>
              <w:spacing w:after="0"/>
              <w:rPr>
                <w:sz w:val="20"/>
                <w:szCs w:val="20"/>
                <w:color w:val="auto"/>
              </w:rPr>
            </w:pPr>
            <w:r>
              <w:rPr>
                <w:rFonts w:ascii="Arial" w:cs="Arial" w:eastAsia="Arial" w:hAnsi="Arial"/>
                <w:sz w:val="14"/>
                <w:szCs w:val="14"/>
                <w:color w:val="auto"/>
                <w:w w:val="91"/>
              </w:rPr>
              <w:t>Nine months ended September 30</w:t>
            </w:r>
          </w:p>
        </w:tc>
        <w:tc>
          <w:tcPr>
            <w:tcW w:w="0" w:type="dxa"/>
            <w:vAlign w:val="bottom"/>
          </w:tcPr>
          <w:p>
            <w:pPr>
              <w:spacing w:after="0"/>
              <w:rPr>
                <w:sz w:val="1"/>
                <w:szCs w:val="1"/>
                <w:color w:val="auto"/>
              </w:rPr>
            </w:pPr>
          </w:p>
        </w:tc>
      </w:tr>
      <w:tr>
        <w:trPr>
          <w:trHeight w:val="174"/>
        </w:trPr>
        <w:tc>
          <w:tcPr>
            <w:tcW w:w="1800" w:type="dxa"/>
            <w:vAlign w:val="bottom"/>
            <w:tcBorders>
              <w:bottom w:val="single" w:sz="8" w:color="auto"/>
            </w:tcBorders>
            <w:gridSpan w:val="2"/>
            <w:vMerge w:val="continue"/>
          </w:tcPr>
          <w:p>
            <w:pPr>
              <w:spacing w:after="0"/>
              <w:rPr>
                <w:sz w:val="15"/>
                <w:szCs w:val="15"/>
                <w:color w:val="auto"/>
              </w:rPr>
            </w:pPr>
          </w:p>
        </w:tc>
        <w:tc>
          <w:tcPr>
            <w:tcW w:w="5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10"/>
              <w:spacing w:after="0" w:line="154" w:lineRule="exact"/>
              <w:rPr>
                <w:sz w:val="20"/>
                <w:szCs w:val="20"/>
                <w:color w:val="auto"/>
              </w:rPr>
            </w:pPr>
            <w:r>
              <w:rPr>
                <w:rFonts w:ascii="Arial" w:cs="Arial" w:eastAsia="Arial" w:hAnsi="Arial"/>
                <w:sz w:val="14"/>
                <w:szCs w:val="14"/>
                <w:color w:val="auto"/>
              </w:rPr>
              <w:t>2014</w:t>
            </w:r>
          </w:p>
        </w:tc>
        <w:tc>
          <w:tcPr>
            <w:tcW w:w="260" w:type="dxa"/>
            <w:vAlign w:val="bottom"/>
          </w:tcPr>
          <w:p>
            <w:pPr>
              <w:spacing w:after="0"/>
              <w:rPr>
                <w:sz w:val="15"/>
                <w:szCs w:val="15"/>
                <w:color w:val="auto"/>
              </w:rPr>
            </w:pPr>
          </w:p>
        </w:tc>
        <w:tc>
          <w:tcPr>
            <w:tcW w:w="880" w:type="dxa"/>
            <w:vAlign w:val="bottom"/>
          </w:tcPr>
          <w:p>
            <w:pPr>
              <w:jc w:val="right"/>
              <w:ind w:right="210"/>
              <w:spacing w:after="0" w:line="154" w:lineRule="exact"/>
              <w:rPr>
                <w:sz w:val="20"/>
                <w:szCs w:val="20"/>
                <w:color w:val="auto"/>
              </w:rPr>
            </w:pPr>
            <w:r>
              <w:rPr>
                <w:rFonts w:ascii="Arial" w:cs="Arial" w:eastAsia="Arial" w:hAnsi="Arial"/>
                <w:sz w:val="14"/>
                <w:szCs w:val="14"/>
                <w:color w:val="auto"/>
              </w:rPr>
              <w:t>2013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10"/>
              <w:spacing w:after="0" w:line="154" w:lineRule="exact"/>
              <w:rPr>
                <w:sz w:val="20"/>
                <w:szCs w:val="20"/>
                <w:color w:val="auto"/>
              </w:rPr>
            </w:pPr>
            <w:r>
              <w:rPr>
                <w:rFonts w:ascii="Arial" w:cs="Arial" w:eastAsia="Arial" w:hAnsi="Arial"/>
                <w:sz w:val="14"/>
                <w:szCs w:val="14"/>
                <w:color w:val="auto"/>
              </w:rPr>
              <w:t>2014</w:t>
            </w:r>
          </w:p>
        </w:tc>
        <w:tc>
          <w:tcPr>
            <w:tcW w:w="220" w:type="dxa"/>
            <w:vAlign w:val="bottom"/>
          </w:tcPr>
          <w:p>
            <w:pPr>
              <w:spacing w:after="0"/>
              <w:rPr>
                <w:sz w:val="15"/>
                <w:szCs w:val="15"/>
                <w:color w:val="auto"/>
              </w:rPr>
            </w:pPr>
          </w:p>
        </w:tc>
        <w:tc>
          <w:tcPr>
            <w:tcW w:w="900" w:type="dxa"/>
            <w:vAlign w:val="bottom"/>
          </w:tcPr>
          <w:p>
            <w:pPr>
              <w:jc w:val="right"/>
              <w:ind w:right="210"/>
              <w:spacing w:after="0" w:line="154"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Interest income</w:t>
            </w:r>
          </w:p>
        </w:tc>
        <w:tc>
          <w:tcPr>
            <w:tcW w:w="5740" w:type="dxa"/>
            <w:vAlign w:val="bottom"/>
            <w:tcBorders>
              <w:top w:val="single" w:sz="8" w:color="CCEEFF"/>
            </w:tcBorders>
            <w:gridSpan w:val="2"/>
            <w:shd w:val="clear" w:color="auto" w:fill="CCEEFF"/>
          </w:tcPr>
          <w:p>
            <w:pPr>
              <w:ind w:left="120"/>
              <w:spacing w:after="0" w:line="203" w:lineRule="exact"/>
              <w:rPr>
                <w:sz w:val="20"/>
                <w:szCs w:val="20"/>
                <w:color w:val="auto"/>
              </w:rPr>
            </w:pPr>
            <w:r>
              <w:rPr>
                <w:rFonts w:ascii="Arial" w:cs="Arial" w:eastAsia="Arial" w:hAnsi="Arial"/>
                <w:sz w:val="18"/>
                <w:szCs w:val="18"/>
                <w:color w:val="auto"/>
              </w:rPr>
              <w:t>Loans and leases, including fees</w:t>
            </w: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647,280</w:t>
            </w: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683,482</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1,937,531</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2,071,332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Investment securities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Fully taxable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91,036</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250,145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141,799</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40" w:type="dxa"/>
            <w:vAlign w:val="bottom"/>
            <w:gridSpan w:val="2"/>
          </w:tcPr>
          <w:p>
            <w:pPr>
              <w:ind w:left="480"/>
              <w:spacing w:after="0"/>
              <w:rPr>
                <w:sz w:val="20"/>
                <w:szCs w:val="20"/>
                <w:color w:val="auto"/>
              </w:rPr>
            </w:pPr>
            <w:r>
              <w:rPr>
                <w:rFonts w:ascii="Arial" w:cs="Arial" w:eastAsia="Arial" w:hAnsi="Arial"/>
                <w:sz w:val="18"/>
                <w:szCs w:val="18"/>
                <w:color w:val="auto"/>
              </w:rPr>
              <w:t>Exempt from federal taxes</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1,271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4,068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5,223</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Deposits at banks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238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904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interest income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743,023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742,686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2,200,265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2,222,868</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20"/>
                <w:szCs w:val="20"/>
                <w:color w:val="auto"/>
              </w:rPr>
            </w:pPr>
            <w:r>
              <w:rPr>
                <w:rFonts w:ascii="Arial" w:cs="Arial" w:eastAsia="Arial" w:hAnsi="Arial"/>
                <w:sz w:val="18"/>
                <w:szCs w:val="18"/>
                <w:color w:val="auto"/>
                <w:w w:val="96"/>
              </w:rPr>
              <w:t>Interest expense</w:t>
            </w: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NOW accounts</w:t>
            </w: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Savings deposits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11,532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34,314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41,560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Time deposits</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3,805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6,129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11,600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21,809</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Deposits at Cayman Islands office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Short-term borrowings</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Long-term borrowings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58,053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49,112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158,098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150,592</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Total interest expense</w:t>
            </w: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73,964</w:t>
            </w:r>
          </w:p>
        </w:tc>
        <w:tc>
          <w:tcPr>
            <w:tcW w:w="2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69,578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205,659</w:t>
            </w:r>
          </w:p>
        </w:tc>
        <w:tc>
          <w:tcPr>
            <w:tcW w:w="2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216,123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Net interest income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669,059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673,108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1,994,606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2,006,745</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Provision for credit losses</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29,000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48,000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91,000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143,000</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interest income after provision for credit losses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640,059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625,108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1,903,606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1,863,745</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20"/>
                <w:szCs w:val="20"/>
                <w:color w:val="auto"/>
              </w:rPr>
            </w:pPr>
            <w:r>
              <w:rPr>
                <w:rFonts w:ascii="Arial" w:cs="Arial" w:eastAsia="Arial" w:hAnsi="Arial"/>
                <w:sz w:val="18"/>
                <w:szCs w:val="18"/>
                <w:color w:val="auto"/>
              </w:rPr>
              <w:t>Other income</w:t>
            </w: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Mortgage banking revenues</w:t>
            </w: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93,532</w:t>
            </w:r>
          </w:p>
        </w:tc>
        <w:tc>
          <w:tcPr>
            <w:tcW w:w="2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269,237</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249,096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 charges on deposit accounts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110,071</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113,839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321,637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336,505</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Trust income</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128,671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123,801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379,816</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370,132</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Brokerage services income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17,416</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51,403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49,840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Trading account and foreign exchange gains</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6,988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8,987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21,477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27,138</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Gain on bank investment securities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56,457</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Total other-than-temporary impairment (“OTTI”) losses</w:t>
            </w:r>
          </w:p>
        </w:tc>
        <w:tc>
          <w:tcPr>
            <w:tcW w:w="2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02"/>
        </w:trPr>
        <w:tc>
          <w:tcPr>
            <w:tcW w:w="1300" w:type="dxa"/>
            <w:vAlign w:val="bottom"/>
            <w:shd w:val="clear" w:color="auto" w:fill="CCEEFF"/>
          </w:tcPr>
          <w:p>
            <w:pPr>
              <w:spacing w:after="0"/>
              <w:rPr>
                <w:sz w:val="17"/>
                <w:szCs w:val="17"/>
                <w:color w:val="auto"/>
              </w:rPr>
            </w:pPr>
          </w:p>
        </w:tc>
        <w:tc>
          <w:tcPr>
            <w:tcW w:w="57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Portion of OTTI losses recognized in other comprehensive income (before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spacing w:after="0"/>
              <w:rPr>
                <w:sz w:val="20"/>
                <w:szCs w:val="20"/>
                <w:color w:val="auto"/>
              </w:rPr>
            </w:pPr>
          </w:p>
        </w:tc>
        <w:tc>
          <w:tcPr>
            <w:tcW w:w="5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taxes)</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(7,916)</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Net OTTI losses recognized in earnings</w:t>
            </w: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Equity in earnings of Bayview Lending Group LLC</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(4,114)</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(12,623)</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(9,990)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Other revenues from operations</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98,547</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153,040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296,683</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349,581</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income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451,111</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477,388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1,327,630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1,418,959</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20"/>
                <w:szCs w:val="20"/>
                <w:color w:val="auto"/>
              </w:rPr>
            </w:pPr>
            <w:r>
              <w:rPr>
                <w:rFonts w:ascii="Arial" w:cs="Arial" w:eastAsia="Arial" w:hAnsi="Arial"/>
                <w:sz w:val="18"/>
                <w:szCs w:val="18"/>
                <w:color w:val="auto"/>
              </w:rPr>
              <w:t>Other expense</w:t>
            </w: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Salaries and employee benefits</w:t>
            </w: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348,776</w:t>
            </w:r>
          </w:p>
        </w:tc>
        <w:tc>
          <w:tcPr>
            <w:tcW w:w="2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339,332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1,059,815</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1,019,019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Equipment and net occupancy</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67,713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206,964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195,657</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Printing, postage and supplies</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9,184</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9,752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29,320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30,749</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core deposit and other intangible assets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7,358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26,654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36,473</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FDIC assessments</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13,193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14,877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43,836</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52,010</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costs of operations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233,060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217,817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696,160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558,905</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Total other expense</w:t>
            </w: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679,284</w:t>
            </w:r>
          </w:p>
        </w:tc>
        <w:tc>
          <w:tcPr>
            <w:tcW w:w="2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658,626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2,062,749</w:t>
            </w:r>
          </w:p>
        </w:tc>
        <w:tc>
          <w:tcPr>
            <w:tcW w:w="2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1,892,813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before taxes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411,886</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443,870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1,168,487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1,389,891</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136,542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149,391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379,790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472,833</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Net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275,344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294,479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788,697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917,058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740" w:type="dxa"/>
            <w:vAlign w:val="bottom"/>
            <w:gridSpan w:val="2"/>
            <w:vMerge w:val="restart"/>
          </w:tcPr>
          <w:p>
            <w:pPr>
              <w:ind w:left="120"/>
              <w:spacing w:after="0"/>
              <w:rPr>
                <w:sz w:val="20"/>
                <w:szCs w:val="20"/>
                <w:color w:val="auto"/>
              </w:rPr>
            </w:pPr>
            <w:r>
              <w:rPr>
                <w:rFonts w:ascii="Arial" w:cs="Arial" w:eastAsia="Arial" w:hAnsi="Arial"/>
                <w:sz w:val="18"/>
                <w:szCs w:val="18"/>
                <w:color w:val="auto"/>
              </w:rPr>
              <w:t>Net income available to common shareholders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tcPr>
          <w:p>
            <w:pPr>
              <w:spacing w:after="0"/>
              <w:rPr>
                <w:sz w:val="24"/>
                <w:szCs w:val="24"/>
                <w:color w:val="auto"/>
              </w:rPr>
            </w:pPr>
          </w:p>
        </w:tc>
        <w:tc>
          <w:tcPr>
            <w:tcW w:w="57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251,905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275,336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724,307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858,944</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251,917</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275,356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724,344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859,000</w:t>
            </w:r>
          </w:p>
        </w:tc>
        <w:tc>
          <w:tcPr>
            <w:tcW w:w="0" w:type="dxa"/>
            <w:vAlign w:val="bottom"/>
          </w:tcPr>
          <w:p>
            <w:pPr>
              <w:spacing w:after="0"/>
              <w:rPr>
                <w:sz w:val="1"/>
                <w:szCs w:val="1"/>
                <w:color w:val="auto"/>
              </w:rPr>
            </w:pPr>
          </w:p>
        </w:tc>
      </w:tr>
      <w:tr>
        <w:trPr>
          <w:trHeight w:val="94"/>
        </w:trPr>
        <w:tc>
          <w:tcPr>
            <w:tcW w:w="1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 per common share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1.92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5.54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Cash dividends per common share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Average common shares outstanding</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131,265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129,171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130,782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128,369</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132,128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130,265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131,698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129,312</w:t>
            </w: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5740" w:type="dxa"/>
            <w:vAlign w:val="bottom"/>
            <w:gridSpan w:val="2"/>
          </w:tcPr>
          <w:p>
            <w:pPr>
              <w:ind w:left="4260"/>
              <w:spacing w:after="0"/>
              <w:rPr>
                <w:sz w:val="20"/>
                <w:szCs w:val="20"/>
                <w:color w:val="auto"/>
              </w:rPr>
            </w:pPr>
            <w:r>
              <w:rPr>
                <w:rFonts w:ascii="Arial" w:cs="Arial" w:eastAsia="Arial" w:hAnsi="Arial"/>
                <w:sz w:val="18"/>
                <w:szCs w:val="18"/>
                <w:color w:val="auto"/>
              </w:rPr>
              <w:t>- 4 -</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COMPREHENSIVE INCOME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4"/>
                <w:szCs w:val="14"/>
                <w:color w:val="auto"/>
              </w:rPr>
            </w:pPr>
          </w:p>
        </w:tc>
        <w:tc>
          <w:tcPr>
            <w:tcW w:w="2140" w:type="dxa"/>
            <w:vAlign w:val="bottom"/>
            <w:gridSpan w:val="5"/>
          </w:tcPr>
          <w:p>
            <w:pPr>
              <w:jc w:val="right"/>
              <w:ind w:right="120"/>
              <w:spacing w:after="0"/>
              <w:rPr>
                <w:sz w:val="20"/>
                <w:szCs w:val="20"/>
                <w:color w:val="auto"/>
              </w:rPr>
            </w:pPr>
            <w:r>
              <w:rPr>
                <w:rFonts w:ascii="Arial" w:cs="Arial" w:eastAsia="Arial" w:hAnsi="Arial"/>
                <w:sz w:val="14"/>
                <w:szCs w:val="14"/>
                <w:color w:val="auto"/>
                <w:w w:val="90"/>
              </w:rPr>
              <w:t>Three months ended September 30</w:t>
            </w:r>
          </w:p>
        </w:tc>
        <w:tc>
          <w:tcPr>
            <w:tcW w:w="100" w:type="dxa"/>
            <w:vAlign w:val="bottom"/>
          </w:tcPr>
          <w:p>
            <w:pPr>
              <w:spacing w:after="0"/>
              <w:rPr>
                <w:sz w:val="14"/>
                <w:szCs w:val="14"/>
                <w:color w:val="auto"/>
              </w:rPr>
            </w:pPr>
          </w:p>
        </w:tc>
        <w:tc>
          <w:tcPr>
            <w:tcW w:w="2100" w:type="dxa"/>
            <w:vAlign w:val="bottom"/>
            <w:gridSpan w:val="5"/>
          </w:tcPr>
          <w:p>
            <w:pPr>
              <w:jc w:val="right"/>
              <w:ind w:right="120"/>
              <w:spacing w:after="0"/>
              <w:rPr>
                <w:sz w:val="20"/>
                <w:szCs w:val="20"/>
                <w:color w:val="auto"/>
              </w:rPr>
            </w:pPr>
            <w:r>
              <w:rPr>
                <w:rFonts w:ascii="Arial" w:cs="Arial" w:eastAsia="Arial" w:hAnsi="Arial"/>
                <w:sz w:val="14"/>
                <w:szCs w:val="14"/>
                <w:color w:val="auto"/>
                <w:w w:val="91"/>
              </w:rPr>
              <w:t>Nine months ended September 30</w:t>
            </w:r>
          </w:p>
        </w:tc>
        <w:tc>
          <w:tcPr>
            <w:tcW w:w="0" w:type="dxa"/>
            <w:vAlign w:val="bottom"/>
          </w:tcPr>
          <w:p>
            <w:pPr>
              <w:spacing w:after="0"/>
              <w:rPr>
                <w:sz w:val="1"/>
                <w:szCs w:val="1"/>
                <w:color w:val="auto"/>
              </w:rPr>
            </w:pPr>
          </w:p>
        </w:tc>
      </w:tr>
      <w:tr>
        <w:trPr>
          <w:trHeight w:val="161"/>
        </w:trPr>
        <w:tc>
          <w:tcPr>
            <w:tcW w:w="676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12"/>
              <w:spacing w:after="0" w:line="154" w:lineRule="exact"/>
              <w:rPr>
                <w:sz w:val="20"/>
                <w:szCs w:val="20"/>
                <w:color w:val="auto"/>
              </w:rPr>
            </w:pPr>
            <w:r>
              <w:rPr>
                <w:rFonts w:ascii="Arial" w:cs="Arial" w:eastAsia="Arial" w:hAnsi="Arial"/>
                <w:sz w:val="14"/>
                <w:szCs w:val="14"/>
                <w:color w:val="auto"/>
              </w:rPr>
              <w:t>2014</w:t>
            </w:r>
          </w:p>
        </w:tc>
        <w:tc>
          <w:tcPr>
            <w:tcW w:w="260" w:type="dxa"/>
            <w:vAlign w:val="bottom"/>
          </w:tcPr>
          <w:p>
            <w:pPr>
              <w:spacing w:after="0"/>
              <w:rPr>
                <w:sz w:val="13"/>
                <w:szCs w:val="13"/>
                <w:color w:val="auto"/>
              </w:rPr>
            </w:pPr>
          </w:p>
        </w:tc>
        <w:tc>
          <w:tcPr>
            <w:tcW w:w="880" w:type="dxa"/>
            <w:vAlign w:val="bottom"/>
          </w:tcPr>
          <w:p>
            <w:pPr>
              <w:jc w:val="right"/>
              <w:ind w:right="212"/>
              <w:spacing w:after="0" w:line="154"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12"/>
              <w:spacing w:after="0" w:line="154" w:lineRule="exact"/>
              <w:rPr>
                <w:sz w:val="20"/>
                <w:szCs w:val="20"/>
                <w:color w:val="auto"/>
              </w:rPr>
            </w:pPr>
            <w:r>
              <w:rPr>
                <w:rFonts w:ascii="Arial" w:cs="Arial" w:eastAsia="Arial" w:hAnsi="Arial"/>
                <w:sz w:val="14"/>
                <w:szCs w:val="14"/>
                <w:color w:val="auto"/>
              </w:rPr>
              <w:t>2014</w:t>
            </w:r>
          </w:p>
        </w:tc>
        <w:tc>
          <w:tcPr>
            <w:tcW w:w="240" w:type="dxa"/>
            <w:vAlign w:val="bottom"/>
          </w:tcPr>
          <w:p>
            <w:pPr>
              <w:spacing w:after="0"/>
              <w:rPr>
                <w:sz w:val="13"/>
                <w:szCs w:val="13"/>
                <w:color w:val="auto"/>
              </w:rPr>
            </w:pPr>
          </w:p>
        </w:tc>
        <w:tc>
          <w:tcPr>
            <w:tcW w:w="860" w:type="dxa"/>
            <w:vAlign w:val="bottom"/>
          </w:tcPr>
          <w:p>
            <w:pPr>
              <w:jc w:val="right"/>
              <w:ind w:right="192"/>
              <w:spacing w:after="0" w:line="154"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6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5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275,344</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294,479</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788,697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 and reclassification adjustments: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unrealized gains (losses) on investment securities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(27,637)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75,229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340"/>
              <w:spacing w:after="0"/>
              <w:rPr>
                <w:sz w:val="20"/>
                <w:szCs w:val="20"/>
                <w:color w:val="auto"/>
              </w:rPr>
            </w:pPr>
            <w:r>
              <w:rPr>
                <w:rFonts w:ascii="Arial" w:cs="Arial" w:eastAsia="Arial" w:hAnsi="Arial"/>
                <w:sz w:val="18"/>
                <w:szCs w:val="18"/>
                <w:color w:val="auto"/>
                <w:w w:val="96"/>
              </w:rPr>
              <w:t>Reclassification to income for amortization of gains on terminated cash flow hedges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613</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(98)</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340"/>
              <w:spacing w:after="0"/>
              <w:rPr>
                <w:sz w:val="20"/>
                <w:szCs w:val="20"/>
                <w:color w:val="auto"/>
              </w:rPr>
            </w:pPr>
            <w:r>
              <w:rPr>
                <w:rFonts w:ascii="Arial" w:cs="Arial" w:eastAsia="Arial" w:hAnsi="Arial"/>
                <w:sz w:val="18"/>
                <w:szCs w:val="18"/>
                <w:color w:val="auto"/>
              </w:rPr>
              <w:t>Defined benefit plans liability adjustment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2,999</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15,273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Total other comprehensive income (loss)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(27,841)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76,626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gridSpan w:val="2"/>
          </w:tcPr>
          <w:p>
            <w:pPr>
              <w:ind w:left="700"/>
              <w:spacing w:after="0"/>
              <w:rPr>
                <w:sz w:val="20"/>
                <w:szCs w:val="20"/>
                <w:color w:val="auto"/>
              </w:rPr>
            </w:pPr>
            <w:r>
              <w:rPr>
                <w:rFonts w:ascii="Arial" w:cs="Arial" w:eastAsia="Arial" w:hAnsi="Arial"/>
                <w:sz w:val="18"/>
                <w:szCs w:val="18"/>
                <w:i w:val="1"/>
                <w:iCs w:val="1"/>
                <w:color w:val="auto"/>
              </w:rPr>
              <w:t>Total comprehensive income</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247,503</w:t>
            </w:r>
          </w:p>
        </w:tc>
        <w:tc>
          <w:tcPr>
            <w:tcW w:w="2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324,188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865,323</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gridSpan w:val="3"/>
            <w:vMerge w:val="restart"/>
          </w:tcPr>
          <w:p>
            <w:pPr>
              <w:jc w:val="right"/>
              <w:ind w:right="900"/>
              <w:spacing w:after="0"/>
              <w:rPr>
                <w:sz w:val="20"/>
                <w:szCs w:val="20"/>
                <w:color w:val="auto"/>
              </w:rPr>
            </w:pPr>
            <w:r>
              <w:rPr>
                <w:rFonts w:ascii="Arial" w:cs="Arial" w:eastAsia="Arial" w:hAnsi="Arial"/>
                <w:sz w:val="18"/>
                <w:szCs w:val="18"/>
                <w:color w:val="auto"/>
              </w:rPr>
              <w:t>- 5 -</w:t>
            </w: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6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6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4"/>
          </w:tcPr>
          <w:p>
            <w:pPr>
              <w:jc w:val="right"/>
              <w:ind w:right="200"/>
              <w:spacing w:after="0"/>
              <w:rPr>
                <w:sz w:val="20"/>
                <w:szCs w:val="20"/>
                <w:color w:val="auto"/>
              </w:rPr>
            </w:pPr>
            <w:r>
              <w:rPr>
                <w:rFonts w:ascii="Arial" w:cs="Arial" w:eastAsia="Arial" w:hAnsi="Arial"/>
                <w:sz w:val="14"/>
                <w:szCs w:val="14"/>
                <w:color w:val="auto"/>
                <w:w w:val="90"/>
              </w:rPr>
              <w:t>Nine months ended September 30</w:t>
            </w:r>
          </w:p>
        </w:tc>
        <w:tc>
          <w:tcPr>
            <w:tcW w:w="0" w:type="dxa"/>
            <w:vAlign w:val="bottom"/>
          </w:tcPr>
          <w:p>
            <w:pPr>
              <w:spacing w:after="0"/>
              <w:rPr>
                <w:sz w:val="1"/>
                <w:szCs w:val="1"/>
                <w:color w:val="auto"/>
              </w:rPr>
            </w:pPr>
          </w:p>
        </w:tc>
      </w:tr>
      <w:tr>
        <w:trPr>
          <w:trHeight w:val="154"/>
        </w:trPr>
        <w:tc>
          <w:tcPr>
            <w:tcW w:w="2740" w:type="dxa"/>
            <w:vAlign w:val="bottom"/>
            <w:gridSpan w:val="3"/>
            <w:vMerge w:val="continue"/>
          </w:tcPr>
          <w:p>
            <w:pPr>
              <w:spacing w:after="0"/>
              <w:rPr>
                <w:sz w:val="13"/>
                <w:szCs w:val="13"/>
                <w:color w:val="auto"/>
              </w:rPr>
            </w:pPr>
          </w:p>
        </w:tc>
        <w:tc>
          <w:tcPr>
            <w:tcW w:w="6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271"/>
              <w:spacing w:after="0" w:line="154" w:lineRule="exact"/>
              <w:rPr>
                <w:sz w:val="20"/>
                <w:szCs w:val="20"/>
                <w:color w:val="auto"/>
              </w:rPr>
            </w:pPr>
            <w:r>
              <w:rPr>
                <w:rFonts w:ascii="Arial" w:cs="Arial" w:eastAsia="Arial" w:hAnsi="Arial"/>
                <w:sz w:val="14"/>
                <w:szCs w:val="14"/>
                <w:color w:val="auto"/>
              </w:rPr>
              <w:t>2014</w:t>
            </w:r>
          </w:p>
        </w:tc>
        <w:tc>
          <w:tcPr>
            <w:tcW w:w="320" w:type="dxa"/>
            <w:vAlign w:val="bottom"/>
          </w:tcPr>
          <w:p>
            <w:pPr>
              <w:spacing w:after="0"/>
              <w:rPr>
                <w:sz w:val="13"/>
                <w:szCs w:val="13"/>
                <w:color w:val="auto"/>
              </w:rPr>
            </w:pPr>
          </w:p>
        </w:tc>
        <w:tc>
          <w:tcPr>
            <w:tcW w:w="840" w:type="dxa"/>
            <w:vAlign w:val="bottom"/>
          </w:tcPr>
          <w:p>
            <w:pPr>
              <w:jc w:val="right"/>
              <w:ind w:right="190"/>
              <w:spacing w:after="0" w:line="154"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5"/>
              </w:rPr>
              <w:t>Cash flows from operating activities</w:t>
            </w:r>
          </w:p>
        </w:tc>
        <w:tc>
          <w:tcPr>
            <w:tcW w:w="616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788,697</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917,058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w w:val="95"/>
              </w:rPr>
              <w:t>Adjustments to reconcile net income to net cash provided by operating activities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Provision for credit losses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91,000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160" w:type="dxa"/>
            <w:vAlign w:val="bottom"/>
          </w:tcPr>
          <w:p>
            <w:pPr>
              <w:ind w:left="460"/>
              <w:spacing w:after="0"/>
              <w:rPr>
                <w:sz w:val="20"/>
                <w:szCs w:val="20"/>
                <w:color w:val="auto"/>
              </w:rPr>
            </w:pPr>
            <w:r>
              <w:rPr>
                <w:rFonts w:ascii="Arial" w:cs="Arial" w:eastAsia="Arial" w:hAnsi="Arial"/>
                <w:sz w:val="18"/>
                <w:szCs w:val="18"/>
                <w:color w:val="auto"/>
              </w:rPr>
              <w:t>Depreciation and amortization of premises and equipment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74,516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capitalized servicing rights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51,572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160" w:type="dxa"/>
            <w:vAlign w:val="bottom"/>
          </w:tcPr>
          <w:p>
            <w:pPr>
              <w:ind w:left="460"/>
              <w:spacing w:after="0"/>
              <w:rPr>
                <w:sz w:val="20"/>
                <w:szCs w:val="20"/>
                <w:color w:val="auto"/>
              </w:rPr>
            </w:pPr>
            <w:r>
              <w:rPr>
                <w:rFonts w:ascii="Arial" w:cs="Arial" w:eastAsia="Arial" w:hAnsi="Arial"/>
                <w:sz w:val="18"/>
                <w:szCs w:val="18"/>
                <w:color w:val="auto"/>
              </w:rPr>
              <w:t>Amortization of core deposit and other intangible assets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26,654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Provision for deferred income taxes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33,777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160" w:type="dxa"/>
            <w:vAlign w:val="bottom"/>
          </w:tcPr>
          <w:p>
            <w:pPr>
              <w:ind w:left="460"/>
              <w:spacing w:after="0"/>
              <w:rPr>
                <w:sz w:val="20"/>
                <w:szCs w:val="20"/>
                <w:color w:val="auto"/>
              </w:rPr>
            </w:pPr>
            <w:r>
              <w:rPr>
                <w:rFonts w:ascii="Arial" w:cs="Arial" w:eastAsia="Arial" w:hAnsi="Arial"/>
                <w:sz w:val="18"/>
                <w:szCs w:val="18"/>
                <w:color w:val="auto"/>
              </w:rPr>
              <w:t>Asset write-downs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5,114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gain on sales of assets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(3,771)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160" w:type="dxa"/>
            <w:vAlign w:val="bottom"/>
          </w:tcPr>
          <w:p>
            <w:pPr>
              <w:ind w:left="460"/>
              <w:spacing w:after="0"/>
              <w:rPr>
                <w:sz w:val="20"/>
                <w:szCs w:val="20"/>
                <w:color w:val="auto"/>
              </w:rPr>
            </w:pPr>
            <w:r>
              <w:rPr>
                <w:rFonts w:ascii="Arial" w:cs="Arial" w:eastAsia="Arial" w:hAnsi="Arial"/>
                <w:sz w:val="18"/>
                <w:szCs w:val="18"/>
                <w:color w:val="auto"/>
              </w:rPr>
              <w:t>Net change in accrued interest receivable, payable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9,638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change in other accrued income and expense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(89,425)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160" w:type="dxa"/>
            <w:vAlign w:val="bottom"/>
          </w:tcPr>
          <w:p>
            <w:pPr>
              <w:ind w:left="460"/>
              <w:spacing w:after="0"/>
              <w:rPr>
                <w:sz w:val="20"/>
                <w:szCs w:val="20"/>
                <w:color w:val="auto"/>
              </w:rPr>
            </w:pPr>
            <w:r>
              <w:rPr>
                <w:rFonts w:ascii="Arial" w:cs="Arial" w:eastAsia="Arial" w:hAnsi="Arial"/>
                <w:sz w:val="18"/>
                <w:szCs w:val="18"/>
                <w:color w:val="auto"/>
              </w:rPr>
              <w:t>Net change in loans originated for sale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(224,425)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(808,778)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change in trading account assets and liabilities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160" w:type="dxa"/>
            <w:vAlign w:val="bottom"/>
          </w:tcPr>
          <w:p>
            <w:pPr>
              <w:ind w:left="46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774,510</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503,677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Cash flows from investing activities</w:t>
            </w: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sales of investment securities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160" w:type="dxa"/>
            <w:vAlign w:val="bottom"/>
          </w:tcPr>
          <w:p>
            <w:pPr>
              <w:ind w:left="460"/>
              <w:spacing w:after="0"/>
              <w:rPr>
                <w:sz w:val="20"/>
                <w:szCs w:val="20"/>
                <w:color w:val="auto"/>
              </w:rPr>
            </w:pPr>
            <w:r>
              <w:rPr>
                <w:rFonts w:ascii="Arial" w:cs="Arial" w:eastAsia="Arial" w:hAnsi="Arial"/>
                <w:sz w:val="18"/>
                <w:szCs w:val="18"/>
                <w:color w:val="auto"/>
              </w:rPr>
              <w:t>Available for sale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1,081,747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23,309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Proceeds from maturities of investment securities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Available for sale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686,183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160" w:type="dxa"/>
            <w:vAlign w:val="bottom"/>
          </w:tcPr>
          <w:p>
            <w:pPr>
              <w:ind w:left="460"/>
              <w:spacing w:after="0"/>
              <w:rPr>
                <w:sz w:val="20"/>
                <w:szCs w:val="20"/>
                <w:color w:val="auto"/>
              </w:rPr>
            </w:pPr>
            <w:r>
              <w:rPr>
                <w:rFonts w:ascii="Arial" w:cs="Arial" w:eastAsia="Arial" w:hAnsi="Arial"/>
                <w:sz w:val="18"/>
                <w:szCs w:val="18"/>
                <w:color w:val="auto"/>
              </w:rPr>
              <w:t>Held to maturity</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337,677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216,627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Purchases of investment securities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160" w:type="dxa"/>
            <w:vAlign w:val="bottom"/>
          </w:tcPr>
          <w:p>
            <w:pPr>
              <w:ind w:left="460"/>
              <w:spacing w:after="0"/>
              <w:rPr>
                <w:sz w:val="20"/>
                <w:szCs w:val="20"/>
                <w:color w:val="auto"/>
              </w:rPr>
            </w:pPr>
            <w:r>
              <w:rPr>
                <w:rFonts w:ascii="Arial" w:cs="Arial" w:eastAsia="Arial" w:hAnsi="Arial"/>
                <w:sz w:val="18"/>
                <w:szCs w:val="18"/>
                <w:color w:val="auto"/>
              </w:rPr>
              <w:t>Available for sale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(5,310,246)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(41,358)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Held to maturity</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(15,202)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(1,586,425)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160" w:type="dxa"/>
            <w:vAlign w:val="bottom"/>
          </w:tcPr>
          <w:p>
            <w:pPr>
              <w:ind w:left="4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(53,264)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(increase) decrease in loans and leases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(1,420,572)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Net increase in interest-bearing deposits at banks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(6,024,926)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(1,795,866)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Capital expenditures, net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(50,400)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Net increase in loan servicing advances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(340,750)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(185,507)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38,707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160" w:type="dxa"/>
            <w:vAlign w:val="bottom"/>
          </w:tcPr>
          <w:p>
            <w:pPr>
              <w:ind w:left="460"/>
              <w:spacing w:after="0"/>
              <w:rPr>
                <w:sz w:val="20"/>
                <w:szCs w:val="20"/>
                <w:color w:val="auto"/>
              </w:rPr>
            </w:pPr>
            <w:r>
              <w:rPr>
                <w:rFonts w:ascii="Arial" w:cs="Arial" w:eastAsia="Arial" w:hAnsi="Arial"/>
                <w:sz w:val="18"/>
                <w:szCs w:val="18"/>
                <w:color w:val="auto"/>
              </w:rPr>
              <w:t>Net cash used by investing activities</w:t>
            </w: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(12,129,468</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(562,134)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Cash flows from financing activities</w:t>
            </w: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increase in deposits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7,225,487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Net decrease in short-term borrowings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(95,846)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(828,463)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long-term borrowings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4,345,478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Payments on long-term borrowings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(373,642)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(258,937)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issuance of preferred stock</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346,500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Dividends paid - common</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(278,118)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(273,518)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Dividends paid - preferred</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(46,966)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82,774</w:t>
            </w:r>
          </w:p>
        </w:tc>
        <w:tc>
          <w:tcPr>
            <w:tcW w:w="3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11,205,667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(149,291)</w:t>
            </w:r>
          </w:p>
        </w:tc>
        <w:tc>
          <w:tcPr>
            <w:tcW w:w="3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1,672,934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1,986,615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1,523,643</w:t>
            </w: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2,059,753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Supplemental disclosure of cash</w:t>
            </w:r>
          </w:p>
        </w:tc>
        <w:tc>
          <w:tcPr>
            <w:tcW w:w="6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flow information</w:t>
            </w: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received during the period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2,147,236</w:t>
            </w: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2,184,128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Interest paid during the period</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185,377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226,335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taxes paid during the period</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329,621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331,117</w:t>
            </w:r>
          </w:p>
        </w:tc>
        <w:tc>
          <w:tcPr>
            <w:tcW w:w="0" w:type="dxa"/>
            <w:vAlign w:val="bottom"/>
          </w:tcPr>
          <w:p>
            <w:pPr>
              <w:spacing w:after="0"/>
              <w:rPr>
                <w:sz w:val="1"/>
                <w:szCs w:val="1"/>
                <w:color w:val="auto"/>
              </w:rPr>
            </w:pPr>
          </w:p>
        </w:tc>
      </w:tr>
      <w:tr>
        <w:trPr>
          <w:trHeight w:val="20"/>
        </w:trPr>
        <w:tc>
          <w:tcPr>
            <w:tcW w:w="2740" w:type="dxa"/>
            <w:vAlign w:val="bottom"/>
            <w:gridSpan w:val="3"/>
            <w:vMerge w:val="restart"/>
          </w:tcPr>
          <w:p>
            <w:pPr>
              <w:spacing w:after="0"/>
              <w:rPr>
                <w:sz w:val="20"/>
                <w:szCs w:val="20"/>
                <w:color w:val="auto"/>
              </w:rPr>
            </w:pPr>
            <w:r>
              <w:rPr>
                <w:rFonts w:ascii="Arial" w:cs="Arial" w:eastAsia="Arial" w:hAnsi="Arial"/>
                <w:sz w:val="18"/>
                <w:szCs w:val="18"/>
                <w:color w:val="auto"/>
                <w:w w:val="97"/>
              </w:rPr>
              <w:t>Supplemental schedule of noncash</w:t>
            </w:r>
          </w:p>
        </w:tc>
        <w:tc>
          <w:tcPr>
            <w:tcW w:w="6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gridSpan w:val="3"/>
            <w:vMerge w:val="continue"/>
          </w:tcPr>
          <w:p>
            <w:pPr>
              <w:spacing w:after="0"/>
              <w:rPr>
                <w:sz w:val="17"/>
                <w:szCs w:val="17"/>
                <w:color w:val="auto"/>
              </w:rPr>
            </w:pPr>
          </w:p>
        </w:tc>
        <w:tc>
          <w:tcPr>
            <w:tcW w:w="6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gridSpan w:val="2"/>
          </w:tcPr>
          <w:p>
            <w:pPr>
              <w:ind w:left="160"/>
              <w:spacing w:after="0"/>
              <w:rPr>
                <w:sz w:val="20"/>
                <w:szCs w:val="20"/>
                <w:color w:val="auto"/>
              </w:rPr>
            </w:pPr>
            <w:r>
              <w:rPr>
                <w:rFonts w:ascii="Arial" w:cs="Arial" w:eastAsia="Arial" w:hAnsi="Arial"/>
                <w:sz w:val="18"/>
                <w:szCs w:val="18"/>
                <w:color w:val="auto"/>
                <w:w w:val="98"/>
              </w:rPr>
              <w:t>investing and financing activities</w:t>
            </w:r>
          </w:p>
        </w:tc>
        <w:tc>
          <w:tcPr>
            <w:tcW w:w="6160" w:type="dxa"/>
            <w:vAlign w:val="bottom"/>
          </w:tcPr>
          <w:p>
            <w:pPr>
              <w:ind w:left="100"/>
              <w:spacing w:after="0"/>
              <w:rPr>
                <w:sz w:val="20"/>
                <w:szCs w:val="20"/>
                <w:color w:val="auto"/>
              </w:rPr>
            </w:pPr>
            <w:r>
              <w:rPr>
                <w:rFonts w:ascii="Arial" w:cs="Arial" w:eastAsia="Arial" w:hAnsi="Arial"/>
                <w:sz w:val="18"/>
                <w:szCs w:val="18"/>
                <w:color w:val="auto"/>
              </w:rPr>
              <w:t>Securitization of residential mortgage loans allocated to</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Available for sale investment securities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110,971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160" w:type="dxa"/>
            <w:vAlign w:val="bottom"/>
          </w:tcPr>
          <w:p>
            <w:pPr>
              <w:ind w:left="460"/>
              <w:spacing w:after="0"/>
              <w:rPr>
                <w:sz w:val="20"/>
                <w:szCs w:val="20"/>
                <w:color w:val="auto"/>
              </w:rPr>
            </w:pPr>
            <w:r>
              <w:rPr>
                <w:rFonts w:ascii="Arial" w:cs="Arial" w:eastAsia="Arial" w:hAnsi="Arial"/>
                <w:sz w:val="18"/>
                <w:szCs w:val="18"/>
                <w:color w:val="auto"/>
              </w:rPr>
              <w:t>Held to maturity investment securities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917,045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Capitalized servicing rights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Real estate acquired in settlement of loans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35,422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35,865</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160" w:type="dxa"/>
            <w:vAlign w:val="bottom"/>
          </w:tcPr>
          <w:p>
            <w:pPr>
              <w:ind w:left="2820"/>
              <w:spacing w:after="0"/>
              <w:rPr>
                <w:sz w:val="20"/>
                <w:szCs w:val="20"/>
                <w:color w:val="auto"/>
              </w:rPr>
            </w:pPr>
            <w:r>
              <w:rPr>
                <w:rFonts w:ascii="Arial" w:cs="Arial" w:eastAsia="Arial" w:hAnsi="Arial"/>
                <w:sz w:val="18"/>
                <w:szCs w:val="18"/>
                <w:color w:val="auto"/>
              </w:rPr>
              <w:t>- 6 -</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SHAREHOLDERS’ EQUITY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Accumulated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other</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Common</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Additional</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comprehensive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w:t>
            </w:r>
          </w:p>
        </w:tc>
        <w:tc>
          <w:tcPr>
            <w:tcW w:w="100" w:type="dxa"/>
            <w:vAlign w:val="bottom"/>
          </w:tcPr>
          <w:p>
            <w:pPr>
              <w:spacing w:after="0"/>
              <w:rPr>
                <w:sz w:val="12"/>
                <w:szCs w:val="12"/>
                <w:color w:val="auto"/>
              </w:rPr>
            </w:pP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Preferred</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1"/>
              </w:rPr>
              <w:t>Common</w:t>
            </w: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stock</w:t>
            </w: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paid-in</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Retained</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7"/>
              </w:rPr>
              <w:t>income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9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ind w:left="160"/>
              <w:spacing w:after="0" w:line="154" w:lineRule="exact"/>
              <w:rPr>
                <w:sz w:val="20"/>
                <w:szCs w:val="20"/>
                <w:color w:val="auto"/>
              </w:rPr>
            </w:pPr>
            <w:r>
              <w:rPr>
                <w:rFonts w:ascii="Arial" w:cs="Arial" w:eastAsia="Arial" w:hAnsi="Arial"/>
                <w:sz w:val="14"/>
                <w:szCs w:val="14"/>
                <w:color w:val="auto"/>
              </w:rPr>
              <w:t>stock</w:t>
            </w:r>
          </w:p>
        </w:tc>
        <w:tc>
          <w:tcPr>
            <w:tcW w:w="740" w:type="dxa"/>
            <w:vAlign w:val="bottom"/>
            <w:gridSpan w:val="2"/>
          </w:tcPr>
          <w:p>
            <w:pPr>
              <w:jc w:val="right"/>
              <w:ind w:right="320"/>
              <w:spacing w:after="0" w:line="154" w:lineRule="exact"/>
              <w:rPr>
                <w:sz w:val="20"/>
                <w:szCs w:val="20"/>
                <w:color w:val="auto"/>
              </w:rPr>
            </w:pPr>
            <w:r>
              <w:rPr>
                <w:rFonts w:ascii="Arial" w:cs="Arial" w:eastAsia="Arial" w:hAnsi="Arial"/>
                <w:sz w:val="14"/>
                <w:szCs w:val="14"/>
                <w:color w:val="auto"/>
              </w:rPr>
              <w:t>stock</w:t>
            </w:r>
          </w:p>
        </w:tc>
        <w:tc>
          <w:tcPr>
            <w:tcW w:w="740" w:type="dxa"/>
            <w:vAlign w:val="bottom"/>
            <w:gridSpan w:val="2"/>
          </w:tcPr>
          <w:p>
            <w:pPr>
              <w:jc w:val="center"/>
              <w:ind w:right="200"/>
              <w:spacing w:after="0" w:line="154" w:lineRule="exact"/>
              <w:rPr>
                <w:sz w:val="20"/>
                <w:szCs w:val="20"/>
                <w:color w:val="auto"/>
              </w:rPr>
            </w:pPr>
            <w:r>
              <w:rPr>
                <w:rFonts w:ascii="Arial" w:cs="Arial" w:eastAsia="Arial" w:hAnsi="Arial"/>
                <w:sz w:val="14"/>
                <w:szCs w:val="14"/>
                <w:color w:val="auto"/>
                <w:w w:val="89"/>
              </w:rPr>
              <w:t>issuable</w:t>
            </w:r>
          </w:p>
        </w:tc>
        <w:tc>
          <w:tcPr>
            <w:tcW w:w="960" w:type="dxa"/>
            <w:vAlign w:val="bottom"/>
            <w:gridSpan w:val="2"/>
          </w:tcPr>
          <w:p>
            <w:pPr>
              <w:jc w:val="right"/>
              <w:ind w:right="380"/>
              <w:spacing w:after="0" w:line="154" w:lineRule="exact"/>
              <w:rPr>
                <w:sz w:val="20"/>
                <w:szCs w:val="20"/>
                <w:color w:val="auto"/>
              </w:rPr>
            </w:pPr>
            <w:r>
              <w:rPr>
                <w:rFonts w:ascii="Arial" w:cs="Arial" w:eastAsia="Arial" w:hAnsi="Arial"/>
                <w:sz w:val="14"/>
                <w:szCs w:val="14"/>
                <w:color w:val="auto"/>
              </w:rPr>
              <w:t>capital</w:t>
            </w:r>
          </w:p>
        </w:tc>
        <w:tc>
          <w:tcPr>
            <w:tcW w:w="980" w:type="dxa"/>
            <w:vAlign w:val="bottom"/>
            <w:gridSpan w:val="2"/>
          </w:tcPr>
          <w:p>
            <w:pPr>
              <w:jc w:val="right"/>
              <w:ind w:right="340"/>
              <w:spacing w:after="0" w:line="154" w:lineRule="exact"/>
              <w:rPr>
                <w:sz w:val="20"/>
                <w:szCs w:val="20"/>
                <w:color w:val="auto"/>
              </w:rPr>
            </w:pPr>
            <w:r>
              <w:rPr>
                <w:rFonts w:ascii="Arial" w:cs="Arial" w:eastAsia="Arial" w:hAnsi="Arial"/>
                <w:sz w:val="14"/>
                <w:szCs w:val="14"/>
                <w:color w:val="auto"/>
              </w:rPr>
              <w:t>earnings</w:t>
            </w:r>
          </w:p>
        </w:tc>
        <w:tc>
          <w:tcPr>
            <w:tcW w:w="1060" w:type="dxa"/>
            <w:vAlign w:val="bottom"/>
            <w:gridSpan w:val="2"/>
          </w:tcPr>
          <w:p>
            <w:pPr>
              <w:jc w:val="center"/>
              <w:ind w:right="180"/>
              <w:spacing w:after="0" w:line="154" w:lineRule="exact"/>
              <w:rPr>
                <w:sz w:val="20"/>
                <w:szCs w:val="20"/>
                <w:color w:val="auto"/>
              </w:rPr>
            </w:pPr>
            <w:r>
              <w:rPr>
                <w:rFonts w:ascii="Arial" w:cs="Arial" w:eastAsia="Arial" w:hAnsi="Arial"/>
                <w:sz w:val="14"/>
                <w:szCs w:val="14"/>
                <w:color w:val="auto"/>
                <w:w w:val="91"/>
              </w:rPr>
              <w:t>(loss), net</w:t>
            </w:r>
          </w:p>
        </w:tc>
        <w:tc>
          <w:tcPr>
            <w:tcW w:w="980" w:type="dxa"/>
            <w:vAlign w:val="bottom"/>
            <w:gridSpan w:val="2"/>
          </w:tcPr>
          <w:p>
            <w:pPr>
              <w:jc w:val="right"/>
              <w:ind w:right="40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2013</w:t>
            </w:r>
          </w:p>
        </w:tc>
        <w:tc>
          <w:tcPr>
            <w:tcW w:w="3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Balance - January 1, 2013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872,500</w:t>
            </w:r>
          </w:p>
        </w:tc>
        <w:tc>
          <w:tcPr>
            <w:tcW w:w="2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64,088</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3,473</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3,025,520</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6,477,276</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(240,264)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10,202,593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917,058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42,202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Preferred stock cash dividends</w:t>
            </w:r>
          </w:p>
        </w:tc>
        <w:tc>
          <w:tcPr>
            <w:tcW w:w="100" w:type="dxa"/>
            <w:vAlign w:val="bottom"/>
          </w:tcPr>
          <w:p>
            <w:pPr>
              <w:spacing w:after="0"/>
              <w:rPr>
                <w:sz w:val="18"/>
                <w:szCs w:val="18"/>
                <w:color w:val="auto"/>
              </w:rPr>
            </w:pPr>
          </w:p>
        </w:tc>
        <w:tc>
          <w:tcPr>
            <w:tcW w:w="94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(40,088)</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preferred stock discount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(6,510)</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gridSpan w:val="2"/>
          </w:tcPr>
          <w:p>
            <w:pPr>
              <w:spacing w:after="0" w:line="201" w:lineRule="exact"/>
              <w:rPr>
                <w:sz w:val="20"/>
                <w:szCs w:val="20"/>
                <w:color w:val="auto"/>
              </w:rPr>
            </w:pPr>
            <w:r>
              <w:rPr>
                <w:rFonts w:ascii="Arial" w:cs="Arial" w:eastAsia="Arial" w:hAnsi="Arial"/>
                <w:sz w:val="18"/>
                <w:szCs w:val="18"/>
                <w:color w:val="auto"/>
                <w:w w:val="94"/>
              </w:rPr>
              <w:t>Exercise of 407,542 Series C stock warrants into 186,589 shares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of common stock</w:t>
            </w:r>
          </w:p>
        </w:tc>
        <w:tc>
          <w:tcPr>
            <w:tcW w:w="100" w:type="dxa"/>
            <w:vAlign w:val="bottom"/>
          </w:tcPr>
          <w:p>
            <w:pPr>
              <w:spacing w:after="0"/>
              <w:rPr>
                <w:sz w:val="20"/>
                <w:szCs w:val="20"/>
                <w:color w:val="auto"/>
              </w:rPr>
            </w:pPr>
          </w:p>
        </w:tc>
        <w:tc>
          <w:tcPr>
            <w:tcW w:w="94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20"/>
                <w:szCs w:val="20"/>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Exercise of 57,327 Series A stock warrants into 21,130 shares of</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20"/>
                <w:szCs w:val="20"/>
                <w:color w:val="auto"/>
              </w:rPr>
            </w:pPr>
          </w:p>
        </w:tc>
        <w:tc>
          <w:tcPr>
            <w:tcW w:w="9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Stock-based compensation plans: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Compensation expense, net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29,826</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Exercises of stock options, net</w:t>
            </w:r>
          </w:p>
        </w:tc>
        <w:tc>
          <w:tcPr>
            <w:tcW w:w="100" w:type="dxa"/>
            <w:vAlign w:val="bottom"/>
          </w:tcPr>
          <w:p>
            <w:pPr>
              <w:spacing w:after="0"/>
              <w:rPr>
                <w:sz w:val="18"/>
                <w:szCs w:val="18"/>
                <w:color w:val="auto"/>
              </w:rPr>
            </w:pPr>
          </w:p>
        </w:tc>
        <w:tc>
          <w:tcPr>
            <w:tcW w:w="94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747</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133,981</w:t>
            </w: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134,728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Directors’ stock plan</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Deferred compensation plans, net, including dividend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2"/>
          </w:tcPr>
          <w:p>
            <w:pPr>
              <w:ind w:left="520"/>
              <w:spacing w:after="0"/>
              <w:rPr>
                <w:sz w:val="20"/>
                <w:szCs w:val="20"/>
                <w:color w:val="auto"/>
              </w:rPr>
            </w:pPr>
            <w:r>
              <w:rPr>
                <w:rFonts w:ascii="Arial" w:cs="Arial" w:eastAsia="Arial" w:hAnsi="Arial"/>
                <w:sz w:val="18"/>
                <w:szCs w:val="18"/>
                <w:color w:val="auto"/>
              </w:rPr>
              <w:t>equivalents</w:t>
            </w:r>
          </w:p>
        </w:tc>
        <w:tc>
          <w:tcPr>
            <w:tcW w:w="100" w:type="dxa"/>
            <w:vAlign w:val="bottom"/>
          </w:tcPr>
          <w:p>
            <w:pPr>
              <w:spacing w:after="0"/>
              <w:rPr>
                <w:sz w:val="20"/>
                <w:szCs w:val="20"/>
                <w:color w:val="auto"/>
              </w:rPr>
            </w:pPr>
          </w:p>
        </w:tc>
        <w:tc>
          <w:tcPr>
            <w:tcW w:w="94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(584)</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568</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Common stock cash dividends - $2.10 per share</w:t>
            </w: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(273,351)</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(273,351)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September 30, 2013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879,010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65,097</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3,192,981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7,074,287</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(198,062)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11,016,202</w:t>
            </w:r>
          </w:p>
        </w:tc>
        <w:tc>
          <w:tcPr>
            <w:tcW w:w="0" w:type="dxa"/>
            <w:vAlign w:val="bottom"/>
          </w:tcPr>
          <w:p>
            <w:pPr>
              <w:spacing w:after="0"/>
              <w:rPr>
                <w:sz w:val="1"/>
                <w:szCs w:val="1"/>
                <w:color w:val="auto"/>
              </w:rPr>
            </w:pPr>
          </w:p>
        </w:tc>
      </w:tr>
      <w:tr>
        <w:trPr>
          <w:trHeight w:val="20"/>
        </w:trPr>
        <w:tc>
          <w:tcPr>
            <w:tcW w:w="1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2014</w:t>
            </w:r>
          </w:p>
        </w:tc>
        <w:tc>
          <w:tcPr>
            <w:tcW w:w="3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60" w:type="dxa"/>
            <w:vAlign w:val="bottom"/>
            <w:gridSpan w:val="2"/>
            <w:vMerge w:val="continue"/>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January 1, 2014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881,500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65,258</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3,232,014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7,188,004</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(64,159)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11,305,532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tcPr>
          <w:p>
            <w:pPr>
              <w:spacing w:after="0"/>
              <w:rPr>
                <w:sz w:val="18"/>
                <w:szCs w:val="18"/>
                <w:color w:val="auto"/>
              </w:rPr>
            </w:pPr>
          </w:p>
        </w:tc>
        <w:tc>
          <w:tcPr>
            <w:tcW w:w="94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788,697</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76,626</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865,323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cash dividends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(55,560)</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Issuance of Series E preferred stock</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350,000</w:t>
            </w:r>
          </w:p>
        </w:tc>
        <w:tc>
          <w:tcPr>
            <w:tcW w:w="2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(3,500)</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346,500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Exercise of 395,905 Series A stock warrants into 156,521 shares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 common stock</w:t>
            </w:r>
          </w:p>
        </w:tc>
        <w:tc>
          <w:tcPr>
            <w:tcW w:w="100" w:type="dxa"/>
            <w:vAlign w:val="bottom"/>
            <w:shd w:val="clear" w:color="auto" w:fill="CCEEFF"/>
          </w:tcPr>
          <w:p>
            <w:pPr>
              <w:spacing w:after="0"/>
              <w:rPr>
                <w:sz w:val="20"/>
                <w:szCs w:val="20"/>
                <w:color w:val="auto"/>
              </w:rPr>
            </w:pPr>
          </w:p>
        </w:tc>
        <w:tc>
          <w:tcPr>
            <w:tcW w:w="9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Stock-based compensation plans: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Compensation expense, net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Exercises of stock options, net</w:t>
            </w:r>
          </w:p>
        </w:tc>
        <w:tc>
          <w:tcPr>
            <w:tcW w:w="100" w:type="dxa"/>
            <w:vAlign w:val="bottom"/>
          </w:tcPr>
          <w:p>
            <w:pPr>
              <w:spacing w:after="0"/>
              <w:rPr>
                <w:sz w:val="18"/>
                <w:szCs w:val="18"/>
                <w:color w:val="auto"/>
              </w:rPr>
            </w:pPr>
          </w:p>
        </w:tc>
        <w:tc>
          <w:tcPr>
            <w:tcW w:w="94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535</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102,695</w:t>
            </w: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 purchase plan</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9,545</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Directors’ stock plan</w:t>
            </w:r>
          </w:p>
        </w:tc>
        <w:tc>
          <w:tcPr>
            <w:tcW w:w="100" w:type="dxa"/>
            <w:vAlign w:val="bottom"/>
          </w:tcPr>
          <w:p>
            <w:pPr>
              <w:spacing w:after="0"/>
              <w:rPr>
                <w:sz w:val="18"/>
                <w:szCs w:val="18"/>
                <w:color w:val="auto"/>
              </w:rPr>
            </w:pPr>
          </w:p>
        </w:tc>
        <w:tc>
          <w:tcPr>
            <w:tcW w:w="94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1,266</w:t>
            </w: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Deferred compensation plans, net, including dividend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equivalents</w:t>
            </w:r>
          </w:p>
        </w:tc>
        <w:tc>
          <w:tcPr>
            <w:tcW w:w="100" w:type="dxa"/>
            <w:vAlign w:val="bottom"/>
            <w:shd w:val="clear" w:color="auto" w:fill="CCEEFF"/>
          </w:tcPr>
          <w:p>
            <w:pPr>
              <w:spacing w:after="0"/>
              <w:rPr>
                <w:sz w:val="20"/>
                <w:szCs w:val="20"/>
                <w:color w:val="auto"/>
              </w:rPr>
            </w:pPr>
          </w:p>
        </w:tc>
        <w:tc>
          <w:tcPr>
            <w:tcW w:w="9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335</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4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1,320</w:t>
            </w: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cash dividends - $2.10 per share</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(278,059)</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(278,059)</w:t>
            </w:r>
          </w:p>
        </w:tc>
        <w:tc>
          <w:tcPr>
            <w:tcW w:w="0" w:type="dxa"/>
            <w:vAlign w:val="bottom"/>
          </w:tcPr>
          <w:p>
            <w:pPr>
              <w:spacing w:after="0"/>
              <w:rPr>
                <w:sz w:val="1"/>
                <w:szCs w:val="1"/>
                <w:color w:val="auto"/>
              </w:rPr>
            </w:pPr>
          </w:p>
        </w:tc>
      </w:tr>
      <w:tr>
        <w:trPr>
          <w:trHeight w:val="223"/>
        </w:trPr>
        <w:tc>
          <w:tcPr>
            <w:tcW w:w="4920" w:type="dxa"/>
            <w:vAlign w:val="bottom"/>
            <w:gridSpan w:val="3"/>
          </w:tcPr>
          <w:p>
            <w:pPr>
              <w:spacing w:after="0"/>
              <w:rPr>
                <w:sz w:val="20"/>
                <w:szCs w:val="20"/>
                <w:color w:val="auto"/>
              </w:rPr>
            </w:pPr>
            <w:r>
              <w:rPr>
                <w:rFonts w:ascii="Arial" w:cs="Arial" w:eastAsia="Arial" w:hAnsi="Arial"/>
                <w:sz w:val="18"/>
                <w:szCs w:val="18"/>
                <w:color w:val="auto"/>
              </w:rPr>
              <w:t>Balance - September 30, 2014</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1,231,500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66,050</w:t>
            </w:r>
          </w:p>
        </w:tc>
        <w:tc>
          <w:tcPr>
            <w:tcW w:w="2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3,377,714</w:t>
            </w:r>
          </w:p>
        </w:tc>
        <w:tc>
          <w:tcPr>
            <w:tcW w:w="1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7,642,995</w:t>
            </w: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12,467</w:t>
            </w: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12,333,316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ind w:left="540"/>
              <w:spacing w:after="0"/>
              <w:rPr>
                <w:sz w:val="20"/>
                <w:szCs w:val="20"/>
                <w:color w:val="auto"/>
              </w:rPr>
            </w:pPr>
            <w:r>
              <w:rPr>
                <w:rFonts w:ascii="Arial" w:cs="Arial" w:eastAsia="Arial" w:hAnsi="Arial"/>
                <w:sz w:val="18"/>
                <w:szCs w:val="18"/>
                <w:color w:val="auto"/>
              </w:rPr>
              <w:t>- 7 -</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12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consolidated financial statements of M&amp;T Bank Corporation (“M&amp;T”) and subsidiaries (“the Company”) were compiled in accordance with generally accepted accounting principles (“GAAP”) using the accounting policies set forth in note 1 of Notes to Financial Statements included in the 2013 Annual Report. In the opinion of management, all adjustments necessary for a fair presentation have been made and were all of a normal recurring nature.</w:t>
      </w:r>
    </w:p>
    <w:p>
      <w:pPr>
        <w:spacing w:after="0" w:line="29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August 27, 2012, M&amp;T announced that it had entered into a definitive agreement with Hudson City Bancorp, Inc. (“Hudson City”), headquartered in Paramus, New Jersey, under which Hudson City would be acquired by M&amp;T. Pursuant to the terms of the agreement, Hudson City shareholders will receive consideration for each common share of Hudson City in an amount valued at .08403 of an M&amp;T share in the form of either M&amp;T common stock or cash, based on the election of each Hudson City shareholder, subject to proration as specified in the merger agreement (which provides for an aggregate split of total consideration of 60% common stock of M&amp;T and 40% cash). As of September 30, 2014, total consideration to be paid was valued at approximately $5.4 billion.</w:t>
      </w:r>
    </w:p>
    <w:p>
      <w:pPr>
        <w:spacing w:after="0" w:line="193"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At September 30, 2014, Hudson City had $37.2 billion of assets, including $22.4 billion of loans and $8.4 billion of investment securities, and $32.3 billion of liabilities, including $20.0 billion of deposits. The merger has received the approval of the common shareholders of M&amp;T and Hudson City. However, the merger is subject to a number of other conditions, including regulatory approvals.</w:t>
      </w:r>
    </w:p>
    <w:p>
      <w:pPr>
        <w:spacing w:after="0" w:line="18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June 17, 2013, M&amp;T and Manufacturers and Traders Trust Company (“M&amp;T Bank”), M&amp;T’s principal banking subsidiary, entered into a written agreement with the Federal Reserve Bank of New York (“Federal Reserve Bank”). Under the terms of the agreement, M&amp;T and M&amp;T Bank are required to submit to the Federal Reserve Bank a revised compliance risk management program designed to ensure compliance with the Bank Secrecy Act and anti-money-laundering laws and regulations and to take certain other steps to enhance their compliance practices. The Company has commenced a major initiative, including the hiring of outside consulting firms, intended to fully address the Federal Reserve Bank’s concerns. In view of the timeframe required to implement this initiative, demonstrate its efficacy to the satisfaction of the Federal Reserve Bank and otherwise meet any other regulatory requirements that may be imposed in connection with these matters, M&amp;T and Hudson City extended the date after which either party may elect to terminate the merger agreement if the merger has not yet been completed to December 31, 2014. Nevertheless, there can be no assurances that the merger will be completed by that date.</w:t>
      </w:r>
    </w:p>
    <w:p>
      <w:pPr>
        <w:spacing w:after="0" w:line="19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connection with the pending acquisition, the Company incurred merger-related expenses related to preparing for systems conversions and other costs of integrating and conforming acquired operations with and into the Company. Those expenses consisted largely of professional services and other temporary help fees associated with planning for the conversion of systems and/or integration of operations; initial marketing and promotion expenses designed to introduce M&amp;T Bank to its new customers; travel costs; and printing, postage, supplies and other costs of planning for the transaction and commencing operations in new markets and offices.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continued</w:t>
      </w:r>
    </w:p>
    <w:p>
      <w:pPr>
        <w:spacing w:after="0" w:line="1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 summary of merger-related expenses in 2013 associated with the pending Hudson City acquisition included in the consolidated statement of income is presented below. There were no merger-related expenses during the three-month or nine-month periods ended September 30, 2014, or during the three-month period ended September 30, 2013.</w:t>
      </w:r>
    </w:p>
    <w:p>
      <w:pPr>
        <w:spacing w:after="0" w:line="203" w:lineRule="exact"/>
        <w:rPr>
          <w:sz w:val="20"/>
          <w:szCs w:val="20"/>
          <w:color w:val="auto"/>
        </w:rPr>
      </w:pPr>
    </w:p>
    <w:p>
      <w:pPr>
        <w:ind w:left="8360"/>
        <w:spacing w:after="0"/>
        <w:rPr>
          <w:sz w:val="20"/>
          <w:szCs w:val="20"/>
          <w:color w:val="auto"/>
        </w:rPr>
      </w:pPr>
      <w:r>
        <w:rPr>
          <w:rFonts w:ascii="Arial" w:cs="Arial" w:eastAsia="Arial" w:hAnsi="Arial"/>
          <w:sz w:val="14"/>
          <w:szCs w:val="14"/>
          <w:color w:val="auto"/>
        </w:rPr>
        <w:t>Nine months ended</w:t>
      </w:r>
    </w:p>
    <w:p>
      <w:pPr>
        <w:ind w:left="8340"/>
        <w:spacing w:after="0"/>
        <w:rPr>
          <w:sz w:val="20"/>
          <w:szCs w:val="20"/>
          <w:color w:val="auto"/>
        </w:rPr>
      </w:pPr>
      <w:r>
        <w:rPr>
          <w:rFonts w:ascii="Arial" w:cs="Arial" w:eastAsia="Arial" w:hAnsi="Arial"/>
          <w:sz w:val="14"/>
          <w:szCs w:val="14"/>
          <w:u w:val="single" w:color="auto"/>
          <w:color w:val="auto"/>
        </w:rPr>
        <w:t>September 30, 2013</w:t>
      </w:r>
    </w:p>
    <w:p>
      <w:pPr>
        <w:spacing w:after="0" w:line="1" w:lineRule="exact"/>
        <w:rPr>
          <w:sz w:val="20"/>
          <w:szCs w:val="20"/>
          <w:color w:val="auto"/>
        </w:rPr>
      </w:pPr>
    </w:p>
    <w:p>
      <w:pPr>
        <w:ind w:left="8500"/>
        <w:spacing w:after="0"/>
        <w:rPr>
          <w:sz w:val="20"/>
          <w:szCs w:val="20"/>
          <w:color w:val="auto"/>
        </w:rPr>
      </w:pPr>
      <w:r>
        <w:rPr>
          <w:rFonts w:ascii="Arial" w:cs="Arial" w:eastAsia="Arial" w:hAnsi="Arial"/>
          <w:sz w:val="14"/>
          <w:szCs w:val="14"/>
          <w:color w:val="auto"/>
        </w:rPr>
        <w:t>(in thousands)</w:t>
      </w:r>
    </w:p>
    <w:p>
      <w:pPr>
        <w:sectPr>
          <w:pgSz w:w="11900" w:h="16838" w:orient="portrait"/>
          <w:cols w:equalWidth="0" w:num="1">
            <w:col w:w="11300"/>
          </w:cols>
          <w:pgMar w:left="240" w:top="459" w:right="359" w:bottom="1440" w:gutter="0" w:footer="0" w:header="0"/>
        </w:sectPr>
      </w:pPr>
    </w:p>
    <w:p>
      <w:pPr>
        <w:spacing w:after="0" w:line="88"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Salaries and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-107315</wp:posOffset>
            </wp:positionV>
            <wp:extent cx="49225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6"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Equipment and net occupancy</w:t>
      </w:r>
    </w:p>
    <w:p>
      <w:pPr>
        <w:spacing w:after="0" w:line="32"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Printing, postage and supplies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-116205</wp:posOffset>
            </wp:positionV>
            <wp:extent cx="49225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Other costs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22860</wp:posOffset>
            </wp:positionV>
            <wp:extent cx="49225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886" w:hanging="886"/>
        <w:spacing w:after="0"/>
        <w:tabs>
          <w:tab w:leader="none" w:pos="886" w:val="left"/>
        </w:tabs>
        <w:numPr>
          <w:ilvl w:val="0"/>
          <w:numId w:val="6"/>
        </w:numPr>
        <w:rPr>
          <w:rFonts w:ascii="Arial" w:cs="Arial" w:eastAsia="Arial" w:hAnsi="Arial"/>
          <w:sz w:val="16"/>
          <w:szCs w:val="16"/>
          <w:color w:val="auto"/>
        </w:rPr>
      </w:pPr>
      <w:r>
        <w:rPr>
          <w:rFonts w:ascii="Arial" w:cs="Arial" w:eastAsia="Arial" w:hAnsi="Arial"/>
          <w:sz w:val="16"/>
          <w:szCs w:val="16"/>
          <w:color w:val="auto"/>
        </w:rPr>
        <w:t>836</w:t>
      </w:r>
    </w:p>
    <w:p>
      <w:pPr>
        <w:spacing w:after="0" w:line="46" w:lineRule="exact"/>
        <w:rPr>
          <w:rFonts w:ascii="Arial" w:cs="Arial" w:eastAsia="Arial" w:hAnsi="Arial"/>
          <w:sz w:val="16"/>
          <w:szCs w:val="16"/>
          <w:color w:val="auto"/>
        </w:rPr>
      </w:pPr>
    </w:p>
    <w:p>
      <w:pPr>
        <w:ind w:left="886"/>
        <w:spacing w:after="0"/>
        <w:rPr>
          <w:rFonts w:ascii="Arial" w:cs="Arial" w:eastAsia="Arial" w:hAnsi="Arial"/>
          <w:sz w:val="16"/>
          <w:szCs w:val="16"/>
          <w:color w:val="auto"/>
        </w:rPr>
      </w:pPr>
      <w:r>
        <w:rPr>
          <w:rFonts w:ascii="Arial" w:cs="Arial" w:eastAsia="Arial" w:hAnsi="Arial"/>
          <w:sz w:val="16"/>
          <w:szCs w:val="16"/>
          <w:color w:val="auto"/>
        </w:rPr>
        <w:t>690</w:t>
      </w:r>
    </w:p>
    <w:p>
      <w:pPr>
        <w:spacing w:after="0" w:line="32"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1,825</w:t>
      </w:r>
    </w:p>
    <w:p>
      <w:pPr>
        <w:spacing w:after="0" w:line="9"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9,013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7372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 w:lineRule="exact"/>
        <w:rPr>
          <w:sz w:val="20"/>
          <w:szCs w:val="20"/>
          <w:color w:val="auto"/>
        </w:rPr>
      </w:pPr>
    </w:p>
    <w:p>
      <w:pPr>
        <w:ind w:left="666" w:hanging="666"/>
        <w:spacing w:after="0"/>
        <w:tabs>
          <w:tab w:leader="none" w:pos="666" w:val="left"/>
        </w:tabs>
        <w:numPr>
          <w:ilvl w:val="0"/>
          <w:numId w:val="7"/>
        </w:numPr>
        <w:rPr>
          <w:rFonts w:ascii="Arial" w:cs="Arial" w:eastAsia="Arial" w:hAnsi="Arial"/>
          <w:sz w:val="16"/>
          <w:szCs w:val="16"/>
          <w:color w:val="auto"/>
        </w:rPr>
      </w:pPr>
      <w:r>
        <w:rPr>
          <w:rFonts w:ascii="Arial" w:cs="Arial" w:eastAsia="Arial" w:hAnsi="Arial"/>
          <w:sz w:val="16"/>
          <w:szCs w:val="16"/>
          <w:color w:val="auto"/>
        </w:rPr>
        <w:t>12,364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372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46355</wp:posOffset>
            </wp:positionV>
            <wp:extent cx="7372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14" w:space="720"/>
            <w:col w:w="2966"/>
          </w:cols>
          <w:pgMar w:left="240" w:top="459" w:right="359" w:bottom="1440" w:gutter="0" w:footer="0" w:header="0"/>
          <w:type w:val="continuous"/>
        </w:sectPr>
      </w:pPr>
    </w:p>
    <w:p>
      <w:pPr>
        <w:spacing w:after="0" w:line="24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investment securities were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Gross</w:t>
            </w:r>
          </w:p>
        </w:tc>
        <w:tc>
          <w:tcPr>
            <w:tcW w:w="1000" w:type="dxa"/>
            <w:vAlign w:val="bottom"/>
            <w:gridSpan w:val="2"/>
          </w:tcPr>
          <w:p>
            <w:pPr>
              <w:jc w:val="right"/>
              <w:ind w:right="520"/>
              <w:spacing w:after="0"/>
              <w:rPr>
                <w:sz w:val="20"/>
                <w:szCs w:val="20"/>
                <w:color w:val="auto"/>
              </w:rPr>
            </w:pPr>
            <w:r>
              <w:rPr>
                <w:rFonts w:ascii="Arial" w:cs="Arial" w:eastAsia="Arial" w:hAnsi="Arial"/>
                <w:sz w:val="14"/>
                <w:szCs w:val="14"/>
                <w:color w:val="auto"/>
              </w:rPr>
              <w:t>Gross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5"/>
              </w:rPr>
              <w:t>Amortized</w:t>
            </w: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2"/>
              </w:rPr>
              <w:t>unrealized</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89"/>
              </w:rPr>
              <w:t>unrealized</w:t>
            </w: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9"/>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color w:val="auto"/>
                <w:w w:val="93"/>
              </w:rPr>
              <w:t>cost</w:t>
            </w: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gains</w:t>
            </w:r>
          </w:p>
        </w:tc>
        <w:tc>
          <w:tcPr>
            <w:tcW w:w="1000" w:type="dxa"/>
            <w:vAlign w:val="bottom"/>
            <w:gridSpan w:val="2"/>
          </w:tcPr>
          <w:p>
            <w:pPr>
              <w:jc w:val="right"/>
              <w:ind w:right="520"/>
              <w:spacing w:after="0"/>
              <w:rPr>
                <w:sz w:val="20"/>
                <w:szCs w:val="20"/>
                <w:color w:val="auto"/>
              </w:rPr>
            </w:pPr>
            <w:r>
              <w:rPr>
                <w:rFonts w:ascii="Arial" w:cs="Arial" w:eastAsia="Arial" w:hAnsi="Arial"/>
                <w:sz w:val="14"/>
                <w:szCs w:val="14"/>
                <w:color w:val="auto"/>
              </w:rPr>
              <w:t>losses</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4"/>
          </w:tcPr>
          <w:p>
            <w:pPr>
              <w:jc w:val="right"/>
              <w:ind w:right="80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2014</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166,092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206</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9,174</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270</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Government issued or guaranteed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8,751,108</w:t>
            </w:r>
          </w:p>
        </w:tc>
        <w:tc>
          <w:tcPr>
            <w:tcW w:w="3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145,708</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2,765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8,894,051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Privately issued</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30,788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24,383</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138,278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2,304</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15,183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Equity securities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79,743</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54,732</w:t>
            </w:r>
          </w:p>
        </w:tc>
        <w:tc>
          <w:tcPr>
            <w:tcW w:w="3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134,069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9,175,295</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227,607</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18,885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9,384,017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1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151,789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3,284</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issued or guaranteed</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3,269,344</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50,477</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18,196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3,301,625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Privately issued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206,695</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49,897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156,798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7,987</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3,635,815</w:t>
            </w: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53,761</w:t>
            </w:r>
          </w:p>
        </w:tc>
        <w:tc>
          <w:tcPr>
            <w:tcW w:w="3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68,185</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3,621,391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328,536</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328,536</w:t>
            </w: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13,139,646</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281,368</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87,070</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13,333,944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920" w:type="dxa"/>
            <w:vAlign w:val="bottom"/>
            <w:vMerge w:val="restart"/>
          </w:tcPr>
          <w:p>
            <w:pPr>
              <w:jc w:val="right"/>
              <w:ind w:right="670"/>
              <w:spacing w:after="0"/>
              <w:rPr>
                <w:sz w:val="20"/>
                <w:szCs w:val="20"/>
                <w:color w:val="auto"/>
              </w:rPr>
            </w:pPr>
            <w:r>
              <w:rPr>
                <w:rFonts w:ascii="Arial" w:cs="Arial" w:eastAsia="Arial" w:hAnsi="Arial"/>
                <w:sz w:val="18"/>
                <w:szCs w:val="18"/>
                <w:color w:val="auto"/>
              </w:rPr>
              <w:t>- 9 -</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3.</w:t>
            </w:r>
          </w:p>
        </w:tc>
        <w:tc>
          <w:tcPr>
            <w:tcW w:w="6440" w:type="dxa"/>
            <w:vAlign w:val="bottom"/>
            <w:gridSpan w:val="2"/>
          </w:tcPr>
          <w:p>
            <w:pPr>
              <w:ind w:left="160"/>
              <w:spacing w:after="0"/>
              <w:rPr>
                <w:sz w:val="20"/>
                <w:szCs w:val="20"/>
                <w:color w:val="auto"/>
              </w:rPr>
            </w:pPr>
            <w:r>
              <w:rPr>
                <w:rFonts w:ascii="Arial" w:cs="Arial" w:eastAsia="Arial" w:hAnsi="Arial"/>
                <w:sz w:val="18"/>
                <w:szCs w:val="18"/>
                <w:b w:val="1"/>
                <w:bCs w:val="1"/>
                <w:color w:val="auto"/>
              </w:rPr>
              <w:t>Investment securities, continued</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Gross</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Gross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480"/>
              <w:spacing w:after="0" w:line="149" w:lineRule="exact"/>
              <w:rPr>
                <w:sz w:val="20"/>
                <w:szCs w:val="20"/>
                <w:color w:val="auto"/>
              </w:rPr>
            </w:pPr>
            <w:r>
              <w:rPr>
                <w:rFonts w:ascii="Arial" w:cs="Arial" w:eastAsia="Arial" w:hAnsi="Arial"/>
                <w:sz w:val="14"/>
                <w:szCs w:val="14"/>
                <w:color w:val="auto"/>
                <w:w w:val="95"/>
              </w:rPr>
              <w:t>Amortized</w:t>
            </w: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2"/>
              </w:rPr>
              <w:t>unrealized</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3"/>
              </w:rPr>
              <w:t>Estimated</w:t>
            </w:r>
          </w:p>
        </w:tc>
      </w:tr>
      <w:tr>
        <w:trPr>
          <w:trHeight w:val="167"/>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480"/>
              <w:spacing w:after="0"/>
              <w:rPr>
                <w:sz w:val="20"/>
                <w:szCs w:val="20"/>
                <w:color w:val="auto"/>
              </w:rPr>
            </w:pPr>
            <w:r>
              <w:rPr>
                <w:rFonts w:ascii="Arial" w:cs="Arial" w:eastAsia="Arial" w:hAnsi="Arial"/>
                <w:sz w:val="14"/>
                <w:szCs w:val="14"/>
                <w:color w:val="auto"/>
                <w:w w:val="93"/>
              </w:rPr>
              <w:t>cost</w:t>
            </w: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gains</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losses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98"/>
              </w:rPr>
              <w:t>fair value</w:t>
            </w: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4"/>
          </w:tcPr>
          <w:p>
            <w:pPr>
              <w:ind w:left="440"/>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37,396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382</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37,776</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10,484</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333</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10,811</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Arial" w:cs="Arial" w:eastAsia="Arial" w:hAnsi="Arial"/>
                <w:sz w:val="18"/>
                <w:szCs w:val="18"/>
                <w:color w:val="auto"/>
              </w:rPr>
              <w:t>Government issued or guaranteed</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4,123,435</w:t>
            </w: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61,001</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19,350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4,165,086</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Privately issued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1,468</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387</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00" w:type="dxa"/>
            <w:vAlign w:val="bottom"/>
          </w:tcPr>
          <w:p>
            <w:pPr>
              <w:spacing w:after="0"/>
              <w:rPr>
                <w:sz w:val="18"/>
                <w:szCs w:val="18"/>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42,274</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21,666</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63,083</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137,828</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1,722</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120,085</w:t>
            </w: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91,480</w:t>
            </w:r>
          </w:p>
        </w:tc>
        <w:tc>
          <w:tcPr>
            <w:tcW w:w="380" w:type="dxa"/>
            <w:vAlign w:val="bottom"/>
            <w:gridSpan w:val="2"/>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41,842</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133,095</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4,444,365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127,333</w:t>
            </w: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39,912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4,531,786</w:t>
            </w:r>
          </w:p>
        </w:tc>
        <w:tc>
          <w:tcPr>
            <w:tcW w:w="100" w:type="dxa"/>
            <w:vAlign w:val="bottom"/>
            <w:shd w:val="clear" w:color="auto" w:fill="CCEEFF"/>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rPr>
              <w:t>Investment securities held to maturity:</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169,684</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3,744</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173,293</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 issued or guaranteed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3,567,905</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16,160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65,149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3,518,916</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Arial" w:cs="Arial" w:eastAsia="Arial" w:hAnsi="Arial"/>
                <w:sz w:val="18"/>
                <w:szCs w:val="18"/>
                <w:color w:val="auto"/>
              </w:rPr>
              <w:t>Privately issued</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219,628</w:t>
            </w:r>
          </w:p>
        </w:tc>
        <w:tc>
          <w:tcPr>
            <w:tcW w:w="36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60,623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159,005</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8,913</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8,913</w:t>
            </w:r>
          </w:p>
        </w:tc>
      </w:tr>
      <w:tr>
        <w:trPr>
          <w:trHeight w:val="230"/>
        </w:trPr>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3,966,130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19,904</w:t>
            </w: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125,907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3,860,127</w:t>
            </w:r>
          </w:p>
        </w:tc>
        <w:tc>
          <w:tcPr>
            <w:tcW w:w="100" w:type="dxa"/>
            <w:vAlign w:val="bottom"/>
          </w:tcPr>
          <w:p>
            <w:pPr>
              <w:spacing w:after="0"/>
              <w:rPr>
                <w:sz w:val="20"/>
                <w:szCs w:val="20"/>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298,581</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298,581</w:t>
            </w:r>
          </w:p>
        </w:tc>
      </w:tr>
      <w:tr>
        <w:trPr>
          <w:trHeight w:val="223"/>
        </w:trPr>
        <w:tc>
          <w:tcPr>
            <w:tcW w:w="300" w:type="dxa"/>
            <w:vAlign w:val="bottom"/>
          </w:tcPr>
          <w:p>
            <w:pPr>
              <w:spacing w:after="0"/>
              <w:rPr>
                <w:sz w:val="19"/>
                <w:szCs w:val="19"/>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8,709,076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147,237</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165,819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8,690,494</w:t>
            </w:r>
          </w:p>
        </w:tc>
        <w:tc>
          <w:tcPr>
            <w:tcW w:w="10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There were no gross realized gains or losses from the sale of investment securities for the three-month and nine-month periods ended September 30, 2014 or for the three-month period ended September 30, 2013. Gross realized gains on investment securities were $116 million for the nine-month period ended September 30, 2013. During the second quarter of 2013, the Company sold its holdings of Visa Class B shares for a gain of approximately $90 million and its holdings of MasterCard Class B shares for a gain of $13 million. Gross realized losses on investment securities were $60 million for the nine-month period ended September 30, 2013. During the second quarter of 2013, the Company sold substantially all of its privately issued mortgage-backed securities that had been held in the available-for-sale investment securities portfolio. In total, $1.0 billion of such securities were sold for a net loss of approximately $46 million.</w:t>
      </w:r>
    </w:p>
    <w:p>
      <w:pPr>
        <w:spacing w:after="0" w:line="18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There were $10 million of pre-tax other-than-temporary impairment (“OTTI”) losses recognized during the first quarter of 2013 related to privately issued mortgage-backed securities. The impairment charges were recognized in light of deterioration of real estate values and a rise in delinquencies and charge-offs of underlying mortgage loans collateralizing those securities. The OTTI losses represented management’s estimate of credit losses inherent in the debt securities considering projected cash flows using assumptions for delinquency rates, loss severities, and other estimates for future collateral performance. The Company did not recognize any OTTI losses during the first nine months of 2014 or during the second and third quarters of 2013.</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Changes in credit losses associated with debt securities for which OTTI losses had been recognized in earnings for the three months and nine months ended September 30, 2013 follow:</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color w:val="auto"/>
              </w:rPr>
              <w:t>Three months ended</w:t>
            </w:r>
          </w:p>
        </w:tc>
        <w:tc>
          <w:tcPr>
            <w:tcW w:w="3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w w:val="92"/>
              </w:rPr>
              <w:t>Nine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color w:val="auto"/>
              </w:rPr>
              <w:t>September 30, 2013</w:t>
            </w:r>
          </w:p>
        </w:tc>
        <w:tc>
          <w:tcPr>
            <w:tcW w:w="1600" w:type="dxa"/>
            <w:vAlign w:val="bottom"/>
            <w:gridSpan w:val="3"/>
          </w:tcPr>
          <w:p>
            <w:pPr>
              <w:jc w:val="right"/>
              <w:ind w:right="120"/>
              <w:spacing w:after="0"/>
              <w:rPr>
                <w:sz w:val="20"/>
                <w:szCs w:val="20"/>
                <w:color w:val="auto"/>
              </w:rPr>
            </w:pPr>
            <w:r>
              <w:rPr>
                <w:rFonts w:ascii="Arial" w:cs="Arial" w:eastAsia="Arial" w:hAnsi="Arial"/>
                <w:sz w:val="14"/>
                <w:szCs w:val="14"/>
                <w:color w:val="auto"/>
              </w:rPr>
              <w:t>September 30, 2013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560" w:type="dxa"/>
            <w:vAlign w:val="bottom"/>
            <w:tcBorders>
              <w:top w:val="single" w:sz="8" w:color="auto"/>
            </w:tcBorders>
            <w:gridSpan w:val="4"/>
          </w:tcPr>
          <w:p>
            <w:pPr>
              <w:jc w:val="right"/>
              <w:ind w:right="1019"/>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197,809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Additions for credit losses not previously recognized</w:t>
            </w:r>
          </w:p>
        </w:tc>
        <w:tc>
          <w:tcPr>
            <w:tcW w:w="4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realized losses</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(626)</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(207,441)</w:t>
            </w:r>
          </w:p>
        </w:tc>
        <w:tc>
          <w:tcPr>
            <w:tcW w:w="0" w:type="dxa"/>
            <w:vAlign w:val="bottom"/>
          </w:tcPr>
          <w:p>
            <w:pPr>
              <w:spacing w:after="0"/>
              <w:rPr>
                <w:sz w:val="1"/>
                <w:szCs w:val="1"/>
                <w:color w:val="auto"/>
              </w:rPr>
            </w:pPr>
          </w:p>
        </w:tc>
      </w:tr>
      <w:tr>
        <w:trPr>
          <w:trHeight w:val="331"/>
        </w:trPr>
        <w:tc>
          <w:tcPr>
            <w:tcW w:w="552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were no significant credit losses associated with debt securities held by the Company as of September 30, 2014 or December 31, 2013.</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2014, the amortized cost and estimated fair value of debt securities by contractual maturity were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3"/>
              <w:spacing w:after="0"/>
              <w:rPr>
                <w:sz w:val="20"/>
                <w:szCs w:val="20"/>
                <w:color w:val="auto"/>
              </w:rPr>
            </w:pPr>
            <w:r>
              <w:rPr>
                <w:rFonts w:ascii="Arial" w:cs="Arial" w:eastAsia="Arial" w:hAnsi="Arial"/>
                <w:sz w:val="14"/>
                <w:szCs w:val="14"/>
                <w:color w:val="auto"/>
                <w:w w:val="95"/>
              </w:rPr>
              <w:t>Amortized</w:t>
            </w:r>
          </w:p>
        </w:tc>
        <w:tc>
          <w:tcPr>
            <w:tcW w:w="44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13"/>
              <w:spacing w:after="0"/>
              <w:rPr>
                <w:sz w:val="20"/>
                <w:szCs w:val="20"/>
                <w:color w:val="auto"/>
              </w:rPr>
            </w:pPr>
            <w:r>
              <w:rPr>
                <w:rFonts w:ascii="Arial" w:cs="Arial" w:eastAsia="Arial" w:hAnsi="Arial"/>
                <w:sz w:val="14"/>
                <w:szCs w:val="14"/>
                <w:color w:val="auto"/>
              </w:rPr>
              <w:t>cost</w:t>
            </w:r>
          </w:p>
        </w:tc>
        <w:tc>
          <w:tcPr>
            <w:tcW w:w="44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gridSpan w:val="3"/>
          </w:tcPr>
          <w:p>
            <w:pPr>
              <w:jc w:val="right"/>
              <w:ind w:right="536"/>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3680" w:type="dxa"/>
            <w:vAlign w:val="bottom"/>
          </w:tcPr>
          <w:p>
            <w:pPr>
              <w:spacing w:after="0"/>
              <w:rPr>
                <w:sz w:val="6"/>
                <w:szCs w:val="6"/>
                <w:color w:val="auto"/>
              </w:rPr>
            </w:pPr>
          </w:p>
        </w:tc>
        <w:tc>
          <w:tcPr>
            <w:tcW w:w="2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12,359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164,546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4,322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163,105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344,332</w:t>
            </w:r>
          </w:p>
        </w:tc>
        <w:tc>
          <w:tcPr>
            <w:tcW w:w="4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available for sale</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8,751,220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8,894,163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9,095,552</w:t>
            </w:r>
          </w:p>
        </w:tc>
        <w:tc>
          <w:tcPr>
            <w:tcW w:w="4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9,249,948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to maturity:</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21,190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49,795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51,073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159,776</w:t>
            </w:r>
          </w:p>
        </w:tc>
        <w:tc>
          <w:tcPr>
            <w:tcW w:w="4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162,968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held to maturity</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3,476,039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3,458,423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3,635,815</w:t>
            </w:r>
          </w:p>
        </w:tc>
        <w:tc>
          <w:tcPr>
            <w:tcW w:w="4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3,621,391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840" w:type="dxa"/>
            <w:vAlign w:val="bottom"/>
            <w:vMerge w:val="restart"/>
          </w:tcPr>
          <w:p>
            <w:pPr>
              <w:jc w:val="right"/>
              <w:ind w:right="1930"/>
              <w:spacing w:after="0"/>
              <w:rPr>
                <w:sz w:val="20"/>
                <w:szCs w:val="20"/>
                <w:color w:val="auto"/>
              </w:rPr>
            </w:pPr>
            <w:r>
              <w:rPr>
                <w:rFonts w:ascii="Arial" w:cs="Arial" w:eastAsia="Arial" w:hAnsi="Arial"/>
                <w:sz w:val="18"/>
                <w:szCs w:val="18"/>
                <w:color w:val="auto"/>
              </w:rPr>
              <w:t>- 11 -</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summary of investment securities that as of September 30, 2014 and December 31, 2013 had been in a continuous unrealized loss position for less than twelve months and those that had been in a continuous unrealized loss position for twelve months or longer follows: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jc w:val="right"/>
              <w:ind w:right="660"/>
              <w:spacing w:after="0"/>
              <w:rPr>
                <w:sz w:val="20"/>
                <w:szCs w:val="20"/>
                <w:color w:val="auto"/>
              </w:rPr>
            </w:pPr>
            <w:r>
              <w:rPr>
                <w:rFonts w:ascii="Arial" w:cs="Arial" w:eastAsia="Arial" w:hAnsi="Arial"/>
                <w:sz w:val="14"/>
                <w:szCs w:val="14"/>
                <w:color w:val="auto"/>
              </w:rPr>
              <w:t>Less than 12 months</w:t>
            </w:r>
          </w:p>
        </w:tc>
        <w:tc>
          <w:tcPr>
            <w:tcW w:w="1780" w:type="dxa"/>
            <w:vAlign w:val="bottom"/>
            <w:gridSpan w:val="4"/>
          </w:tcPr>
          <w:p>
            <w:pPr>
              <w:jc w:val="right"/>
              <w:ind w:right="32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2"/>
              </w:rPr>
              <w:t>Unrealized</w:t>
            </w:r>
          </w:p>
        </w:tc>
        <w:tc>
          <w:tcPr>
            <w:tcW w:w="4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color w:val="auto"/>
                <w:w w:val="94"/>
              </w:rPr>
              <w:t>Fair value</w:t>
            </w:r>
          </w:p>
        </w:tc>
        <w:tc>
          <w:tcPr>
            <w:tcW w:w="1040" w:type="dxa"/>
            <w:vAlign w:val="bottom"/>
            <w:gridSpan w:val="2"/>
          </w:tcPr>
          <w:p>
            <w:pPr>
              <w:jc w:val="right"/>
              <w:ind w:right="480"/>
              <w:spacing w:after="0"/>
              <w:rPr>
                <w:sz w:val="20"/>
                <w:szCs w:val="20"/>
                <w:color w:val="auto"/>
              </w:rPr>
            </w:pPr>
            <w:r>
              <w:rPr>
                <w:rFonts w:ascii="Arial" w:cs="Arial" w:eastAsia="Arial" w:hAnsi="Arial"/>
                <w:sz w:val="14"/>
                <w:szCs w:val="14"/>
                <w:color w:val="auto"/>
              </w:rPr>
              <w:t>losses</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w w:val="97"/>
              </w:rPr>
              <w:t>Fair value</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4"/>
          </w:tcPr>
          <w:p>
            <w:pPr>
              <w:jc w:val="right"/>
              <w:ind w:right="920"/>
              <w:spacing w:after="0" w:line="142" w:lineRule="exact"/>
              <w:rPr>
                <w:sz w:val="20"/>
                <w:szCs w:val="20"/>
                <w:color w:val="auto"/>
              </w:rPr>
            </w:pPr>
            <w:r>
              <w:rPr>
                <w:rFonts w:ascii="Arial" w:cs="Arial" w:eastAsia="Arial" w:hAnsi="Arial"/>
                <w:sz w:val="14"/>
                <w:szCs w:val="14"/>
                <w:color w:val="auto"/>
              </w:rPr>
              <w:t>(in thousands)</w:t>
            </w: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2014</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104,495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1,756</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(52)</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323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Government issued or guaranteed</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1,420,096</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(2,560)</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8,006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Privately issued</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2,436</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(340)</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5,871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4,506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95,497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Equity securities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2,264</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(406)</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1,535,553</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(3,527)</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109,769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(15,358)</w:t>
            </w:r>
          </w:p>
        </w:tc>
        <w:tc>
          <w:tcPr>
            <w:tcW w:w="0" w:type="dxa"/>
            <w:vAlign w:val="bottom"/>
          </w:tcPr>
          <w:p>
            <w:pPr>
              <w:spacing w:after="0"/>
              <w:rPr>
                <w:sz w:val="1"/>
                <w:szCs w:val="1"/>
                <w:color w:val="auto"/>
              </w:rPr>
            </w:pPr>
          </w:p>
        </w:tc>
      </w:tr>
      <w:tr>
        <w:trPr>
          <w:trHeight w:val="331"/>
        </w:trPr>
        <w:tc>
          <w:tcPr>
            <w:tcW w:w="422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2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15,456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1,836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issued or guaranteed</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180,033</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(1,168)</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705,988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Privately issued</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156,798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(49,897)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195,489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(1,245)</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864,622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(66,940)</w:t>
            </w:r>
          </w:p>
        </w:tc>
        <w:tc>
          <w:tcPr>
            <w:tcW w:w="0" w:type="dxa"/>
            <w:vAlign w:val="bottom"/>
          </w:tcPr>
          <w:p>
            <w:pPr>
              <w:spacing w:after="0"/>
              <w:rPr>
                <w:sz w:val="1"/>
                <w:szCs w:val="1"/>
                <w:color w:val="auto"/>
              </w:rPr>
            </w:pPr>
          </w:p>
        </w:tc>
      </w:tr>
      <w:tr>
        <w:trPr>
          <w:trHeight w:val="20"/>
        </w:trPr>
        <w:tc>
          <w:tcPr>
            <w:tcW w:w="42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1,731,042</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(4,772)</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974,391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(82,298)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558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Government issued or guaranteed</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1,697,094</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(19,225)</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5,815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Privately issued</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6,257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1,428</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103,602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Equity securities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159</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(227)</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1,699,426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(19,458)</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116,330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(20,454)</w:t>
            </w:r>
          </w:p>
        </w:tc>
        <w:tc>
          <w:tcPr>
            <w:tcW w:w="0" w:type="dxa"/>
            <w:vAlign w:val="bottom"/>
          </w:tcPr>
          <w:p>
            <w:pPr>
              <w:spacing w:after="0"/>
              <w:rPr>
                <w:sz w:val="1"/>
                <w:szCs w:val="1"/>
                <w:color w:val="auto"/>
              </w:rPr>
            </w:pPr>
          </w:p>
        </w:tc>
      </w:tr>
      <w:tr>
        <w:trPr>
          <w:trHeight w:val="331"/>
        </w:trPr>
        <w:tc>
          <w:tcPr>
            <w:tcW w:w="422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2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13,517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1,558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issued or guaranteed</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2,629,950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(65,149)</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Privately issued</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159,005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(60,623)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2,643,467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(65,269)</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160,563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(60,638)</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4,342,893</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(84,727</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276,893</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(81,092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40" w:type="dxa"/>
            <w:vAlign w:val="bottom"/>
            <w:vMerge w:val="restart"/>
          </w:tcPr>
          <w:p>
            <w:pPr>
              <w:jc w:val="right"/>
              <w:ind w:right="930"/>
              <w:spacing w:after="0"/>
              <w:rPr>
                <w:sz w:val="20"/>
                <w:szCs w:val="20"/>
                <w:color w:val="auto"/>
              </w:rPr>
            </w:pPr>
            <w:r>
              <w:rPr>
                <w:rFonts w:ascii="Arial" w:cs="Arial" w:eastAsia="Arial" w:hAnsi="Arial"/>
                <w:sz w:val="18"/>
                <w:szCs w:val="18"/>
                <w:color w:val="auto"/>
              </w:rPr>
              <w:t>- 12 -</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Company owned 386 individual investment securities with aggregate gross unrealized losses of $87 million at September 30, 2014. Based on a review of each of the securities in the investment securities portfolio at September 30, 2014, the Company concluded that it expected to recover the amortized cost basis of its investment. As of September 30, 2014, the Company does not intend to sell nor is it anticipated that it would be required to sell any of its impaired investment securities at a loss. At September 30, 2014, the Company has not identified events or changes in circumstances which may have a significant adverse effect on the fair value of the $329 million of cost method investment securities.</w:t>
      </w:r>
    </w:p>
    <w:p>
      <w:pPr>
        <w:spacing w:after="0" w:line="31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outstanding principal balance and the carrying amount of acquired loans that were recorded at fair value at the acquisition date and included in the consolidated balance sheet follow:</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640" w:type="dxa"/>
            <w:vAlign w:val="bottom"/>
            <w:gridSpan w:val="2"/>
          </w:tcPr>
          <w:p>
            <w:pPr>
              <w:jc w:val="right"/>
              <w:spacing w:after="0"/>
              <w:rPr>
                <w:sz w:val="20"/>
                <w:szCs w:val="20"/>
                <w:color w:val="auto"/>
              </w:rPr>
            </w:pPr>
            <w:r>
              <w:rPr>
                <w:rFonts w:ascii="Arial" w:cs="Arial" w:eastAsia="Arial" w:hAnsi="Arial"/>
                <w:sz w:val="14"/>
                <w:szCs w:val="14"/>
                <w:color w:val="auto"/>
              </w:rPr>
              <w:t>September 30,</w:t>
            </w:r>
          </w:p>
        </w:tc>
        <w:tc>
          <w:tcPr>
            <w:tcW w:w="1340" w:type="dxa"/>
            <w:vAlign w:val="bottom"/>
            <w:gridSpan w:val="3"/>
          </w:tcPr>
          <w:p>
            <w:pPr>
              <w:ind w:left="4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640" w:type="dxa"/>
            <w:vAlign w:val="bottom"/>
            <w:gridSpan w:val="2"/>
          </w:tcPr>
          <w:p>
            <w:pPr>
              <w:jc w:val="right"/>
              <w:ind w:right="199"/>
              <w:spacing w:after="0"/>
              <w:rPr>
                <w:sz w:val="20"/>
                <w:szCs w:val="20"/>
                <w:color w:val="auto"/>
              </w:rPr>
            </w:pPr>
            <w:r>
              <w:rPr>
                <w:rFonts w:ascii="Arial" w:cs="Arial" w:eastAsia="Arial" w:hAnsi="Arial"/>
                <w:sz w:val="14"/>
                <w:szCs w:val="14"/>
                <w:color w:val="auto"/>
              </w:rPr>
              <w:t>2014</w:t>
            </w:r>
          </w:p>
        </w:tc>
        <w:tc>
          <w:tcPr>
            <w:tcW w:w="1240" w:type="dxa"/>
            <w:vAlign w:val="bottom"/>
            <w:gridSpan w:val="2"/>
          </w:tcPr>
          <w:p>
            <w:pPr>
              <w:jc w:val="right"/>
              <w:ind w:right="170"/>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80" w:type="dxa"/>
            <w:vAlign w:val="bottom"/>
            <w:tcBorders>
              <w:top w:val="single" w:sz="8" w:color="auto"/>
            </w:tcBorders>
            <w:gridSpan w:val="3"/>
          </w:tcPr>
          <w:p>
            <w:pPr>
              <w:jc w:val="right"/>
              <w:ind w:right="55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6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$ 3,416,175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4,656,811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Carrying amount:</w:t>
            </w: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financial, leasing, etc.</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299,161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1,094,030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1,541,368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real estate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485,365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Consumer</w:t>
            </w:r>
          </w:p>
        </w:tc>
        <w:tc>
          <w:tcPr>
            <w:tcW w:w="18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1,013,238</w:t>
            </w:r>
          </w:p>
        </w:tc>
        <w:tc>
          <w:tcPr>
            <w:tcW w:w="4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1,308,926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$ 2,891,794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4,007,452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Purchased impaired loans included in the table above totaled $237 million at September 30, 2014 and $331 million at December 31, 2013, representing less than 1% of the Company’s assets as of each date. A summary of changes in the accretable yield for acquired loans for the three months and nine months ended September 30, 2014 and 2013 follows: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80" w:type="dxa"/>
            <w:vAlign w:val="bottom"/>
            <w:gridSpan w:val="5"/>
          </w:tcPr>
          <w:p>
            <w:pPr>
              <w:jc w:val="center"/>
              <w:spacing w:after="0"/>
              <w:rPr>
                <w:sz w:val="20"/>
                <w:szCs w:val="20"/>
                <w:color w:val="auto"/>
              </w:rPr>
            </w:pPr>
            <w:r>
              <w:rPr>
                <w:rFonts w:ascii="Arial" w:cs="Arial" w:eastAsia="Arial" w:hAnsi="Arial"/>
                <w:sz w:val="14"/>
                <w:szCs w:val="14"/>
                <w:color w:val="auto"/>
                <w:w w:val="90"/>
              </w:rPr>
              <w:t>Three months ended September 30</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520" w:type="dxa"/>
            <w:vAlign w:val="bottom"/>
            <w:gridSpan w:val="3"/>
          </w:tcPr>
          <w:p>
            <w:pPr>
              <w:jc w:val="right"/>
              <w:spacing w:after="0"/>
              <w:rPr>
                <w:sz w:val="20"/>
                <w:szCs w:val="20"/>
                <w:color w:val="auto"/>
              </w:rPr>
            </w:pPr>
            <w:r>
              <w:rPr>
                <w:rFonts w:ascii="Arial" w:cs="Arial" w:eastAsia="Arial" w:hAnsi="Arial"/>
                <w:sz w:val="14"/>
                <w:szCs w:val="14"/>
                <w:color w:val="auto"/>
              </w:rPr>
              <w:t>2014</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2013</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328"/>
              <w:spacing w:after="0" w:line="123" w:lineRule="exact"/>
              <w:rPr>
                <w:sz w:val="20"/>
                <w:szCs w:val="20"/>
                <w:color w:val="auto"/>
              </w:rPr>
            </w:pPr>
            <w:r>
              <w:rPr>
                <w:rFonts w:ascii="Arial" w:cs="Arial" w:eastAsia="Arial" w:hAnsi="Arial"/>
                <w:sz w:val="14"/>
                <w:szCs w:val="14"/>
                <w:color w:val="auto"/>
                <w:w w:val="89"/>
              </w:rPr>
              <w:t>Purchased</w:t>
            </w:r>
          </w:p>
        </w:tc>
        <w:tc>
          <w:tcPr>
            <w:tcW w:w="7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Other</w:t>
            </w:r>
          </w:p>
        </w:tc>
        <w:tc>
          <w:tcPr>
            <w:tcW w:w="40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400"/>
              <w:spacing w:after="0" w:line="123" w:lineRule="exact"/>
              <w:rPr>
                <w:sz w:val="20"/>
                <w:szCs w:val="20"/>
                <w:color w:val="auto"/>
              </w:rPr>
            </w:pPr>
            <w:r>
              <w:rPr>
                <w:rFonts w:ascii="Arial" w:cs="Arial" w:eastAsia="Arial" w:hAnsi="Arial"/>
                <w:sz w:val="14"/>
                <w:szCs w:val="14"/>
                <w:color w:val="auto"/>
                <w:w w:val="89"/>
              </w:rPr>
              <w:t>Purchased</w:t>
            </w:r>
          </w:p>
        </w:tc>
        <w:tc>
          <w:tcPr>
            <w:tcW w:w="7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gridSpan w:val="2"/>
          </w:tcPr>
          <w:p>
            <w:pPr>
              <w:jc w:val="center"/>
              <w:ind w:right="328"/>
              <w:spacing w:after="0"/>
              <w:rPr>
                <w:sz w:val="20"/>
                <w:szCs w:val="20"/>
                <w:color w:val="auto"/>
              </w:rPr>
            </w:pPr>
            <w:r>
              <w:rPr>
                <w:rFonts w:ascii="Arial" w:cs="Arial" w:eastAsia="Arial" w:hAnsi="Arial"/>
                <w:sz w:val="14"/>
                <w:szCs w:val="14"/>
                <w:color w:val="auto"/>
                <w:w w:val="96"/>
              </w:rPr>
              <w:t>impaired</w:t>
            </w: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acquired</w:t>
            </w: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color w:val="auto"/>
                <w:w w:val="96"/>
              </w:rPr>
              <w:t>impaired</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acquired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180" w:type="dxa"/>
            <w:vAlign w:val="bottom"/>
            <w:tcBorders>
              <w:top w:val="single" w:sz="8" w:color="auto"/>
            </w:tcBorders>
            <w:gridSpan w:val="4"/>
          </w:tcPr>
          <w:p>
            <w:pPr>
              <w:jc w:val="center"/>
              <w:ind w:right="360"/>
              <w:spacing w:after="0"/>
              <w:rPr>
                <w:sz w:val="20"/>
                <w:szCs w:val="20"/>
                <w:color w:val="auto"/>
              </w:rPr>
            </w:pPr>
            <w:r>
              <w:rPr>
                <w:rFonts w:ascii="Arial" w:cs="Arial" w:eastAsia="Arial" w:hAnsi="Arial"/>
                <w:sz w:val="14"/>
                <w:szCs w:val="14"/>
                <w:color w:val="auto"/>
                <w:w w:val="92"/>
              </w:rPr>
              <w:t>(in thousands)</w:t>
            </w: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9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52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$ 26,082</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450,970</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1"/>
              </w:rPr>
              <w:t>$ 55,149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Interest income</w:t>
            </w:r>
          </w:p>
        </w:tc>
        <w:tc>
          <w:tcPr>
            <w:tcW w:w="2520" w:type="dxa"/>
            <w:vAlign w:val="bottom"/>
            <w:gridSpan w:val="3"/>
          </w:tcPr>
          <w:p>
            <w:pPr>
              <w:jc w:val="right"/>
              <w:ind w:right="268"/>
              <w:spacing w:after="0"/>
              <w:rPr>
                <w:sz w:val="20"/>
                <w:szCs w:val="20"/>
                <w:color w:val="auto"/>
              </w:rPr>
            </w:pPr>
            <w:r>
              <w:rPr>
                <w:rFonts w:ascii="Arial" w:cs="Arial" w:eastAsia="Arial" w:hAnsi="Arial"/>
                <w:sz w:val="18"/>
                <w:szCs w:val="18"/>
                <w:color w:val="auto"/>
              </w:rPr>
              <w:t>(4,149)</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(39,019)</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(10,428)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(60,786)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from nonaccretable balance, net</w:t>
            </w:r>
          </w:p>
        </w:tc>
        <w:tc>
          <w:tcPr>
            <w:tcW w:w="252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129</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9,673</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(a)</w:t>
            </w:r>
          </w:p>
        </w:tc>
        <w:tc>
          <w:tcPr>
            <w:tcW w:w="1440" w:type="dxa"/>
            <w:vAlign w:val="bottom"/>
          </w:tcPr>
          <w:p>
            <w:pPr>
              <w:spacing w:after="0"/>
              <w:rPr>
                <w:sz w:val="19"/>
                <w:szCs w:val="19"/>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400" w:type="dxa"/>
            <w:vAlign w:val="bottom"/>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$ 22,062</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423,494</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1"/>
              </w:rPr>
              <w:t>$ 44,893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80" w:type="dxa"/>
            <w:vAlign w:val="bottom"/>
            <w:gridSpan w:val="5"/>
          </w:tcPr>
          <w:p>
            <w:pPr>
              <w:jc w:val="center"/>
              <w:spacing w:after="0"/>
              <w:rPr>
                <w:sz w:val="20"/>
                <w:szCs w:val="20"/>
                <w:color w:val="auto"/>
              </w:rPr>
            </w:pPr>
            <w:r>
              <w:rPr>
                <w:rFonts w:ascii="Arial" w:cs="Arial" w:eastAsia="Arial" w:hAnsi="Arial"/>
                <w:sz w:val="14"/>
                <w:szCs w:val="14"/>
                <w:color w:val="auto"/>
                <w:w w:val="91"/>
              </w:rPr>
              <w:t>Nine months ended September 30</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520" w:type="dxa"/>
            <w:vAlign w:val="bottom"/>
            <w:gridSpan w:val="3"/>
          </w:tcPr>
          <w:p>
            <w:pPr>
              <w:jc w:val="right"/>
              <w:spacing w:after="0"/>
              <w:rPr>
                <w:sz w:val="20"/>
                <w:szCs w:val="20"/>
                <w:color w:val="auto"/>
              </w:rPr>
            </w:pPr>
            <w:r>
              <w:rPr>
                <w:rFonts w:ascii="Arial" w:cs="Arial" w:eastAsia="Arial" w:hAnsi="Arial"/>
                <w:sz w:val="14"/>
                <w:szCs w:val="14"/>
                <w:color w:val="auto"/>
              </w:rPr>
              <w:t>2014</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2013</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328"/>
              <w:spacing w:after="0" w:line="123" w:lineRule="exact"/>
              <w:rPr>
                <w:sz w:val="20"/>
                <w:szCs w:val="20"/>
                <w:color w:val="auto"/>
              </w:rPr>
            </w:pPr>
            <w:r>
              <w:rPr>
                <w:rFonts w:ascii="Arial" w:cs="Arial" w:eastAsia="Arial" w:hAnsi="Arial"/>
                <w:sz w:val="14"/>
                <w:szCs w:val="14"/>
                <w:color w:val="auto"/>
                <w:w w:val="89"/>
              </w:rPr>
              <w:t>Purchased</w:t>
            </w:r>
          </w:p>
        </w:tc>
        <w:tc>
          <w:tcPr>
            <w:tcW w:w="7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Other</w:t>
            </w:r>
          </w:p>
        </w:tc>
        <w:tc>
          <w:tcPr>
            <w:tcW w:w="40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400"/>
              <w:spacing w:after="0" w:line="123" w:lineRule="exact"/>
              <w:rPr>
                <w:sz w:val="20"/>
                <w:szCs w:val="20"/>
                <w:color w:val="auto"/>
              </w:rPr>
            </w:pPr>
            <w:r>
              <w:rPr>
                <w:rFonts w:ascii="Arial" w:cs="Arial" w:eastAsia="Arial" w:hAnsi="Arial"/>
                <w:sz w:val="14"/>
                <w:szCs w:val="14"/>
                <w:color w:val="auto"/>
                <w:w w:val="89"/>
              </w:rPr>
              <w:t>Purchased</w:t>
            </w:r>
          </w:p>
        </w:tc>
        <w:tc>
          <w:tcPr>
            <w:tcW w:w="7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gridSpan w:val="2"/>
          </w:tcPr>
          <w:p>
            <w:pPr>
              <w:jc w:val="center"/>
              <w:ind w:right="328"/>
              <w:spacing w:after="0"/>
              <w:rPr>
                <w:sz w:val="20"/>
                <w:szCs w:val="20"/>
                <w:color w:val="auto"/>
              </w:rPr>
            </w:pPr>
            <w:r>
              <w:rPr>
                <w:rFonts w:ascii="Arial" w:cs="Arial" w:eastAsia="Arial" w:hAnsi="Arial"/>
                <w:sz w:val="14"/>
                <w:szCs w:val="14"/>
                <w:color w:val="auto"/>
                <w:w w:val="96"/>
              </w:rPr>
              <w:t>impaired</w:t>
            </w: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acquired</w:t>
            </w: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color w:val="auto"/>
                <w:w w:val="96"/>
              </w:rPr>
              <w:t>impaired</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acquired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180" w:type="dxa"/>
            <w:vAlign w:val="bottom"/>
            <w:tcBorders>
              <w:top w:val="single" w:sz="8" w:color="auto"/>
            </w:tcBorders>
            <w:gridSpan w:val="4"/>
          </w:tcPr>
          <w:p>
            <w:pPr>
              <w:jc w:val="center"/>
              <w:ind w:right="360"/>
              <w:spacing w:after="0"/>
              <w:rPr>
                <w:sz w:val="20"/>
                <w:szCs w:val="20"/>
                <w:color w:val="auto"/>
              </w:rPr>
            </w:pPr>
            <w:r>
              <w:rPr>
                <w:rFonts w:ascii="Arial" w:cs="Arial" w:eastAsia="Arial" w:hAnsi="Arial"/>
                <w:sz w:val="14"/>
                <w:szCs w:val="14"/>
                <w:color w:val="auto"/>
                <w:w w:val="92"/>
              </w:rPr>
              <w:t>(in thousands)</w:t>
            </w: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980" w:type="dxa"/>
            <w:vAlign w:val="bottom"/>
          </w:tcPr>
          <w:p>
            <w:pPr>
              <w:spacing w:after="0"/>
              <w:rPr>
                <w:sz w:val="6"/>
                <w:szCs w:val="6"/>
                <w:color w:val="auto"/>
              </w:rPr>
            </w:pPr>
          </w:p>
        </w:tc>
        <w:tc>
          <w:tcPr>
            <w:tcW w:w="2520" w:type="dxa"/>
            <w:vAlign w:val="bottom"/>
            <w:gridSpan w:val="3"/>
          </w:tcPr>
          <w:p>
            <w:pPr>
              <w:spacing w:after="0"/>
              <w:rPr>
                <w:sz w:val="6"/>
                <w:szCs w:val="6"/>
                <w:color w:val="auto"/>
              </w:rPr>
            </w:pPr>
          </w:p>
        </w:tc>
        <w:tc>
          <w:tcPr>
            <w:tcW w:w="1100" w:type="dxa"/>
            <w:vAlign w:val="bottom"/>
            <w:gridSpan w:val="2"/>
          </w:tcPr>
          <w:p>
            <w:pPr>
              <w:spacing w:after="0"/>
              <w:rPr>
                <w:sz w:val="6"/>
                <w:szCs w:val="6"/>
                <w:color w:val="auto"/>
              </w:rPr>
            </w:pPr>
          </w:p>
        </w:tc>
        <w:tc>
          <w:tcPr>
            <w:tcW w:w="1080" w:type="dxa"/>
            <w:vAlign w:val="bottom"/>
            <w:gridSpan w:val="2"/>
          </w:tcPr>
          <w:p>
            <w:pPr>
              <w:spacing w:after="0"/>
              <w:rPr>
                <w:sz w:val="6"/>
                <w:szCs w:val="6"/>
                <w:color w:val="auto"/>
              </w:rPr>
            </w:pPr>
          </w:p>
        </w:tc>
        <w:tc>
          <w:tcPr>
            <w:tcW w:w="80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52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$ 37,230</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538,633</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1"/>
              </w:rPr>
              <w:t>$ 42,252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Interest income</w:t>
            </w:r>
          </w:p>
        </w:tc>
        <w:tc>
          <w:tcPr>
            <w:tcW w:w="2520" w:type="dxa"/>
            <w:vAlign w:val="bottom"/>
            <w:gridSpan w:val="3"/>
          </w:tcPr>
          <w:p>
            <w:pPr>
              <w:jc w:val="right"/>
              <w:ind w:right="268"/>
              <w:spacing w:after="0"/>
              <w:rPr>
                <w:sz w:val="20"/>
                <w:szCs w:val="20"/>
                <w:color w:val="auto"/>
              </w:rPr>
            </w:pPr>
            <w:r>
              <w:rPr>
                <w:rFonts w:ascii="Arial" w:cs="Arial" w:eastAsia="Arial" w:hAnsi="Arial"/>
                <w:sz w:val="18"/>
                <w:szCs w:val="18"/>
                <w:color w:val="auto"/>
              </w:rPr>
              <w:t>(15,583)</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(135,105)</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(28,879)</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(190,072)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from nonaccretable balance, net</w:t>
            </w:r>
          </w:p>
        </w:tc>
        <w:tc>
          <w:tcPr>
            <w:tcW w:w="252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415</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10,448</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31,520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(a)</w:t>
            </w:r>
          </w:p>
        </w:tc>
        <w:tc>
          <w:tcPr>
            <w:tcW w:w="144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9,518</w:t>
            </w:r>
          </w:p>
        </w:tc>
        <w:tc>
          <w:tcPr>
            <w:tcW w:w="40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(3,158)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$ 22,062</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423,494</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1"/>
              </w:rPr>
              <w:t>$ 44,893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Other changes in expected cash flows including changes in interest rates and prepayment assumptions.</w:t>
      </w:r>
    </w:p>
    <w:p>
      <w:pPr>
        <w:spacing w:after="0" w:line="157"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 summary of current, past due and nonaccrual loans as of September 30, 2014 and December 31, 2013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4"/>
          </w:tcPr>
          <w:p>
            <w:pPr>
              <w:jc w:val="center"/>
              <w:ind w:right="220"/>
              <w:spacing w:after="0"/>
              <w:rPr>
                <w:sz w:val="20"/>
                <w:szCs w:val="20"/>
                <w:color w:val="auto"/>
              </w:rPr>
            </w:pPr>
            <w:r>
              <w:rPr>
                <w:rFonts w:ascii="Arial" w:cs="Arial" w:eastAsia="Arial" w:hAnsi="Arial"/>
                <w:sz w:val="14"/>
                <w:szCs w:val="14"/>
                <w:color w:val="auto"/>
                <w:w w:val="94"/>
              </w:rPr>
              <w:t>90 Days or</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89"/>
              </w:rPr>
              <w:t>more past</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30-89</w:t>
            </w:r>
          </w:p>
        </w:tc>
        <w:tc>
          <w:tcPr>
            <w:tcW w:w="220" w:type="dxa"/>
            <w:vAlign w:val="bottom"/>
          </w:tcPr>
          <w:p>
            <w:pPr>
              <w:spacing w:after="0"/>
              <w:rPr>
                <w:sz w:val="14"/>
                <w:szCs w:val="14"/>
                <w:color w:val="auto"/>
              </w:rPr>
            </w:pPr>
          </w:p>
        </w:tc>
        <w:tc>
          <w:tcPr>
            <w:tcW w:w="1700" w:type="dxa"/>
            <w:vAlign w:val="bottom"/>
            <w:gridSpan w:val="4"/>
          </w:tcPr>
          <w:p>
            <w:pPr>
              <w:jc w:val="center"/>
              <w:ind w:right="220"/>
              <w:spacing w:after="0"/>
              <w:rPr>
                <w:sz w:val="20"/>
                <w:szCs w:val="20"/>
                <w:color w:val="auto"/>
              </w:rPr>
            </w:pPr>
            <w:r>
              <w:rPr>
                <w:rFonts w:ascii="Arial" w:cs="Arial" w:eastAsia="Arial" w:hAnsi="Arial"/>
                <w:sz w:val="14"/>
                <w:szCs w:val="14"/>
                <w:color w:val="auto"/>
                <w:w w:val="93"/>
              </w:rPr>
              <w:t>due and accruing</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Purchased</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3"/>
              </w:rPr>
              <w:t>Days</w:t>
            </w:r>
          </w:p>
        </w:tc>
        <w:tc>
          <w:tcPr>
            <w:tcW w:w="840" w:type="dxa"/>
            <w:vAlign w:val="bottom"/>
            <w:tcBorders>
              <w:top w:val="single" w:sz="8" w:color="auto"/>
            </w:tcBorders>
            <w:gridSpan w:val="2"/>
          </w:tcPr>
          <w:p>
            <w:pPr>
              <w:jc w:val="center"/>
              <w:ind w:right="220"/>
              <w:spacing w:after="0" w:line="123" w:lineRule="exact"/>
              <w:rPr>
                <w:sz w:val="20"/>
                <w:szCs w:val="20"/>
                <w:color w:val="auto"/>
              </w:rPr>
            </w:pPr>
            <w:r>
              <w:rPr>
                <w:rFonts w:ascii="Arial" w:cs="Arial" w:eastAsia="Arial" w:hAnsi="Arial"/>
                <w:sz w:val="14"/>
                <w:szCs w:val="14"/>
                <w:color w:val="auto"/>
                <w:w w:val="98"/>
              </w:rPr>
              <w:t>Non-</w:t>
            </w:r>
          </w:p>
        </w:tc>
        <w:tc>
          <w:tcPr>
            <w:tcW w:w="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Acquired</w:t>
            </w:r>
          </w:p>
        </w:tc>
        <w:tc>
          <w:tcPr>
            <w:tcW w:w="220" w:type="dxa"/>
            <w:vAlign w:val="bottom"/>
          </w:tcPr>
          <w:p>
            <w:pPr>
              <w:spacing w:after="0"/>
              <w:rPr>
                <w:sz w:val="10"/>
                <w:szCs w:val="10"/>
                <w:color w:val="auto"/>
              </w:rPr>
            </w:pPr>
          </w:p>
        </w:tc>
        <w:tc>
          <w:tcPr>
            <w:tcW w:w="84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6"/>
              </w:rPr>
              <w:t>impaired</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Current</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past due</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acquired</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(a)</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(b)</w:t>
            </w:r>
          </w:p>
        </w:tc>
        <w:tc>
          <w:tcPr>
            <w:tcW w:w="880" w:type="dxa"/>
            <w:vAlign w:val="bottom"/>
            <w:gridSpan w:val="2"/>
          </w:tcPr>
          <w:p>
            <w:pPr>
              <w:spacing w:after="0"/>
              <w:rPr>
                <w:sz w:val="20"/>
                <w:szCs w:val="20"/>
                <w:color w:val="auto"/>
              </w:rPr>
            </w:pPr>
            <w:r>
              <w:rPr>
                <w:rFonts w:ascii="Arial" w:cs="Arial" w:eastAsia="Arial" w:hAnsi="Arial"/>
                <w:sz w:val="14"/>
                <w:szCs w:val="14"/>
                <w:color w:val="auto"/>
              </w:rPr>
              <w:t>Nonaccrual</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color w:val="auto"/>
                <w:w w:val="90"/>
              </w:rPr>
              <w:t>(in thousands)</w:t>
            </w:r>
          </w:p>
        </w:tc>
        <w:tc>
          <w:tcPr>
            <w:tcW w:w="2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2014</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$18,855,986</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41,296</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3,278</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5,422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14,777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191,250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$19,112,009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Commercial</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21,646,276</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101,671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36,688</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24,196</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62,739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173,285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22,044,855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builder and developer</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1,211,005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21,432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13,786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96,917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73,296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Other commercial construction</w:t>
            </w:r>
          </w:p>
        </w:tc>
        <w:tc>
          <w:tcPr>
            <w:tcW w:w="900" w:type="dxa"/>
            <w:vAlign w:val="bottom"/>
          </w:tcPr>
          <w:p>
            <w:pPr>
              <w:jc w:val="right"/>
              <w:spacing w:after="0"/>
              <w:rPr>
                <w:sz w:val="20"/>
                <w:szCs w:val="20"/>
                <w:color w:val="auto"/>
              </w:rPr>
            </w:pPr>
            <w:r>
              <w:rPr>
                <w:rFonts w:ascii="Arial" w:cs="Arial" w:eastAsia="Arial" w:hAnsi="Arial"/>
                <w:sz w:val="18"/>
                <w:szCs w:val="18"/>
                <w:color w:val="auto"/>
              </w:rPr>
              <w:t>3,392,260</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18,749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3,927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1,516</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36,114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27,375</w:t>
            </w:r>
          </w:p>
        </w:tc>
        <w:tc>
          <w:tcPr>
            <w:tcW w:w="900" w:type="dxa"/>
            <w:vAlign w:val="bottom"/>
          </w:tcPr>
          <w:p>
            <w:pPr>
              <w:jc w:val="right"/>
              <w:spacing w:after="0"/>
              <w:rPr>
                <w:sz w:val="20"/>
                <w:szCs w:val="20"/>
                <w:color w:val="auto"/>
              </w:rPr>
            </w:pPr>
            <w:r>
              <w:rPr>
                <w:rFonts w:ascii="Arial" w:cs="Arial" w:eastAsia="Arial" w:hAnsi="Arial"/>
                <w:sz w:val="18"/>
                <w:szCs w:val="18"/>
                <w:color w:val="auto"/>
              </w:rPr>
              <w:t>3,479,941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7,578,177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222,214</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263,529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42,286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23,551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183,681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8,313,438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Residential Alt-A</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254,188</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15,765</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80,017</w:t>
            </w:r>
          </w:p>
        </w:tc>
        <w:tc>
          <w:tcPr>
            <w:tcW w:w="900" w:type="dxa"/>
            <w:vAlign w:val="bottom"/>
          </w:tcPr>
          <w:p>
            <w:pPr>
              <w:jc w:val="right"/>
              <w:spacing w:after="0"/>
              <w:rPr>
                <w:sz w:val="20"/>
                <w:szCs w:val="20"/>
                <w:color w:val="auto"/>
              </w:rPr>
            </w:pPr>
            <w:r>
              <w:rPr>
                <w:rFonts w:ascii="Arial" w:cs="Arial" w:eastAsia="Arial" w:hAnsi="Arial"/>
                <w:sz w:val="18"/>
                <w:szCs w:val="18"/>
                <w:color w:val="auto"/>
              </w:rPr>
              <w:t>349,970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Home equity lines and loans</w:t>
            </w:r>
          </w:p>
        </w:tc>
        <w:tc>
          <w:tcPr>
            <w:tcW w:w="900" w:type="dxa"/>
            <w:vAlign w:val="bottom"/>
          </w:tcPr>
          <w:p>
            <w:pPr>
              <w:jc w:val="right"/>
              <w:spacing w:after="0"/>
              <w:rPr>
                <w:sz w:val="20"/>
                <w:szCs w:val="20"/>
                <w:color w:val="auto"/>
              </w:rPr>
            </w:pPr>
            <w:r>
              <w:rPr>
                <w:rFonts w:ascii="Arial" w:cs="Arial" w:eastAsia="Arial" w:hAnsi="Arial"/>
                <w:sz w:val="18"/>
                <w:szCs w:val="18"/>
                <w:color w:val="auto"/>
              </w:rPr>
              <w:t>5,909,631</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36,408</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28,320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2,564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85,122</w:t>
            </w:r>
          </w:p>
        </w:tc>
        <w:tc>
          <w:tcPr>
            <w:tcW w:w="900" w:type="dxa"/>
            <w:vAlign w:val="bottom"/>
          </w:tcPr>
          <w:p>
            <w:pPr>
              <w:jc w:val="right"/>
              <w:spacing w:after="0"/>
              <w:rPr>
                <w:sz w:val="20"/>
                <w:szCs w:val="20"/>
                <w:color w:val="auto"/>
              </w:rPr>
            </w:pPr>
            <w:r>
              <w:rPr>
                <w:rFonts w:ascii="Arial" w:cs="Arial" w:eastAsia="Arial" w:hAnsi="Arial"/>
                <w:sz w:val="18"/>
                <w:szCs w:val="18"/>
                <w:color w:val="auto"/>
              </w:rPr>
              <w:t>6,062,045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Automobile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1,808,300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24,692</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17,417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Other</w:t>
            </w:r>
          </w:p>
        </w:tc>
        <w:tc>
          <w:tcPr>
            <w:tcW w:w="900" w:type="dxa"/>
            <w:vAlign w:val="bottom"/>
          </w:tcPr>
          <w:p>
            <w:pPr>
              <w:jc w:val="right"/>
              <w:spacing w:after="0"/>
              <w:rPr>
                <w:sz w:val="20"/>
                <w:szCs w:val="20"/>
                <w:color w:val="auto"/>
              </w:rPr>
            </w:pPr>
            <w:r>
              <w:rPr>
                <w:rFonts w:ascii="Arial" w:cs="Arial" w:eastAsia="Arial" w:hAnsi="Arial"/>
                <w:sz w:val="18"/>
                <w:szCs w:val="18"/>
                <w:color w:val="auto"/>
              </w:rPr>
              <w:t>2,869,863</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34,863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3,953</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16,412</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16,341</w:t>
            </w:r>
          </w:p>
        </w:tc>
        <w:tc>
          <w:tcPr>
            <w:tcW w:w="900" w:type="dxa"/>
            <w:vAlign w:val="bottom"/>
          </w:tcPr>
          <w:p>
            <w:pPr>
              <w:jc w:val="right"/>
              <w:spacing w:after="0"/>
              <w:rPr>
                <w:sz w:val="20"/>
                <w:szCs w:val="20"/>
                <w:color w:val="auto"/>
              </w:rPr>
            </w:pPr>
            <w:r>
              <w:rPr>
                <w:rFonts w:ascii="Arial" w:cs="Arial" w:eastAsia="Arial" w:hAnsi="Arial"/>
                <w:sz w:val="18"/>
                <w:szCs w:val="18"/>
                <w:color w:val="auto"/>
              </w:rPr>
              <w:t>2,941,432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63,525,686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517,090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312,990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132,147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236,662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847,784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65,572,359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4"/>
          </w:tcPr>
          <w:p>
            <w:pPr>
              <w:jc w:val="center"/>
              <w:ind w:right="220"/>
              <w:spacing w:after="0"/>
              <w:rPr>
                <w:sz w:val="20"/>
                <w:szCs w:val="20"/>
                <w:color w:val="auto"/>
              </w:rPr>
            </w:pPr>
            <w:r>
              <w:rPr>
                <w:rFonts w:ascii="Arial" w:cs="Arial" w:eastAsia="Arial" w:hAnsi="Arial"/>
                <w:sz w:val="14"/>
                <w:szCs w:val="14"/>
                <w:color w:val="auto"/>
                <w:w w:val="94"/>
              </w:rPr>
              <w:t>90 Days or</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89"/>
              </w:rPr>
              <w:t>more past</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30-89</w:t>
            </w:r>
          </w:p>
        </w:tc>
        <w:tc>
          <w:tcPr>
            <w:tcW w:w="220" w:type="dxa"/>
            <w:vAlign w:val="bottom"/>
          </w:tcPr>
          <w:p>
            <w:pPr>
              <w:spacing w:after="0"/>
              <w:rPr>
                <w:sz w:val="14"/>
                <w:szCs w:val="14"/>
                <w:color w:val="auto"/>
              </w:rPr>
            </w:pPr>
          </w:p>
        </w:tc>
        <w:tc>
          <w:tcPr>
            <w:tcW w:w="1700" w:type="dxa"/>
            <w:vAlign w:val="bottom"/>
            <w:gridSpan w:val="4"/>
          </w:tcPr>
          <w:p>
            <w:pPr>
              <w:jc w:val="center"/>
              <w:ind w:right="220"/>
              <w:spacing w:after="0"/>
              <w:rPr>
                <w:sz w:val="20"/>
                <w:szCs w:val="20"/>
                <w:color w:val="auto"/>
              </w:rPr>
            </w:pPr>
            <w:r>
              <w:rPr>
                <w:rFonts w:ascii="Arial" w:cs="Arial" w:eastAsia="Arial" w:hAnsi="Arial"/>
                <w:sz w:val="14"/>
                <w:szCs w:val="14"/>
                <w:color w:val="auto"/>
                <w:w w:val="93"/>
              </w:rPr>
              <w:t>due and accruing</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Purchased</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3"/>
              </w:rPr>
              <w:t>Days</w:t>
            </w:r>
          </w:p>
        </w:tc>
        <w:tc>
          <w:tcPr>
            <w:tcW w:w="840" w:type="dxa"/>
            <w:vAlign w:val="bottom"/>
            <w:tcBorders>
              <w:top w:val="single" w:sz="8" w:color="auto"/>
            </w:tcBorders>
            <w:gridSpan w:val="2"/>
          </w:tcPr>
          <w:p>
            <w:pPr>
              <w:jc w:val="center"/>
              <w:ind w:right="220"/>
              <w:spacing w:after="0" w:line="123" w:lineRule="exact"/>
              <w:rPr>
                <w:sz w:val="20"/>
                <w:szCs w:val="20"/>
                <w:color w:val="auto"/>
              </w:rPr>
            </w:pPr>
            <w:r>
              <w:rPr>
                <w:rFonts w:ascii="Arial" w:cs="Arial" w:eastAsia="Arial" w:hAnsi="Arial"/>
                <w:sz w:val="14"/>
                <w:szCs w:val="14"/>
                <w:color w:val="auto"/>
                <w:w w:val="98"/>
              </w:rPr>
              <w:t>Non-</w:t>
            </w:r>
          </w:p>
        </w:tc>
        <w:tc>
          <w:tcPr>
            <w:tcW w:w="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Acquired</w:t>
            </w:r>
          </w:p>
        </w:tc>
        <w:tc>
          <w:tcPr>
            <w:tcW w:w="220" w:type="dxa"/>
            <w:vAlign w:val="bottom"/>
          </w:tcPr>
          <w:p>
            <w:pPr>
              <w:spacing w:after="0"/>
              <w:rPr>
                <w:sz w:val="10"/>
                <w:szCs w:val="10"/>
                <w:color w:val="auto"/>
              </w:rPr>
            </w:pPr>
          </w:p>
        </w:tc>
        <w:tc>
          <w:tcPr>
            <w:tcW w:w="84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6"/>
              </w:rPr>
              <w:t>impaired</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Current</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past due</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acquired</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(a)</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(b)</w:t>
            </w:r>
          </w:p>
        </w:tc>
        <w:tc>
          <w:tcPr>
            <w:tcW w:w="880" w:type="dxa"/>
            <w:vAlign w:val="bottom"/>
            <w:gridSpan w:val="2"/>
          </w:tcPr>
          <w:p>
            <w:pPr>
              <w:spacing w:after="0"/>
              <w:rPr>
                <w:sz w:val="20"/>
                <w:szCs w:val="20"/>
                <w:color w:val="auto"/>
              </w:rPr>
            </w:pPr>
            <w:r>
              <w:rPr>
                <w:rFonts w:ascii="Arial" w:cs="Arial" w:eastAsia="Arial" w:hAnsi="Arial"/>
                <w:sz w:val="14"/>
                <w:szCs w:val="14"/>
                <w:color w:val="auto"/>
              </w:rPr>
              <w:t>Nonaccrual</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color w:val="auto"/>
                <w:w w:val="90"/>
              </w:rPr>
              <w:t>(in thousands)</w:t>
            </w:r>
          </w:p>
        </w:tc>
        <w:tc>
          <w:tcPr>
            <w:tcW w:w="2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$18,489,474</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77,538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4,981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6,778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15,706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110,739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$18,705,216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Commercial</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21,236,071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145,749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63,353</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35,603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88,034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173,048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21,741,858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builder and developer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1,025,984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137,544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96,427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Other commercial construction</w:t>
            </w:r>
          </w:p>
        </w:tc>
        <w:tc>
          <w:tcPr>
            <w:tcW w:w="900" w:type="dxa"/>
            <w:vAlign w:val="bottom"/>
          </w:tcPr>
          <w:p>
            <w:pPr>
              <w:jc w:val="right"/>
              <w:spacing w:after="0"/>
              <w:rPr>
                <w:sz w:val="20"/>
                <w:szCs w:val="20"/>
                <w:color w:val="auto"/>
              </w:rPr>
            </w:pPr>
            <w:r>
              <w:rPr>
                <w:rFonts w:ascii="Arial" w:cs="Arial" w:eastAsia="Arial" w:hAnsi="Arial"/>
                <w:sz w:val="18"/>
                <w:szCs w:val="18"/>
                <w:color w:val="auto"/>
              </w:rPr>
              <w:t>2,986,598</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42,234</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8,031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57,707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35,268</w:t>
            </w:r>
          </w:p>
        </w:tc>
        <w:tc>
          <w:tcPr>
            <w:tcW w:w="900" w:type="dxa"/>
            <w:vAlign w:val="bottom"/>
          </w:tcPr>
          <w:p>
            <w:pPr>
              <w:jc w:val="right"/>
              <w:spacing w:after="0"/>
              <w:rPr>
                <w:sz w:val="20"/>
                <w:szCs w:val="20"/>
                <w:color w:val="auto"/>
              </w:rPr>
            </w:pPr>
            <w:r>
              <w:rPr>
                <w:rFonts w:ascii="Arial" w:cs="Arial" w:eastAsia="Arial" w:hAnsi="Arial"/>
                <w:sz w:val="18"/>
                <w:szCs w:val="18"/>
                <w:color w:val="auto"/>
              </w:rPr>
              <w:t>3,129,838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7,630,368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295,131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294,649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43,700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29,184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252,805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8,545,837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Residential Alt-A</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283,253</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18,009</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81,122</w:t>
            </w:r>
          </w:p>
        </w:tc>
        <w:tc>
          <w:tcPr>
            <w:tcW w:w="900" w:type="dxa"/>
            <w:vAlign w:val="bottom"/>
          </w:tcPr>
          <w:p>
            <w:pPr>
              <w:jc w:val="right"/>
              <w:spacing w:after="0"/>
              <w:rPr>
                <w:sz w:val="20"/>
                <w:szCs w:val="20"/>
                <w:color w:val="auto"/>
              </w:rPr>
            </w:pPr>
            <w:r>
              <w:rPr>
                <w:rFonts w:ascii="Arial" w:cs="Arial" w:eastAsia="Arial" w:hAnsi="Arial"/>
                <w:sz w:val="18"/>
                <w:szCs w:val="18"/>
                <w:color w:val="auto"/>
              </w:rPr>
              <w:t>382,384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Home equity lines and loans</w:t>
            </w:r>
          </w:p>
        </w:tc>
        <w:tc>
          <w:tcPr>
            <w:tcW w:w="900" w:type="dxa"/>
            <w:vAlign w:val="bottom"/>
          </w:tcPr>
          <w:p>
            <w:pPr>
              <w:jc w:val="right"/>
              <w:spacing w:after="0"/>
              <w:rPr>
                <w:sz w:val="20"/>
                <w:szCs w:val="20"/>
                <w:color w:val="auto"/>
              </w:rPr>
            </w:pPr>
            <w:r>
              <w:rPr>
                <w:rFonts w:ascii="Arial" w:cs="Arial" w:eastAsia="Arial" w:hAnsi="Arial"/>
                <w:sz w:val="18"/>
                <w:szCs w:val="18"/>
                <w:color w:val="auto"/>
              </w:rPr>
              <w:t>5,972,365</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40,537</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27,754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2,617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78,516</w:t>
            </w:r>
          </w:p>
        </w:tc>
        <w:tc>
          <w:tcPr>
            <w:tcW w:w="900" w:type="dxa"/>
            <w:vAlign w:val="bottom"/>
          </w:tcPr>
          <w:p>
            <w:pPr>
              <w:jc w:val="right"/>
              <w:spacing w:after="0"/>
              <w:rPr>
                <w:sz w:val="20"/>
                <w:szCs w:val="20"/>
                <w:color w:val="auto"/>
              </w:rPr>
            </w:pPr>
            <w:r>
              <w:rPr>
                <w:rFonts w:ascii="Arial" w:cs="Arial" w:eastAsia="Arial" w:hAnsi="Arial"/>
                <w:sz w:val="18"/>
                <w:szCs w:val="18"/>
                <w:color w:val="auto"/>
              </w:rPr>
              <w:t>6,121,789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Automobile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1,314,246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29,144</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21,144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Other</w:t>
            </w:r>
          </w:p>
        </w:tc>
        <w:tc>
          <w:tcPr>
            <w:tcW w:w="900" w:type="dxa"/>
            <w:vAlign w:val="bottom"/>
          </w:tcPr>
          <w:p>
            <w:pPr>
              <w:jc w:val="right"/>
              <w:spacing w:after="0"/>
              <w:rPr>
                <w:sz w:val="20"/>
                <w:szCs w:val="20"/>
                <w:color w:val="auto"/>
              </w:rPr>
            </w:pPr>
            <w:r>
              <w:rPr>
                <w:rFonts w:ascii="Arial" w:cs="Arial" w:eastAsia="Arial" w:hAnsi="Arial"/>
                <w:sz w:val="18"/>
                <w:szCs w:val="18"/>
                <w:color w:val="auto"/>
              </w:rPr>
              <w:t>2,726,522</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47,830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5,386</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25,087</w:t>
            </w:r>
          </w:p>
        </w:tc>
        <w:tc>
          <w:tcPr>
            <w:tcW w:w="900" w:type="dxa"/>
            <w:vAlign w:val="bottom"/>
          </w:tcPr>
          <w:p>
            <w:pPr>
              <w:jc w:val="right"/>
              <w:spacing w:after="0"/>
              <w:rPr>
                <w:sz w:val="20"/>
                <w:szCs w:val="20"/>
                <w:color w:val="auto"/>
              </w:rPr>
            </w:pPr>
            <w:r>
              <w:rPr>
                <w:rFonts w:ascii="Arial" w:cs="Arial" w:eastAsia="Arial" w:hAnsi="Arial"/>
                <w:sz w:val="18"/>
                <w:szCs w:val="18"/>
                <w:color w:val="auto"/>
              </w:rPr>
              <w:t>2,804,825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61,664,881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704,658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368,510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130,162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330,792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874,156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64,073,159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620" w:hanging="452"/>
        <w:spacing w:after="0" w:line="258" w:lineRule="auto"/>
        <w:tabs>
          <w:tab w:leader="none" w:pos="4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Acquired loans that were recorded at fair value at acquisition date. This category does not include purchased impaired loans that are presented separately.</w:t>
      </w:r>
    </w:p>
    <w:p>
      <w:pPr>
        <w:spacing w:after="0" w:line="1" w:lineRule="exact"/>
        <w:rPr>
          <w:rFonts w:ascii="Arial" w:cs="Arial" w:eastAsia="Arial" w:hAnsi="Arial"/>
          <w:sz w:val="18"/>
          <w:szCs w:val="18"/>
          <w:i w:val="1"/>
          <w:iCs w:val="1"/>
          <w:color w:val="auto"/>
        </w:rPr>
      </w:pPr>
    </w:p>
    <w:p>
      <w:pPr>
        <w:ind w:left="460" w:hanging="452"/>
        <w:spacing w:after="0"/>
        <w:tabs>
          <w:tab w:leader="none" w:pos="4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were recorded at fair value.</w:t>
      </w:r>
    </w:p>
    <w:p>
      <w:pPr>
        <w:spacing w:after="0" w:line="143"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One-to-four family residential mortgage loans originated for sale were $466 million and $401 million at September 30, 2014 and December 31, 2013, respectively. Commercial mortgage loans held for sale were $159 million at September 30, 2014 and $68 million at December 31, 2013.</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allowance for credit losses for the three months ended September 30, 2014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Commercial,</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Financial,</w:t>
            </w:r>
          </w:p>
        </w:tc>
        <w:tc>
          <w:tcPr>
            <w:tcW w:w="1960" w:type="dxa"/>
            <w:vAlign w:val="bottom"/>
            <w:gridSpan w:val="4"/>
          </w:tcPr>
          <w:p>
            <w:pPr>
              <w:jc w:val="right"/>
              <w:ind w:right="80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60" w:type="dxa"/>
            <w:vAlign w:val="bottom"/>
            <w:gridSpan w:val="2"/>
          </w:tcPr>
          <w:p>
            <w:pPr>
              <w:jc w:val="center"/>
              <w:ind w:right="280"/>
              <w:spacing w:after="0" w:line="142" w:lineRule="exact"/>
              <w:rPr>
                <w:sz w:val="20"/>
                <w:szCs w:val="20"/>
                <w:color w:val="auto"/>
              </w:rPr>
            </w:pPr>
            <w:r>
              <w:rPr>
                <w:rFonts w:ascii="Arial" w:cs="Arial" w:eastAsia="Arial" w:hAnsi="Arial"/>
                <w:sz w:val="14"/>
                <w:szCs w:val="14"/>
                <w:color w:val="auto"/>
                <w:w w:val="93"/>
              </w:rPr>
              <w:t>Leasing, etc.</w:t>
            </w:r>
          </w:p>
        </w:tc>
        <w:tc>
          <w:tcPr>
            <w:tcW w:w="102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color w:val="auto"/>
                <w:w w:val="93"/>
              </w:rPr>
              <w:t>Commercial</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Residential</w:t>
            </w:r>
          </w:p>
        </w:tc>
        <w:tc>
          <w:tcPr>
            <w:tcW w:w="300" w:type="dxa"/>
            <w:vAlign w:val="bottom"/>
          </w:tcPr>
          <w:p>
            <w:pPr>
              <w:spacing w:after="0"/>
              <w:rPr>
                <w:sz w:val="12"/>
                <w:szCs w:val="12"/>
                <w:color w:val="auto"/>
              </w:rPr>
            </w:pPr>
          </w:p>
        </w:tc>
        <w:tc>
          <w:tcPr>
            <w:tcW w:w="9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w w:val="92"/>
              </w:rPr>
              <w:t>Consumer</w:t>
            </w:r>
          </w:p>
        </w:tc>
        <w:tc>
          <w:tcPr>
            <w:tcW w:w="100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w w:val="91"/>
              </w:rPr>
              <w:t>Unallocated</w:t>
            </w: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$ 292,251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311,254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72,404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165,871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75,886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$917,666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760" w:type="dxa"/>
            <w:vAlign w:val="bottom"/>
          </w:tcPr>
          <w:p>
            <w:pPr>
              <w:jc w:val="right"/>
              <w:spacing w:after="0"/>
              <w:rPr>
                <w:sz w:val="20"/>
                <w:szCs w:val="20"/>
                <w:color w:val="auto"/>
              </w:rPr>
            </w:pPr>
            <w:r>
              <w:rPr>
                <w:rFonts w:ascii="Arial" w:cs="Arial" w:eastAsia="Arial" w:hAnsi="Arial"/>
                <w:sz w:val="18"/>
                <w:szCs w:val="18"/>
                <w:color w:val="auto"/>
              </w:rPr>
              <w:t>2,373</w:t>
            </w:r>
          </w:p>
        </w:tc>
        <w:tc>
          <w:tcPr>
            <w:tcW w:w="3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8,046</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(3,187)</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21,815</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Charge-offs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(15,921)</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(1,666)</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(4,193)</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(21,312)</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(43,092)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Recoveries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3,445</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15,059</w:t>
            </w: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(8,072)</w:t>
            </w:r>
          </w:p>
        </w:tc>
        <w:tc>
          <w:tcPr>
            <w:tcW w:w="3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(17,867)</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$ 286,552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318,901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67,522</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169,819</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75,839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918,633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allowance for credit losses for the three months ended September 30, 2013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Commercial,</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Financial,</w:t>
            </w:r>
          </w:p>
        </w:tc>
        <w:tc>
          <w:tcPr>
            <w:tcW w:w="1960" w:type="dxa"/>
            <w:vAlign w:val="bottom"/>
            <w:gridSpan w:val="4"/>
          </w:tcPr>
          <w:p>
            <w:pPr>
              <w:jc w:val="right"/>
              <w:ind w:right="80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60" w:type="dxa"/>
            <w:vAlign w:val="bottom"/>
            <w:gridSpan w:val="2"/>
          </w:tcPr>
          <w:p>
            <w:pPr>
              <w:jc w:val="center"/>
              <w:ind w:right="280"/>
              <w:spacing w:after="0" w:line="142" w:lineRule="exact"/>
              <w:rPr>
                <w:sz w:val="20"/>
                <w:szCs w:val="20"/>
                <w:color w:val="auto"/>
              </w:rPr>
            </w:pPr>
            <w:r>
              <w:rPr>
                <w:rFonts w:ascii="Arial" w:cs="Arial" w:eastAsia="Arial" w:hAnsi="Arial"/>
                <w:sz w:val="14"/>
                <w:szCs w:val="14"/>
                <w:color w:val="auto"/>
                <w:w w:val="93"/>
              </w:rPr>
              <w:t>Leasing, etc.</w:t>
            </w:r>
          </w:p>
        </w:tc>
        <w:tc>
          <w:tcPr>
            <w:tcW w:w="102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color w:val="auto"/>
                <w:w w:val="93"/>
              </w:rPr>
              <w:t>Commercial</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Residential</w:t>
            </w:r>
          </w:p>
        </w:tc>
        <w:tc>
          <w:tcPr>
            <w:tcW w:w="300" w:type="dxa"/>
            <w:vAlign w:val="bottom"/>
          </w:tcPr>
          <w:p>
            <w:pPr>
              <w:spacing w:after="0"/>
              <w:rPr>
                <w:sz w:val="12"/>
                <w:szCs w:val="12"/>
                <w:color w:val="auto"/>
              </w:rPr>
            </w:pPr>
          </w:p>
        </w:tc>
        <w:tc>
          <w:tcPr>
            <w:tcW w:w="9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w w:val="92"/>
              </w:rPr>
              <w:t>Consumer</w:t>
            </w:r>
          </w:p>
        </w:tc>
        <w:tc>
          <w:tcPr>
            <w:tcW w:w="100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w w:val="91"/>
              </w:rPr>
              <w:t>Unallocated</w:t>
            </w: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$ 268,867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324,264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85,311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174,291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74,332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$927,065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20,209</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12,139</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315</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14,935</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402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Allowance related to loans securitized and sold</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(11,000)</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charge-offs</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Charge-offs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(30,931)</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(7,701)</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(5,320)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(20,242)</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Recoveries</w:t>
            </w:r>
          </w:p>
        </w:tc>
        <w:tc>
          <w:tcPr>
            <w:tcW w:w="760" w:type="dxa"/>
            <w:vAlign w:val="bottom"/>
          </w:tcPr>
          <w:p>
            <w:pPr>
              <w:jc w:val="right"/>
              <w:spacing w:after="0"/>
              <w:rPr>
                <w:sz w:val="20"/>
                <w:szCs w:val="20"/>
                <w:color w:val="auto"/>
              </w:rPr>
            </w:pPr>
            <w:r>
              <w:rPr>
                <w:rFonts w:ascii="Arial" w:cs="Arial" w:eastAsia="Arial" w:hAnsi="Arial"/>
                <w:sz w:val="18"/>
                <w:szCs w:val="18"/>
                <w:color w:val="auto"/>
              </w:rPr>
              <w:t>5,150</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4,751</w:t>
            </w: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2,399</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4,199</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16,499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(25,781)</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(2,921)</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(16,043)</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(47,695)</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$ 263,295</w:t>
            </w: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333,453</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82,705</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162,183</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74,734</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916,370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allowance for credit losses for the nine months ended September 30, 2014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Commercial,</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Financial,</w:t>
            </w:r>
          </w:p>
        </w:tc>
        <w:tc>
          <w:tcPr>
            <w:tcW w:w="1960" w:type="dxa"/>
            <w:vAlign w:val="bottom"/>
            <w:gridSpan w:val="4"/>
          </w:tcPr>
          <w:p>
            <w:pPr>
              <w:jc w:val="right"/>
              <w:ind w:right="800"/>
              <w:spacing w:after="0"/>
              <w:rPr>
                <w:sz w:val="20"/>
                <w:szCs w:val="20"/>
                <w:color w:val="auto"/>
              </w:rPr>
            </w:pPr>
            <w:r>
              <w:rPr>
                <w:rFonts w:ascii="Arial" w:cs="Arial" w:eastAsia="Arial" w:hAnsi="Arial"/>
                <w:sz w:val="14"/>
                <w:szCs w:val="14"/>
                <w:color w:val="auto"/>
              </w:rPr>
              <w:t>Real Estate</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40" w:type="dxa"/>
            <w:vAlign w:val="bottom"/>
            <w:gridSpan w:val="2"/>
          </w:tcPr>
          <w:p>
            <w:pPr>
              <w:jc w:val="center"/>
              <w:ind w:right="300"/>
              <w:spacing w:after="0" w:line="142" w:lineRule="exact"/>
              <w:rPr>
                <w:sz w:val="20"/>
                <w:szCs w:val="20"/>
                <w:color w:val="auto"/>
              </w:rPr>
            </w:pPr>
            <w:r>
              <w:rPr>
                <w:rFonts w:ascii="Arial" w:cs="Arial" w:eastAsia="Arial" w:hAnsi="Arial"/>
                <w:sz w:val="14"/>
                <w:szCs w:val="14"/>
                <w:color w:val="auto"/>
                <w:w w:val="93"/>
              </w:rPr>
              <w:t>Leasing, etc.</w:t>
            </w:r>
          </w:p>
        </w:tc>
        <w:tc>
          <w:tcPr>
            <w:tcW w:w="102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color w:val="auto"/>
                <w:w w:val="93"/>
              </w:rPr>
              <w:t>Commercial</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Residential</w:t>
            </w:r>
          </w:p>
        </w:tc>
        <w:tc>
          <w:tcPr>
            <w:tcW w:w="300" w:type="dxa"/>
            <w:vAlign w:val="bottom"/>
          </w:tcPr>
          <w:p>
            <w:pPr>
              <w:spacing w:after="0"/>
              <w:rPr>
                <w:sz w:val="12"/>
                <w:szCs w:val="12"/>
                <w:color w:val="auto"/>
              </w:rPr>
            </w:pPr>
          </w:p>
        </w:tc>
        <w:tc>
          <w:tcPr>
            <w:tcW w:w="9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w w:val="92"/>
              </w:rPr>
              <w:t>Consumer</w:t>
            </w:r>
          </w:p>
        </w:tc>
        <w:tc>
          <w:tcPr>
            <w:tcW w:w="100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w w:val="91"/>
              </w:rPr>
              <w:t>Unallocated</w:t>
            </w:r>
          </w:p>
        </w:tc>
        <w:tc>
          <w:tcPr>
            <w:tcW w:w="86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gridSpan w:val="4"/>
          </w:tcPr>
          <w:p>
            <w:pPr>
              <w:jc w:val="right"/>
              <w:ind w:right="680"/>
              <w:spacing w:after="0"/>
              <w:rPr>
                <w:sz w:val="20"/>
                <w:szCs w:val="20"/>
                <w:color w:val="auto"/>
              </w:rPr>
            </w:pPr>
            <w:r>
              <w:rPr>
                <w:rFonts w:ascii="Arial" w:cs="Arial" w:eastAsia="Arial" w:hAnsi="Arial"/>
                <w:sz w:val="14"/>
                <w:szCs w:val="14"/>
                <w:color w:val="auto"/>
              </w:rPr>
              <w:t>(in thousands)</w:t>
            </w:r>
          </w:p>
        </w:tc>
        <w:tc>
          <w:tcPr>
            <w:tcW w:w="7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3680" w:type="dxa"/>
            <w:vAlign w:val="bottom"/>
          </w:tcPr>
          <w:p>
            <w:pPr>
              <w:spacing w:after="0"/>
              <w:rPr>
                <w:sz w:val="6"/>
                <w:szCs w:val="6"/>
                <w:color w:val="auto"/>
              </w:rPr>
            </w:pPr>
          </w:p>
        </w:tc>
        <w:tc>
          <w:tcPr>
            <w:tcW w:w="1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660" w:type="dxa"/>
            <w:vAlign w:val="bottom"/>
            <w:gridSpan w:val="2"/>
            <w:shd w:val="clear" w:color="auto" w:fill="CCEEFF"/>
          </w:tcPr>
          <w:p>
            <w:pPr>
              <w:jc w:val="center"/>
              <w:ind w:left="1830"/>
              <w:spacing w:after="0"/>
              <w:rPr>
                <w:sz w:val="20"/>
                <w:szCs w:val="20"/>
                <w:color w:val="auto"/>
              </w:rPr>
            </w:pPr>
            <w:r>
              <w:rPr>
                <w:rFonts w:ascii="Arial" w:cs="Arial" w:eastAsia="Arial" w:hAnsi="Arial"/>
                <w:sz w:val="18"/>
                <w:szCs w:val="18"/>
                <w:color w:val="auto"/>
                <w:w w:val="92"/>
              </w:rPr>
              <w:t>$ 273,383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324,978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78,656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164,644</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75,015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$ 916,676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960" w:type="dxa"/>
            <w:vAlign w:val="bottom"/>
            <w:gridSpan w:val="3"/>
          </w:tcPr>
          <w:p>
            <w:pPr>
              <w:jc w:val="right"/>
              <w:ind w:right="300"/>
              <w:spacing w:after="0"/>
              <w:rPr>
                <w:sz w:val="20"/>
                <w:szCs w:val="20"/>
                <w:color w:val="auto"/>
              </w:rPr>
            </w:pPr>
            <w:r>
              <w:rPr>
                <w:rFonts w:ascii="Arial" w:cs="Arial" w:eastAsia="Arial" w:hAnsi="Arial"/>
                <w:sz w:val="18"/>
                <w:szCs w:val="18"/>
                <w:color w:val="auto"/>
              </w:rPr>
              <w:t>40,527</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(4,067)</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(916)</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54,632</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824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Charge-offs</w:t>
            </w:r>
          </w:p>
        </w:tc>
        <w:tc>
          <w:tcPr>
            <w:tcW w:w="2960" w:type="dxa"/>
            <w:vAlign w:val="bottom"/>
            <w:gridSpan w:val="3"/>
          </w:tcPr>
          <w:p>
            <w:pPr>
              <w:jc w:val="right"/>
              <w:ind w:right="240"/>
              <w:spacing w:after="0"/>
              <w:rPr>
                <w:sz w:val="20"/>
                <w:szCs w:val="20"/>
                <w:color w:val="auto"/>
              </w:rPr>
            </w:pPr>
            <w:r>
              <w:rPr>
                <w:rFonts w:ascii="Arial" w:cs="Arial" w:eastAsia="Arial" w:hAnsi="Arial"/>
                <w:sz w:val="18"/>
                <w:szCs w:val="18"/>
                <w:color w:val="auto"/>
              </w:rPr>
              <w:t>(44,872)</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(7,966)</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(17,124)</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(62,407)</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(132,369)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Recoveries</w:t>
            </w:r>
          </w:p>
        </w:tc>
        <w:tc>
          <w:tcPr>
            <w:tcW w:w="2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17,514</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5,956</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6,906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12,950</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43,326</w:t>
            </w: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19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(27,358)</w:t>
            </w:r>
          </w:p>
        </w:tc>
        <w:tc>
          <w:tcPr>
            <w:tcW w:w="3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(10,218)</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(49,457)</w:t>
            </w:r>
          </w:p>
        </w:tc>
        <w:tc>
          <w:tcPr>
            <w:tcW w:w="280" w:type="dxa"/>
            <w:vAlign w:val="bottom"/>
          </w:tcPr>
          <w:p>
            <w:pPr>
              <w:spacing w:after="0"/>
              <w:rPr>
                <w:sz w:val="20"/>
                <w:szCs w:val="20"/>
                <w:color w:val="auto"/>
              </w:rPr>
            </w:pPr>
          </w:p>
        </w:tc>
        <w:tc>
          <w:tcPr>
            <w:tcW w:w="7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660" w:type="dxa"/>
            <w:vAlign w:val="bottom"/>
            <w:gridSpan w:val="2"/>
            <w:shd w:val="clear" w:color="auto" w:fill="CCEEFF"/>
          </w:tcPr>
          <w:p>
            <w:pPr>
              <w:jc w:val="center"/>
              <w:ind w:left="1830"/>
              <w:spacing w:after="0"/>
              <w:rPr>
                <w:sz w:val="20"/>
                <w:szCs w:val="20"/>
                <w:color w:val="auto"/>
              </w:rPr>
            </w:pPr>
            <w:r>
              <w:rPr>
                <w:rFonts w:ascii="Arial" w:cs="Arial" w:eastAsia="Arial" w:hAnsi="Arial"/>
                <w:sz w:val="18"/>
                <w:szCs w:val="18"/>
                <w:color w:val="auto"/>
                <w:w w:val="92"/>
              </w:rPr>
              <w:t>$ 286,552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318,901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67,522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169,819</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75,839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$ 918,633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660" w:type="dxa"/>
            <w:vAlign w:val="bottom"/>
            <w:gridSpan w:val="2"/>
          </w:tcPr>
          <w:p>
            <w:pPr>
              <w:jc w:val="right"/>
              <w:ind w:right="384"/>
              <w:spacing w:after="0"/>
              <w:rPr>
                <w:sz w:val="20"/>
                <w:szCs w:val="20"/>
                <w:color w:val="auto"/>
              </w:rPr>
            </w:pPr>
            <w:r>
              <w:rPr>
                <w:rFonts w:ascii="Arial" w:cs="Arial" w:eastAsia="Arial" w:hAnsi="Arial"/>
                <w:sz w:val="18"/>
                <w:szCs w:val="18"/>
                <w:color w:val="auto"/>
              </w:rPr>
              <w:t>- 15 -</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Changes in the allowance for credit losses for the nine months ended September 30, 2013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Commercial,</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Financial,</w:t>
            </w:r>
          </w:p>
        </w:tc>
        <w:tc>
          <w:tcPr>
            <w:tcW w:w="1960" w:type="dxa"/>
            <w:vAlign w:val="bottom"/>
            <w:gridSpan w:val="4"/>
          </w:tcPr>
          <w:p>
            <w:pPr>
              <w:jc w:val="right"/>
              <w:ind w:right="800"/>
              <w:spacing w:after="0"/>
              <w:rPr>
                <w:sz w:val="20"/>
                <w:szCs w:val="20"/>
                <w:color w:val="auto"/>
              </w:rPr>
            </w:pPr>
            <w:r>
              <w:rPr>
                <w:rFonts w:ascii="Arial" w:cs="Arial" w:eastAsia="Arial" w:hAnsi="Arial"/>
                <w:sz w:val="14"/>
                <w:szCs w:val="14"/>
                <w:color w:val="auto"/>
              </w:rPr>
              <w:t>Real Estate</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040" w:type="dxa"/>
            <w:vAlign w:val="bottom"/>
            <w:gridSpan w:val="2"/>
          </w:tcPr>
          <w:p>
            <w:pPr>
              <w:jc w:val="center"/>
              <w:ind w:right="300"/>
              <w:spacing w:after="0" w:line="142" w:lineRule="exact"/>
              <w:rPr>
                <w:sz w:val="20"/>
                <w:szCs w:val="20"/>
                <w:color w:val="auto"/>
              </w:rPr>
            </w:pPr>
            <w:r>
              <w:rPr>
                <w:rFonts w:ascii="Arial" w:cs="Arial" w:eastAsia="Arial" w:hAnsi="Arial"/>
                <w:sz w:val="14"/>
                <w:szCs w:val="14"/>
                <w:color w:val="auto"/>
                <w:w w:val="93"/>
              </w:rPr>
              <w:t>Leasing, etc.</w:t>
            </w:r>
          </w:p>
        </w:tc>
        <w:tc>
          <w:tcPr>
            <w:tcW w:w="102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color w:val="auto"/>
                <w:w w:val="93"/>
              </w:rPr>
              <w:t>Commercial</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Residential</w:t>
            </w:r>
          </w:p>
        </w:tc>
        <w:tc>
          <w:tcPr>
            <w:tcW w:w="300" w:type="dxa"/>
            <w:vAlign w:val="bottom"/>
          </w:tcPr>
          <w:p>
            <w:pPr>
              <w:spacing w:after="0"/>
              <w:rPr>
                <w:sz w:val="12"/>
                <w:szCs w:val="12"/>
                <w:color w:val="auto"/>
              </w:rPr>
            </w:pPr>
          </w:p>
        </w:tc>
        <w:tc>
          <w:tcPr>
            <w:tcW w:w="9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w w:val="92"/>
              </w:rPr>
              <w:t>Consumer</w:t>
            </w:r>
          </w:p>
        </w:tc>
        <w:tc>
          <w:tcPr>
            <w:tcW w:w="100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w w:val="91"/>
              </w:rPr>
              <w:t>Unallocated</w:t>
            </w:r>
          </w:p>
        </w:tc>
        <w:tc>
          <w:tcPr>
            <w:tcW w:w="86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gridSpan w:val="4"/>
          </w:tcPr>
          <w:p>
            <w:pPr>
              <w:ind w:left="380"/>
              <w:spacing w:after="0"/>
              <w:rPr>
                <w:sz w:val="20"/>
                <w:szCs w:val="20"/>
                <w:color w:val="auto"/>
              </w:rPr>
            </w:pPr>
            <w:r>
              <w:rPr>
                <w:rFonts w:ascii="Arial" w:cs="Arial" w:eastAsia="Arial" w:hAnsi="Arial"/>
                <w:sz w:val="14"/>
                <w:szCs w:val="14"/>
                <w:color w:val="auto"/>
              </w:rPr>
              <w:t>(in thousands)</w:t>
            </w:r>
          </w:p>
        </w:tc>
        <w:tc>
          <w:tcPr>
            <w:tcW w:w="7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$ 246,759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337,101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88,807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179,418</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73,775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$ 925,860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93,736</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914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3,913</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43,478</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959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Allowance related to loans securitized and sold</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(11,000)</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charge-offs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Charge-offs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(86,787)</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(21,493)</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(18,583)</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(62,905)</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Recoveries</w:t>
            </w:r>
          </w:p>
        </w:tc>
        <w:tc>
          <w:tcPr>
            <w:tcW w:w="740" w:type="dxa"/>
            <w:vAlign w:val="bottom"/>
          </w:tcPr>
          <w:p>
            <w:pPr>
              <w:jc w:val="right"/>
              <w:spacing w:after="0"/>
              <w:rPr>
                <w:sz w:val="20"/>
                <w:szCs w:val="20"/>
                <w:color w:val="auto"/>
              </w:rPr>
            </w:pPr>
            <w:r>
              <w:rPr>
                <w:rFonts w:ascii="Arial" w:cs="Arial" w:eastAsia="Arial" w:hAnsi="Arial"/>
                <w:sz w:val="18"/>
                <w:szCs w:val="18"/>
                <w:color w:val="auto"/>
              </w:rPr>
              <w:t>9,587</w:t>
            </w:r>
          </w:p>
        </w:tc>
        <w:tc>
          <w:tcPr>
            <w:tcW w:w="3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16,931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8,568</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13,192</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48,278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(77,200)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(4,562)</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(10,015)</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(49,713)</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(141,490)</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$ 263,295</w:t>
            </w: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333,453</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82,705</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162,183</w:t>
            </w: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74,734</w:t>
            </w:r>
          </w:p>
        </w:tc>
        <w:tc>
          <w:tcPr>
            <w:tcW w:w="2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$ 916,370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Despite the above allocation, the allowance for credit losses is general in nature and is available to absorb losses from any loan or lease type.</w:t>
      </w:r>
    </w:p>
    <w:p>
      <w:pPr>
        <w:spacing w:after="0" w:line="23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establishing the allowance for credit losses, the Company estimates losses attributable to specific troubled credits identified through both normal and detailed or intensified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loan-by-loan analysis of larger balance commercial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which is applied to commercial and commercial real estate credits on an individual loan basis. Loan officers are responsible for continually assigning grades to these loans based on standards outlined in the Company’s Credit Policy. Internal loan grades are also monitored by the Company’s loan review department to ensure consistency and strict adherence to the prescribed standards.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As updated appraisals are obtained on individual loans or other events in the market place indicate that collateral values have significantly changed, individual loan grades are adjusted as appropriate. Changes in other factors cited may also lead to loan grade changes at any time. Except for consumer and residential real estate loans that are considered smaller balance homogenous loans and acquired loans that are evaluated on an aggregated basis, the Company considers a loan to be impaired for purposes of applying GAAP when, based on current information and events, it is probable that the Company will be unable to</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collect all amounts according to the contractual terms of the loan agreement or the loan is delinquent 90 days. Regardless of loan type, the Company considers a loan to be impaired if it qualifies as a troubled debt restructuring.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tables provide information with respect to loans and leases that were considered impaired as of September 30, 2014 and December 31, 2013 and for the three months and nine months ended September 30, 2014 and September 30, 2013.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8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color w:val="auto"/>
                <w:w w:val="94"/>
              </w:rPr>
              <w:t>September 30, 2014</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w w:val="91"/>
              </w:rPr>
              <w:t>December 31, 2013</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4"/>
              </w:rPr>
              <w:t>Unpaid</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tcPr>
          <w:p>
            <w:pPr>
              <w:jc w:val="center"/>
              <w:ind w:right="220"/>
              <w:spacing w:after="0" w:line="123" w:lineRule="exact"/>
              <w:rPr>
                <w:sz w:val="20"/>
                <w:szCs w:val="20"/>
                <w:color w:val="auto"/>
              </w:rPr>
            </w:pPr>
            <w:r>
              <w:rPr>
                <w:rFonts w:ascii="Arial" w:cs="Arial" w:eastAsia="Arial" w:hAnsi="Arial"/>
                <w:sz w:val="14"/>
                <w:szCs w:val="14"/>
                <w:color w:val="auto"/>
                <w:w w:val="94"/>
              </w:rPr>
              <w:t>Unpaid</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Recorded</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principal</w:t>
            </w:r>
          </w:p>
        </w:tc>
        <w:tc>
          <w:tcPr>
            <w:tcW w:w="8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Related</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5"/>
              </w:rPr>
              <w:t>Recorded</w:t>
            </w:r>
          </w:p>
        </w:tc>
        <w:tc>
          <w:tcPr>
            <w:tcW w:w="2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principal</w:t>
            </w: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Related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investment</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balance</w:t>
            </w:r>
          </w:p>
        </w:tc>
        <w:tc>
          <w:tcPr>
            <w:tcW w:w="800" w:type="dxa"/>
            <w:vAlign w:val="bottom"/>
            <w:gridSpan w:val="2"/>
          </w:tcPr>
          <w:p>
            <w:pPr>
              <w:spacing w:after="0"/>
              <w:rPr>
                <w:sz w:val="20"/>
                <w:szCs w:val="20"/>
                <w:color w:val="auto"/>
              </w:rPr>
            </w:pPr>
            <w:r>
              <w:rPr>
                <w:rFonts w:ascii="Arial" w:cs="Arial" w:eastAsia="Arial" w:hAnsi="Arial"/>
                <w:sz w:val="14"/>
                <w:szCs w:val="14"/>
                <w:color w:val="auto"/>
              </w:rPr>
              <w:t>allowance</w:t>
            </w:r>
          </w:p>
        </w:tc>
        <w:tc>
          <w:tcPr>
            <w:tcW w:w="640" w:type="dxa"/>
            <w:vAlign w:val="bottom"/>
          </w:tcPr>
          <w:p>
            <w:pPr>
              <w:jc w:val="right"/>
              <w:spacing w:after="0"/>
              <w:rPr>
                <w:sz w:val="20"/>
                <w:szCs w:val="20"/>
                <w:color w:val="auto"/>
              </w:rPr>
            </w:pPr>
            <w:r>
              <w:rPr>
                <w:rFonts w:ascii="Arial" w:cs="Arial" w:eastAsia="Arial" w:hAnsi="Arial"/>
                <w:sz w:val="14"/>
                <w:szCs w:val="14"/>
                <w:color w:val="auto"/>
                <w:w w:val="91"/>
              </w:rPr>
              <w:t>investment</w:t>
            </w:r>
          </w:p>
        </w:tc>
        <w:tc>
          <w:tcPr>
            <w:tcW w:w="2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balance</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w w:val="89"/>
              </w:rPr>
              <w:t>allowance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jc w:val="right"/>
              <w:ind w:right="271"/>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With an allowance recorded:</w:t>
            </w:r>
          </w:p>
        </w:tc>
        <w:tc>
          <w:tcPr>
            <w:tcW w:w="1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Commercial, financial, leasing, etc.</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$138,884</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168,163</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33,805</w:t>
            </w:r>
          </w:p>
        </w:tc>
        <w:tc>
          <w:tcPr>
            <w:tcW w:w="640" w:type="dxa"/>
            <w:vAlign w:val="bottom"/>
          </w:tcPr>
          <w:p>
            <w:pPr>
              <w:jc w:val="right"/>
              <w:spacing w:after="0"/>
              <w:rPr>
                <w:sz w:val="20"/>
                <w:szCs w:val="20"/>
                <w:color w:val="auto"/>
              </w:rPr>
            </w:pPr>
            <w:r>
              <w:rPr>
                <w:rFonts w:ascii="Arial" w:cs="Arial" w:eastAsia="Arial" w:hAnsi="Arial"/>
                <w:sz w:val="18"/>
                <w:szCs w:val="18"/>
                <w:color w:val="auto"/>
              </w:rPr>
              <w:t>90,293</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112,092</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 estate:</w:t>
            </w:r>
          </w:p>
        </w:tc>
        <w:tc>
          <w:tcPr>
            <w:tcW w:w="1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Commercial</w:t>
            </w:r>
          </w:p>
        </w:tc>
        <w:tc>
          <w:tcPr>
            <w:tcW w:w="2780" w:type="dxa"/>
            <w:vAlign w:val="bottom"/>
            <w:gridSpan w:val="3"/>
          </w:tcPr>
          <w:p>
            <w:pPr>
              <w:ind w:left="2080"/>
              <w:spacing w:after="0"/>
              <w:rPr>
                <w:sz w:val="20"/>
                <w:szCs w:val="20"/>
                <w:color w:val="auto"/>
              </w:rPr>
            </w:pPr>
            <w:r>
              <w:rPr>
                <w:rFonts w:ascii="Arial" w:cs="Arial" w:eastAsia="Arial" w:hAnsi="Arial"/>
                <w:sz w:val="18"/>
                <w:szCs w:val="18"/>
                <w:color w:val="auto"/>
              </w:rPr>
              <w:t>94,124</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112,373</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16,172</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113,570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132,325</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builder and developer</w:t>
            </w:r>
          </w:p>
        </w:tc>
        <w:tc>
          <w:tcPr>
            <w:tcW w:w="2780" w:type="dxa"/>
            <w:vAlign w:val="bottom"/>
            <w:gridSpan w:val="3"/>
            <w:shd w:val="clear" w:color="auto" w:fill="CCEEFF"/>
          </w:tcPr>
          <w:p>
            <w:pPr>
              <w:ind w:left="2080"/>
              <w:spacing w:after="0"/>
              <w:rPr>
                <w:sz w:val="20"/>
                <w:szCs w:val="20"/>
                <w:color w:val="auto"/>
              </w:rPr>
            </w:pPr>
            <w:r>
              <w:rPr>
                <w:rFonts w:ascii="Arial" w:cs="Arial" w:eastAsia="Arial" w:hAnsi="Arial"/>
                <w:sz w:val="18"/>
                <w:szCs w:val="18"/>
                <w:color w:val="auto"/>
              </w:rPr>
              <w:t>16,306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20,309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33,311</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55,122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Other commercial construction</w:t>
            </w:r>
          </w:p>
        </w:tc>
        <w:tc>
          <w:tcPr>
            <w:tcW w:w="2780" w:type="dxa"/>
            <w:vAlign w:val="bottom"/>
            <w:gridSpan w:val="3"/>
          </w:tcPr>
          <w:p>
            <w:pPr>
              <w:ind w:left="2080"/>
              <w:spacing w:after="0"/>
              <w:rPr>
                <w:sz w:val="20"/>
                <w:szCs w:val="20"/>
                <w:color w:val="auto"/>
              </w:rPr>
            </w:pPr>
            <w:r>
              <w:rPr>
                <w:rFonts w:ascii="Arial" w:cs="Arial" w:eastAsia="Arial" w:hAnsi="Arial"/>
                <w:sz w:val="18"/>
                <w:szCs w:val="18"/>
                <w:color w:val="auto"/>
              </w:rPr>
              <w:t>12,937</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15,302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4,071</w:t>
            </w:r>
          </w:p>
        </w:tc>
        <w:tc>
          <w:tcPr>
            <w:tcW w:w="640" w:type="dxa"/>
            <w:vAlign w:val="bottom"/>
          </w:tcPr>
          <w:p>
            <w:pPr>
              <w:jc w:val="right"/>
              <w:spacing w:after="0"/>
              <w:rPr>
                <w:sz w:val="20"/>
                <w:szCs w:val="20"/>
                <w:color w:val="auto"/>
              </w:rPr>
            </w:pPr>
            <w:r>
              <w:rPr>
                <w:rFonts w:ascii="Arial" w:cs="Arial" w:eastAsia="Arial" w:hAnsi="Arial"/>
                <w:sz w:val="18"/>
                <w:szCs w:val="18"/>
                <w:color w:val="auto"/>
              </w:rPr>
              <w:t>86,260</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90,515</w:t>
            </w:r>
          </w:p>
        </w:tc>
        <w:tc>
          <w:tcPr>
            <w:tcW w:w="580" w:type="dxa"/>
            <w:vAlign w:val="bottom"/>
          </w:tcPr>
          <w:p>
            <w:pPr>
              <w:jc w:val="right"/>
              <w:spacing w:after="0"/>
              <w:rPr>
                <w:sz w:val="20"/>
                <w:szCs w:val="20"/>
                <w:color w:val="auto"/>
              </w:rPr>
            </w:pPr>
            <w:r>
              <w:rPr>
                <w:rFonts w:ascii="Arial" w:cs="Arial" w:eastAsia="Arial" w:hAnsi="Arial"/>
                <w:sz w:val="18"/>
                <w:szCs w:val="18"/>
                <w:color w:val="auto"/>
              </w:rPr>
              <w:t>4,022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w:t>
            </w:r>
          </w:p>
        </w:tc>
        <w:tc>
          <w:tcPr>
            <w:tcW w:w="2780" w:type="dxa"/>
            <w:vAlign w:val="bottom"/>
            <w:gridSpan w:val="3"/>
            <w:shd w:val="clear" w:color="auto" w:fill="CCEEFF"/>
          </w:tcPr>
          <w:p>
            <w:pPr>
              <w:ind w:left="2080"/>
              <w:spacing w:after="0"/>
              <w:rPr>
                <w:sz w:val="20"/>
                <w:szCs w:val="20"/>
                <w:color w:val="auto"/>
              </w:rPr>
            </w:pPr>
            <w:r>
              <w:rPr>
                <w:rFonts w:ascii="Arial" w:cs="Arial" w:eastAsia="Arial" w:hAnsi="Arial"/>
                <w:sz w:val="18"/>
                <w:szCs w:val="18"/>
                <w:color w:val="auto"/>
              </w:rPr>
              <w:t>88,879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106,795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96,508</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114,521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Residential Alt-A</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105,489</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119,616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9,000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111,911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124,528</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Home equity lines and loans</w:t>
            </w:r>
          </w:p>
        </w:tc>
        <w:tc>
          <w:tcPr>
            <w:tcW w:w="2780" w:type="dxa"/>
            <w:vAlign w:val="bottom"/>
            <w:gridSpan w:val="3"/>
          </w:tcPr>
          <w:p>
            <w:pPr>
              <w:ind w:left="2080"/>
              <w:spacing w:after="0"/>
              <w:rPr>
                <w:sz w:val="20"/>
                <w:szCs w:val="20"/>
                <w:color w:val="auto"/>
              </w:rPr>
            </w:pPr>
            <w:r>
              <w:rPr>
                <w:rFonts w:ascii="Arial" w:cs="Arial" w:eastAsia="Arial" w:hAnsi="Arial"/>
                <w:sz w:val="18"/>
                <w:szCs w:val="18"/>
                <w:color w:val="auto"/>
              </w:rPr>
              <w:t>19,343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20,436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6,030</w:t>
            </w:r>
          </w:p>
        </w:tc>
        <w:tc>
          <w:tcPr>
            <w:tcW w:w="640" w:type="dxa"/>
            <w:vAlign w:val="bottom"/>
          </w:tcPr>
          <w:p>
            <w:pPr>
              <w:jc w:val="right"/>
              <w:spacing w:after="0"/>
              <w:rPr>
                <w:sz w:val="20"/>
                <w:szCs w:val="20"/>
                <w:color w:val="auto"/>
              </w:rPr>
            </w:pPr>
            <w:r>
              <w:rPr>
                <w:rFonts w:ascii="Arial" w:cs="Arial" w:eastAsia="Arial" w:hAnsi="Arial"/>
                <w:sz w:val="18"/>
                <w:szCs w:val="18"/>
                <w:color w:val="auto"/>
              </w:rPr>
              <w:t>13,672</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14,796</w:t>
            </w:r>
          </w:p>
        </w:tc>
        <w:tc>
          <w:tcPr>
            <w:tcW w:w="580" w:type="dxa"/>
            <w:vAlign w:val="bottom"/>
          </w:tcPr>
          <w:p>
            <w:pPr>
              <w:jc w:val="right"/>
              <w:spacing w:after="0"/>
              <w:rPr>
                <w:sz w:val="20"/>
                <w:szCs w:val="20"/>
                <w:color w:val="auto"/>
              </w:rPr>
            </w:pPr>
            <w:r>
              <w:rPr>
                <w:rFonts w:ascii="Arial" w:cs="Arial" w:eastAsia="Arial" w:hAnsi="Arial"/>
                <w:sz w:val="18"/>
                <w:szCs w:val="18"/>
                <w:color w:val="auto"/>
              </w:rPr>
              <w:t>3,312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Automobile</w:t>
            </w:r>
          </w:p>
        </w:tc>
        <w:tc>
          <w:tcPr>
            <w:tcW w:w="2780" w:type="dxa"/>
            <w:vAlign w:val="bottom"/>
            <w:gridSpan w:val="3"/>
            <w:shd w:val="clear" w:color="auto" w:fill="CCEEFF"/>
          </w:tcPr>
          <w:p>
            <w:pPr>
              <w:ind w:left="2080"/>
              <w:spacing w:after="0"/>
              <w:rPr>
                <w:sz w:val="20"/>
                <w:szCs w:val="20"/>
                <w:color w:val="auto"/>
              </w:rPr>
            </w:pPr>
            <w:r>
              <w:rPr>
                <w:rFonts w:ascii="Arial" w:cs="Arial" w:eastAsia="Arial" w:hAnsi="Arial"/>
                <w:sz w:val="18"/>
                <w:szCs w:val="18"/>
                <w:color w:val="auto"/>
              </w:rPr>
              <w:t>31,843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31,843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40,441</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40,441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Other</w:t>
            </w:r>
          </w:p>
        </w:tc>
        <w:tc>
          <w:tcPr>
            <w:tcW w:w="188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18,743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18,743</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5,051</w:t>
            </w:r>
          </w:p>
        </w:tc>
        <w:tc>
          <w:tcPr>
            <w:tcW w:w="640" w:type="dxa"/>
            <w:vAlign w:val="bottom"/>
          </w:tcPr>
          <w:p>
            <w:pPr>
              <w:jc w:val="right"/>
              <w:spacing w:after="0"/>
              <w:rPr>
                <w:sz w:val="20"/>
                <w:szCs w:val="20"/>
                <w:color w:val="auto"/>
              </w:rPr>
            </w:pPr>
            <w:r>
              <w:rPr>
                <w:rFonts w:ascii="Arial" w:cs="Arial" w:eastAsia="Arial" w:hAnsi="Arial"/>
                <w:sz w:val="18"/>
                <w:szCs w:val="18"/>
                <w:color w:val="auto"/>
              </w:rPr>
              <w:t>17,660</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17,660</w:t>
            </w:r>
          </w:p>
        </w:tc>
        <w:tc>
          <w:tcPr>
            <w:tcW w:w="580" w:type="dxa"/>
            <w:vAlign w:val="bottom"/>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526,548</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613,580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88,484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603,626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702,000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92,608</w:t>
            </w: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Arial" w:cs="Arial" w:eastAsia="Arial" w:hAnsi="Arial"/>
                <w:sz w:val="18"/>
                <w:szCs w:val="18"/>
                <w:color w:val="auto"/>
              </w:rPr>
              <w:t>With no related allowance recorded:</w:t>
            </w:r>
          </w:p>
        </w:tc>
        <w:tc>
          <w:tcPr>
            <w:tcW w:w="18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financial, leasing, etc.</w:t>
            </w:r>
          </w:p>
        </w:tc>
        <w:tc>
          <w:tcPr>
            <w:tcW w:w="2780" w:type="dxa"/>
            <w:vAlign w:val="bottom"/>
            <w:gridSpan w:val="3"/>
            <w:shd w:val="clear" w:color="auto" w:fill="CCEEFF"/>
          </w:tcPr>
          <w:p>
            <w:pPr>
              <w:ind w:left="2080"/>
              <w:spacing w:after="0"/>
              <w:rPr>
                <w:sz w:val="20"/>
                <w:szCs w:val="20"/>
                <w:color w:val="auto"/>
              </w:rPr>
            </w:pPr>
            <w:r>
              <w:rPr>
                <w:rFonts w:ascii="Arial" w:cs="Arial" w:eastAsia="Arial" w:hAnsi="Arial"/>
                <w:sz w:val="18"/>
                <w:szCs w:val="18"/>
                <w:color w:val="auto"/>
              </w:rPr>
              <w:t>78,849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82,176</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28,093</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33,095</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Real estate:</w:t>
            </w:r>
          </w:p>
        </w:tc>
        <w:tc>
          <w:tcPr>
            <w:tcW w:w="1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Commercial</w:t>
            </w:r>
          </w:p>
        </w:tc>
        <w:tc>
          <w:tcPr>
            <w:tcW w:w="2780" w:type="dxa"/>
            <w:vAlign w:val="bottom"/>
            <w:gridSpan w:val="3"/>
            <w:shd w:val="clear" w:color="auto" w:fill="CCEEFF"/>
          </w:tcPr>
          <w:p>
            <w:pPr>
              <w:ind w:left="2080"/>
              <w:spacing w:after="0"/>
              <w:rPr>
                <w:sz w:val="20"/>
                <w:szCs w:val="20"/>
                <w:color w:val="auto"/>
              </w:rPr>
            </w:pPr>
            <w:r>
              <w:rPr>
                <w:rFonts w:ascii="Arial" w:cs="Arial" w:eastAsia="Arial" w:hAnsi="Arial"/>
                <w:sz w:val="18"/>
                <w:szCs w:val="18"/>
                <w:color w:val="auto"/>
              </w:rPr>
              <w:t>88,258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97,806</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65,271</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84,333</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Residential builder and developer</w:t>
            </w:r>
          </w:p>
        </w:tc>
        <w:tc>
          <w:tcPr>
            <w:tcW w:w="2780" w:type="dxa"/>
            <w:vAlign w:val="bottom"/>
            <w:gridSpan w:val="3"/>
          </w:tcPr>
          <w:p>
            <w:pPr>
              <w:ind w:left="2080"/>
              <w:spacing w:after="0"/>
              <w:rPr>
                <w:sz w:val="20"/>
                <w:szCs w:val="20"/>
                <w:color w:val="auto"/>
              </w:rPr>
            </w:pPr>
            <w:r>
              <w:rPr>
                <w:rFonts w:ascii="Arial" w:cs="Arial" w:eastAsia="Arial" w:hAnsi="Arial"/>
                <w:sz w:val="18"/>
                <w:szCs w:val="18"/>
                <w:color w:val="auto"/>
              </w:rPr>
              <w:t>67,401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103,996</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72,366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104,768</w:t>
            </w:r>
          </w:p>
        </w:tc>
        <w:tc>
          <w:tcPr>
            <w:tcW w:w="2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commercial construction</w:t>
            </w:r>
          </w:p>
        </w:tc>
        <w:tc>
          <w:tcPr>
            <w:tcW w:w="2780" w:type="dxa"/>
            <w:vAlign w:val="bottom"/>
            <w:gridSpan w:val="3"/>
            <w:shd w:val="clear" w:color="auto" w:fill="CCEEFF"/>
          </w:tcPr>
          <w:p>
            <w:pPr>
              <w:ind w:left="2080"/>
              <w:spacing w:after="0"/>
              <w:rPr>
                <w:sz w:val="20"/>
                <w:szCs w:val="20"/>
                <w:color w:val="auto"/>
              </w:rPr>
            </w:pPr>
            <w:r>
              <w:rPr>
                <w:rFonts w:ascii="Arial" w:cs="Arial" w:eastAsia="Arial" w:hAnsi="Arial"/>
                <w:sz w:val="18"/>
                <w:szCs w:val="18"/>
                <w:color w:val="auto"/>
              </w:rPr>
              <w:t>14,974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34,212</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Residential</w:t>
            </w:r>
          </w:p>
        </w:tc>
        <w:tc>
          <w:tcPr>
            <w:tcW w:w="2780" w:type="dxa"/>
            <w:vAlign w:val="bottom"/>
            <w:gridSpan w:val="3"/>
          </w:tcPr>
          <w:p>
            <w:pPr>
              <w:ind w:left="2080"/>
              <w:spacing w:after="0"/>
              <w:rPr>
                <w:sz w:val="20"/>
                <w:szCs w:val="20"/>
                <w:color w:val="auto"/>
              </w:rPr>
            </w:pPr>
            <w:r>
              <w:rPr>
                <w:rFonts w:ascii="Arial" w:cs="Arial" w:eastAsia="Arial" w:hAnsi="Arial"/>
                <w:sz w:val="18"/>
                <w:szCs w:val="18"/>
                <w:color w:val="auto"/>
              </w:rPr>
              <w:t>18,155</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27,999</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84,144</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95,358</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Alt-A</w:t>
            </w:r>
          </w:p>
        </w:tc>
        <w:tc>
          <w:tcPr>
            <w:tcW w:w="256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83"/>
              </w:rPr>
              <w:t>25,110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45,705</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52,211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292,747</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391,894</w:t>
            </w: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285,600</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381,258</w:t>
            </w: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3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Commercial, financial, leasing, etc.</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217,733</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250,339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33,805</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118,386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145,187</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 estate:</w:t>
            </w:r>
          </w:p>
        </w:tc>
        <w:tc>
          <w:tcPr>
            <w:tcW w:w="1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Commercial</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182,382</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210,179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16,172</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178,841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216,658</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builder and developer</w:t>
            </w:r>
          </w:p>
        </w:tc>
        <w:tc>
          <w:tcPr>
            <w:tcW w:w="2780" w:type="dxa"/>
            <w:vAlign w:val="bottom"/>
            <w:gridSpan w:val="3"/>
            <w:shd w:val="clear" w:color="auto" w:fill="CCEEFF"/>
          </w:tcPr>
          <w:p>
            <w:pPr>
              <w:ind w:left="2080"/>
              <w:spacing w:after="0"/>
              <w:rPr>
                <w:sz w:val="20"/>
                <w:szCs w:val="20"/>
                <w:color w:val="auto"/>
              </w:rPr>
            </w:pPr>
            <w:r>
              <w:rPr>
                <w:rFonts w:ascii="Arial" w:cs="Arial" w:eastAsia="Arial" w:hAnsi="Arial"/>
                <w:sz w:val="18"/>
                <w:szCs w:val="18"/>
                <w:color w:val="auto"/>
              </w:rPr>
              <w:t>83,707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124,305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105,677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159,890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Other commercial construction</w:t>
            </w:r>
          </w:p>
        </w:tc>
        <w:tc>
          <w:tcPr>
            <w:tcW w:w="2560" w:type="dxa"/>
            <w:vAlign w:val="bottom"/>
            <w:gridSpan w:val="2"/>
          </w:tcPr>
          <w:p>
            <w:pPr>
              <w:ind w:left="2080"/>
              <w:spacing w:after="0"/>
              <w:rPr>
                <w:sz w:val="20"/>
                <w:szCs w:val="20"/>
                <w:color w:val="auto"/>
              </w:rPr>
            </w:pPr>
            <w:r>
              <w:rPr>
                <w:rFonts w:ascii="Arial" w:cs="Arial" w:eastAsia="Arial" w:hAnsi="Arial"/>
                <w:sz w:val="18"/>
                <w:szCs w:val="18"/>
                <w:color w:val="auto"/>
                <w:w w:val="83"/>
              </w:rPr>
              <w:t>27,911</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49,514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4,071</w:t>
            </w:r>
          </w:p>
        </w:tc>
        <w:tc>
          <w:tcPr>
            <w:tcW w:w="640" w:type="dxa"/>
            <w:vAlign w:val="bottom"/>
          </w:tcPr>
          <w:p>
            <w:pPr>
              <w:jc w:val="right"/>
              <w:spacing w:after="0"/>
              <w:rPr>
                <w:sz w:val="20"/>
                <w:szCs w:val="20"/>
                <w:color w:val="auto"/>
              </w:rPr>
            </w:pPr>
            <w:r>
              <w:rPr>
                <w:rFonts w:ascii="Arial" w:cs="Arial" w:eastAsia="Arial" w:hAnsi="Arial"/>
                <w:sz w:val="18"/>
                <w:szCs w:val="18"/>
                <w:color w:val="auto"/>
              </w:rPr>
              <w:t>93,629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102,008</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107,034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134,794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180,652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209,879</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Residential Alt-A</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130,599</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165,321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9,000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140,268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176,739</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Home equity lines and loans</w:t>
            </w:r>
          </w:p>
        </w:tc>
        <w:tc>
          <w:tcPr>
            <w:tcW w:w="2780" w:type="dxa"/>
            <w:vAlign w:val="bottom"/>
            <w:gridSpan w:val="3"/>
          </w:tcPr>
          <w:p>
            <w:pPr>
              <w:ind w:left="2080"/>
              <w:spacing w:after="0"/>
              <w:rPr>
                <w:sz w:val="20"/>
                <w:szCs w:val="20"/>
                <w:color w:val="auto"/>
              </w:rPr>
            </w:pPr>
            <w:r>
              <w:rPr>
                <w:rFonts w:ascii="Arial" w:cs="Arial" w:eastAsia="Arial" w:hAnsi="Arial"/>
                <w:sz w:val="18"/>
                <w:szCs w:val="18"/>
                <w:color w:val="auto"/>
              </w:rPr>
              <w:t>19,343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20,436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6,030</w:t>
            </w:r>
          </w:p>
        </w:tc>
        <w:tc>
          <w:tcPr>
            <w:tcW w:w="640" w:type="dxa"/>
            <w:vAlign w:val="bottom"/>
          </w:tcPr>
          <w:p>
            <w:pPr>
              <w:jc w:val="right"/>
              <w:spacing w:after="0"/>
              <w:rPr>
                <w:sz w:val="20"/>
                <w:szCs w:val="20"/>
                <w:color w:val="auto"/>
              </w:rPr>
            </w:pPr>
            <w:r>
              <w:rPr>
                <w:rFonts w:ascii="Arial" w:cs="Arial" w:eastAsia="Arial" w:hAnsi="Arial"/>
                <w:sz w:val="18"/>
                <w:szCs w:val="18"/>
                <w:color w:val="auto"/>
              </w:rPr>
              <w:t>13,672</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14,796</w:t>
            </w:r>
          </w:p>
        </w:tc>
        <w:tc>
          <w:tcPr>
            <w:tcW w:w="580" w:type="dxa"/>
            <w:vAlign w:val="bottom"/>
          </w:tcPr>
          <w:p>
            <w:pPr>
              <w:jc w:val="right"/>
              <w:spacing w:after="0"/>
              <w:rPr>
                <w:sz w:val="20"/>
                <w:szCs w:val="20"/>
                <w:color w:val="auto"/>
              </w:rPr>
            </w:pPr>
            <w:r>
              <w:rPr>
                <w:rFonts w:ascii="Arial" w:cs="Arial" w:eastAsia="Arial" w:hAnsi="Arial"/>
                <w:sz w:val="18"/>
                <w:szCs w:val="18"/>
                <w:color w:val="auto"/>
              </w:rPr>
              <w:t>3,312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Automobile</w:t>
            </w:r>
          </w:p>
        </w:tc>
        <w:tc>
          <w:tcPr>
            <w:tcW w:w="2780" w:type="dxa"/>
            <w:vAlign w:val="bottom"/>
            <w:gridSpan w:val="3"/>
            <w:shd w:val="clear" w:color="auto" w:fill="CCEEFF"/>
          </w:tcPr>
          <w:p>
            <w:pPr>
              <w:ind w:left="2080"/>
              <w:spacing w:after="0"/>
              <w:rPr>
                <w:sz w:val="20"/>
                <w:szCs w:val="20"/>
                <w:color w:val="auto"/>
              </w:rPr>
            </w:pPr>
            <w:r>
              <w:rPr>
                <w:rFonts w:ascii="Arial" w:cs="Arial" w:eastAsia="Arial" w:hAnsi="Arial"/>
                <w:sz w:val="18"/>
                <w:szCs w:val="18"/>
                <w:color w:val="auto"/>
              </w:rPr>
              <w:t>31,843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31,843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40,441</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40,441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Other</w:t>
            </w:r>
          </w:p>
        </w:tc>
        <w:tc>
          <w:tcPr>
            <w:tcW w:w="188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18,743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18,743</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5,051</w:t>
            </w:r>
          </w:p>
        </w:tc>
        <w:tc>
          <w:tcPr>
            <w:tcW w:w="640" w:type="dxa"/>
            <w:vAlign w:val="bottom"/>
          </w:tcPr>
          <w:p>
            <w:pPr>
              <w:jc w:val="right"/>
              <w:spacing w:after="0"/>
              <w:rPr>
                <w:sz w:val="20"/>
                <w:szCs w:val="20"/>
                <w:color w:val="auto"/>
              </w:rPr>
            </w:pPr>
            <w:r>
              <w:rPr>
                <w:rFonts w:ascii="Arial" w:cs="Arial" w:eastAsia="Arial" w:hAnsi="Arial"/>
                <w:sz w:val="18"/>
                <w:szCs w:val="18"/>
                <w:color w:val="auto"/>
              </w:rPr>
              <w:t>17,660</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17,660</w:t>
            </w:r>
          </w:p>
        </w:tc>
        <w:tc>
          <w:tcPr>
            <w:tcW w:w="580" w:type="dxa"/>
            <w:vAlign w:val="bottom"/>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819,295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1,005,474</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88,484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889,226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1,083,258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80" w:type="dxa"/>
            <w:vAlign w:val="bottom"/>
            <w:vMerge w:val="restart"/>
          </w:tcPr>
          <w:p>
            <w:pPr>
              <w:jc w:val="right"/>
              <w:ind w:right="230"/>
              <w:spacing w:after="0"/>
              <w:rPr>
                <w:sz w:val="20"/>
                <w:szCs w:val="20"/>
                <w:color w:val="auto"/>
              </w:rPr>
            </w:pPr>
            <w:r>
              <w:rPr>
                <w:rFonts w:ascii="Arial" w:cs="Arial" w:eastAsia="Arial" w:hAnsi="Arial"/>
                <w:sz w:val="18"/>
                <w:szCs w:val="18"/>
                <w:color w:val="auto"/>
              </w:rPr>
              <w:t>- 17 -</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00" w:type="dxa"/>
            <w:vAlign w:val="bottom"/>
            <w:gridSpan w:val="6"/>
          </w:tcPr>
          <w:p>
            <w:pPr>
              <w:jc w:val="center"/>
              <w:ind w:left="445"/>
              <w:spacing w:after="0"/>
              <w:rPr>
                <w:sz w:val="20"/>
                <w:szCs w:val="20"/>
                <w:color w:val="auto"/>
              </w:rPr>
            </w:pPr>
            <w:r>
              <w:rPr>
                <w:rFonts w:ascii="Arial" w:cs="Arial" w:eastAsia="Arial" w:hAnsi="Arial"/>
                <w:sz w:val="14"/>
                <w:szCs w:val="14"/>
                <w:color w:val="auto"/>
                <w:w w:val="91"/>
              </w:rPr>
              <w:t>Three months ended</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4"/>
          </w:tcPr>
          <w:p>
            <w:pPr>
              <w:jc w:val="center"/>
              <w:ind w:left="476"/>
              <w:spacing w:after="0"/>
              <w:rPr>
                <w:sz w:val="20"/>
                <w:szCs w:val="20"/>
                <w:color w:val="auto"/>
              </w:rPr>
            </w:pPr>
            <w:r>
              <w:rPr>
                <w:rFonts w:ascii="Arial" w:cs="Arial" w:eastAsia="Arial" w:hAnsi="Arial"/>
                <w:sz w:val="14"/>
                <w:szCs w:val="14"/>
                <w:color w:val="auto"/>
                <w:w w:val="89"/>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00" w:type="dxa"/>
            <w:vAlign w:val="bottom"/>
            <w:tcBorders>
              <w:bottom w:val="single" w:sz="8" w:color="auto"/>
            </w:tcBorders>
            <w:gridSpan w:val="6"/>
          </w:tcPr>
          <w:p>
            <w:pPr>
              <w:jc w:val="center"/>
              <w:ind w:left="425"/>
              <w:spacing w:after="0"/>
              <w:rPr>
                <w:sz w:val="20"/>
                <w:szCs w:val="20"/>
                <w:color w:val="auto"/>
              </w:rPr>
            </w:pPr>
            <w:r>
              <w:rPr>
                <w:rFonts w:ascii="Arial" w:cs="Arial" w:eastAsia="Arial" w:hAnsi="Arial"/>
                <w:sz w:val="14"/>
                <w:szCs w:val="14"/>
                <w:color w:val="auto"/>
                <w:w w:val="91"/>
              </w:rPr>
              <w:t>September 30, 2014</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Borders>
              <w:bottom w:val="single" w:sz="8" w:color="auto"/>
            </w:tcBorders>
            <w:gridSpan w:val="4"/>
          </w:tcPr>
          <w:p>
            <w:pPr>
              <w:jc w:val="center"/>
              <w:ind w:left="476"/>
              <w:spacing w:after="0"/>
              <w:rPr>
                <w:sz w:val="20"/>
                <w:szCs w:val="20"/>
                <w:color w:val="auto"/>
              </w:rPr>
            </w:pPr>
            <w:r>
              <w:rPr>
                <w:rFonts w:ascii="Arial" w:cs="Arial" w:eastAsia="Arial" w:hAnsi="Arial"/>
                <w:sz w:val="14"/>
                <w:szCs w:val="14"/>
                <w:color w:val="auto"/>
                <w:w w:val="91"/>
              </w:rPr>
              <w:t>September 30, 2013</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4"/>
          </w:tcPr>
          <w:p>
            <w:pPr>
              <w:jc w:val="center"/>
              <w:spacing w:after="0" w:line="123" w:lineRule="exact"/>
              <w:rPr>
                <w:sz w:val="20"/>
                <w:szCs w:val="20"/>
                <w:color w:val="auto"/>
              </w:rPr>
            </w:pPr>
            <w:r>
              <w:rPr>
                <w:rFonts w:ascii="Arial" w:cs="Arial" w:eastAsia="Arial" w:hAnsi="Arial"/>
                <w:sz w:val="14"/>
                <w:szCs w:val="14"/>
                <w:color w:val="auto"/>
                <w:w w:val="93"/>
              </w:rPr>
              <w:t>Interest income</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3"/>
          </w:tcPr>
          <w:p>
            <w:pPr>
              <w:jc w:val="center"/>
              <w:spacing w:after="0" w:line="123" w:lineRule="exact"/>
              <w:rPr>
                <w:sz w:val="20"/>
                <w:szCs w:val="20"/>
                <w:color w:val="auto"/>
              </w:rPr>
            </w:pPr>
            <w:r>
              <w:rPr>
                <w:rFonts w:ascii="Arial" w:cs="Arial" w:eastAsia="Arial" w:hAnsi="Arial"/>
                <w:sz w:val="14"/>
                <w:szCs w:val="14"/>
                <w:color w:val="auto"/>
                <w:w w:val="93"/>
              </w:rPr>
              <w:t>Interest 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00" w:type="dxa"/>
            <w:vAlign w:val="bottom"/>
            <w:gridSpan w:val="3"/>
            <w:vMerge w:val="restart"/>
          </w:tcPr>
          <w:p>
            <w:pPr>
              <w:jc w:val="center"/>
              <w:ind w:right="200"/>
              <w:spacing w:after="0"/>
              <w:rPr>
                <w:sz w:val="20"/>
                <w:szCs w:val="20"/>
                <w:color w:val="auto"/>
              </w:rPr>
            </w:pPr>
            <w:r>
              <w:rPr>
                <w:rFonts w:ascii="Arial" w:cs="Arial" w:eastAsia="Arial" w:hAnsi="Arial"/>
                <w:sz w:val="14"/>
                <w:szCs w:val="14"/>
                <w:color w:val="auto"/>
                <w:w w:val="88"/>
              </w:rPr>
              <w:t>Average</w:t>
            </w:r>
          </w:p>
        </w:tc>
        <w:tc>
          <w:tcPr>
            <w:tcW w:w="1500" w:type="dxa"/>
            <w:vAlign w:val="bottom"/>
            <w:gridSpan w:val="5"/>
          </w:tcPr>
          <w:p>
            <w:pPr>
              <w:jc w:val="center"/>
              <w:ind w:right="200"/>
              <w:spacing w:after="0"/>
              <w:rPr>
                <w:sz w:val="20"/>
                <w:szCs w:val="20"/>
                <w:color w:val="auto"/>
              </w:rPr>
            </w:pPr>
            <w:r>
              <w:rPr>
                <w:rFonts w:ascii="Arial" w:cs="Arial" w:eastAsia="Arial" w:hAnsi="Arial"/>
                <w:sz w:val="14"/>
                <w:szCs w:val="14"/>
                <w:color w:val="auto"/>
                <w:w w:val="90"/>
              </w:rPr>
              <w:t>recognized</w:t>
            </w: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1"/>
              </w:rPr>
              <w:t>Average</w:t>
            </w:r>
          </w:p>
        </w:tc>
        <w:tc>
          <w:tcPr>
            <w:tcW w:w="1400" w:type="dxa"/>
            <w:vAlign w:val="bottom"/>
            <w:gridSpan w:val="4"/>
          </w:tcPr>
          <w:p>
            <w:pPr>
              <w:jc w:val="center"/>
              <w:ind w:right="100"/>
              <w:spacing w:after="0"/>
              <w:rPr>
                <w:sz w:val="20"/>
                <w:szCs w:val="20"/>
                <w:color w:val="auto"/>
              </w:rPr>
            </w:pPr>
            <w:r>
              <w:rPr>
                <w:rFonts w:ascii="Arial" w:cs="Arial" w:eastAsia="Arial" w:hAnsi="Arial"/>
                <w:sz w:val="14"/>
                <w:szCs w:val="14"/>
                <w:color w:val="auto"/>
                <w:w w:val="90"/>
              </w:rPr>
              <w:t>recognized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0"/>
              </w:rPr>
              <w:t>recorded</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Cash</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recorded</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color w:val="auto"/>
                <w:w w:val="91"/>
              </w:rPr>
              <w:t>investment</w:t>
            </w:r>
          </w:p>
        </w:tc>
        <w:tc>
          <w:tcPr>
            <w:tcW w:w="800" w:type="dxa"/>
            <w:vAlign w:val="bottom"/>
            <w:gridSpan w:val="3"/>
          </w:tcPr>
          <w:p>
            <w:pPr>
              <w:ind w:left="120"/>
              <w:spacing w:after="0"/>
              <w:rPr>
                <w:sz w:val="20"/>
                <w:szCs w:val="20"/>
                <w:color w:val="auto"/>
              </w:rPr>
            </w:pPr>
            <w:r>
              <w:rPr>
                <w:rFonts w:ascii="Arial" w:cs="Arial" w:eastAsia="Arial" w:hAnsi="Arial"/>
                <w:sz w:val="14"/>
                <w:szCs w:val="14"/>
                <w:color w:val="auto"/>
              </w:rPr>
              <w:t>Total</w:t>
            </w:r>
          </w:p>
        </w:tc>
        <w:tc>
          <w:tcPr>
            <w:tcW w:w="700" w:type="dxa"/>
            <w:vAlign w:val="bottom"/>
            <w:gridSpan w:val="2"/>
          </w:tcPr>
          <w:p>
            <w:pPr>
              <w:jc w:val="right"/>
              <w:ind w:right="320"/>
              <w:spacing w:after="0"/>
              <w:rPr>
                <w:sz w:val="20"/>
                <w:szCs w:val="20"/>
                <w:color w:val="auto"/>
              </w:rPr>
            </w:pPr>
            <w:r>
              <w:rPr>
                <w:rFonts w:ascii="Arial" w:cs="Arial" w:eastAsia="Arial" w:hAnsi="Arial"/>
                <w:sz w:val="14"/>
                <w:szCs w:val="14"/>
                <w:color w:val="auto"/>
              </w:rPr>
              <w:t>basis</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investment</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Total</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basis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gridSpan w:val="4"/>
          </w:tcPr>
          <w:p>
            <w:pPr>
              <w:ind w:left="240"/>
              <w:spacing w:after="0"/>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1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3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$228,749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611</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149,357</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Real estate:</w:t>
            </w:r>
          </w:p>
        </w:tc>
        <w:tc>
          <w:tcPr>
            <w:tcW w:w="2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w:t>
            </w:r>
          </w:p>
        </w:tc>
        <w:tc>
          <w:tcPr>
            <w:tcW w:w="3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189,952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821</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205,971</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Arial" w:cs="Arial" w:eastAsia="Arial" w:hAnsi="Arial"/>
                <w:sz w:val="18"/>
                <w:szCs w:val="18"/>
                <w:color w:val="auto"/>
              </w:rPr>
              <w:t>Residential builder and developer</w:t>
            </w:r>
          </w:p>
        </w:tc>
        <w:tc>
          <w:tcPr>
            <w:tcW w:w="3360" w:type="dxa"/>
            <w:vAlign w:val="bottom"/>
            <w:gridSpan w:val="4"/>
          </w:tcPr>
          <w:p>
            <w:pPr>
              <w:jc w:val="right"/>
              <w:ind w:right="200"/>
              <w:spacing w:after="0"/>
              <w:rPr>
                <w:sz w:val="20"/>
                <w:szCs w:val="20"/>
                <w:color w:val="auto"/>
              </w:rPr>
            </w:pPr>
            <w:r>
              <w:rPr>
                <w:rFonts w:ascii="Arial" w:cs="Arial" w:eastAsia="Arial" w:hAnsi="Arial"/>
                <w:sz w:val="18"/>
                <w:szCs w:val="18"/>
                <w:color w:val="auto"/>
              </w:rPr>
              <w:t>90,493</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130,855</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213</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commercial construction</w:t>
            </w:r>
          </w:p>
        </w:tc>
        <w:tc>
          <w:tcPr>
            <w:tcW w:w="33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58,500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95,486</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Arial" w:cs="Arial" w:eastAsia="Arial" w:hAnsi="Arial"/>
                <w:sz w:val="18"/>
                <w:szCs w:val="18"/>
                <w:color w:val="auto"/>
              </w:rPr>
              <w:t>Residential</w:t>
            </w:r>
          </w:p>
        </w:tc>
        <w:tc>
          <w:tcPr>
            <w:tcW w:w="3180" w:type="dxa"/>
            <w:vAlign w:val="bottom"/>
            <w:gridSpan w:val="3"/>
          </w:tcPr>
          <w:p>
            <w:pPr>
              <w:jc w:val="right"/>
              <w:ind w:right="20"/>
              <w:spacing w:after="0"/>
              <w:rPr>
                <w:sz w:val="20"/>
                <w:szCs w:val="20"/>
                <w:color w:val="auto"/>
              </w:rPr>
            </w:pPr>
            <w:r>
              <w:rPr>
                <w:rFonts w:ascii="Arial" w:cs="Arial" w:eastAsia="Arial" w:hAnsi="Arial"/>
                <w:sz w:val="18"/>
                <w:szCs w:val="18"/>
                <w:color w:val="auto"/>
              </w:rPr>
              <w:t>104,516</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1,328</w:t>
            </w:r>
          </w:p>
        </w:tc>
        <w:tc>
          <w:tcPr>
            <w:tcW w:w="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776</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180,995</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1,391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Alt-A</w:t>
            </w:r>
          </w:p>
        </w:tc>
        <w:tc>
          <w:tcPr>
            <w:tcW w:w="3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131,574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1,643</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147,056</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Consumer:</w:t>
            </w:r>
          </w:p>
        </w:tc>
        <w:tc>
          <w:tcPr>
            <w:tcW w:w="2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lines and loans</w:t>
            </w:r>
          </w:p>
        </w:tc>
        <w:tc>
          <w:tcPr>
            <w:tcW w:w="33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19,268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12,810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Arial" w:cs="Arial" w:eastAsia="Arial" w:hAnsi="Arial"/>
                <w:sz w:val="18"/>
                <w:szCs w:val="18"/>
                <w:color w:val="auto"/>
              </w:rPr>
              <w:t>Automobile</w:t>
            </w:r>
          </w:p>
        </w:tc>
        <w:tc>
          <w:tcPr>
            <w:tcW w:w="3360" w:type="dxa"/>
            <w:vAlign w:val="bottom"/>
            <w:gridSpan w:val="4"/>
          </w:tcPr>
          <w:p>
            <w:pPr>
              <w:jc w:val="right"/>
              <w:ind w:right="200"/>
              <w:spacing w:after="0"/>
              <w:rPr>
                <w:sz w:val="20"/>
                <w:szCs w:val="20"/>
                <w:color w:val="auto"/>
              </w:rPr>
            </w:pPr>
            <w:r>
              <w:rPr>
                <w:rFonts w:ascii="Arial" w:cs="Arial" w:eastAsia="Arial" w:hAnsi="Arial"/>
                <w:sz w:val="18"/>
                <w:szCs w:val="18"/>
                <w:color w:val="auto"/>
              </w:rPr>
              <w:t>33,666</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528</w:t>
            </w:r>
          </w:p>
        </w:tc>
        <w:tc>
          <w:tcPr>
            <w:tcW w:w="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42,957</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710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3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18,677</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15,791</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875,395</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5,596</w:t>
            </w:r>
          </w:p>
        </w:tc>
        <w:tc>
          <w:tcPr>
            <w:tcW w:w="2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3,350</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981,278</w:t>
            </w:r>
          </w:p>
        </w:tc>
        <w:tc>
          <w:tcPr>
            <w:tcW w:w="2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5,845</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700" w:type="dxa"/>
            <w:vAlign w:val="bottom"/>
            <w:gridSpan w:val="6"/>
          </w:tcPr>
          <w:p>
            <w:pPr>
              <w:jc w:val="center"/>
              <w:ind w:left="425"/>
              <w:spacing w:after="0"/>
              <w:rPr>
                <w:sz w:val="20"/>
                <w:szCs w:val="20"/>
                <w:color w:val="auto"/>
              </w:rPr>
            </w:pPr>
            <w:r>
              <w:rPr>
                <w:rFonts w:ascii="Arial" w:cs="Arial" w:eastAsia="Arial" w:hAnsi="Arial"/>
                <w:sz w:val="14"/>
                <w:szCs w:val="14"/>
                <w:color w:val="auto"/>
                <w:w w:val="92"/>
              </w:rPr>
              <w:t>Nine months ended</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4"/>
          </w:tcPr>
          <w:p>
            <w:pPr>
              <w:jc w:val="center"/>
              <w:ind w:left="476"/>
              <w:spacing w:after="0"/>
              <w:rPr>
                <w:sz w:val="20"/>
                <w:szCs w:val="20"/>
                <w:color w:val="auto"/>
              </w:rPr>
            </w:pPr>
            <w:r>
              <w:rPr>
                <w:rFonts w:ascii="Arial" w:cs="Arial" w:eastAsia="Arial" w:hAnsi="Arial"/>
                <w:sz w:val="14"/>
                <w:szCs w:val="14"/>
                <w:color w:val="auto"/>
                <w:w w:val="92"/>
              </w:rPr>
              <w:t>Nine months ended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00" w:type="dxa"/>
            <w:vAlign w:val="bottom"/>
            <w:tcBorders>
              <w:bottom w:val="single" w:sz="8" w:color="auto"/>
            </w:tcBorders>
            <w:gridSpan w:val="6"/>
          </w:tcPr>
          <w:p>
            <w:pPr>
              <w:jc w:val="center"/>
              <w:ind w:left="425"/>
              <w:spacing w:after="0"/>
              <w:rPr>
                <w:sz w:val="20"/>
                <w:szCs w:val="20"/>
                <w:color w:val="auto"/>
              </w:rPr>
            </w:pPr>
            <w:r>
              <w:rPr>
                <w:rFonts w:ascii="Arial" w:cs="Arial" w:eastAsia="Arial" w:hAnsi="Arial"/>
                <w:sz w:val="14"/>
                <w:szCs w:val="14"/>
                <w:color w:val="auto"/>
                <w:w w:val="91"/>
              </w:rPr>
              <w:t>September 30, 2014</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Borders>
              <w:bottom w:val="single" w:sz="8" w:color="auto"/>
            </w:tcBorders>
            <w:gridSpan w:val="4"/>
          </w:tcPr>
          <w:p>
            <w:pPr>
              <w:jc w:val="center"/>
              <w:ind w:left="476"/>
              <w:spacing w:after="0"/>
              <w:rPr>
                <w:sz w:val="20"/>
                <w:szCs w:val="20"/>
                <w:color w:val="auto"/>
              </w:rPr>
            </w:pPr>
            <w:r>
              <w:rPr>
                <w:rFonts w:ascii="Arial" w:cs="Arial" w:eastAsia="Arial" w:hAnsi="Arial"/>
                <w:sz w:val="14"/>
                <w:szCs w:val="14"/>
                <w:color w:val="auto"/>
                <w:w w:val="91"/>
              </w:rPr>
              <w:t>September 30, 2013</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4"/>
          </w:tcPr>
          <w:p>
            <w:pPr>
              <w:jc w:val="center"/>
              <w:spacing w:after="0" w:line="123" w:lineRule="exact"/>
              <w:rPr>
                <w:sz w:val="20"/>
                <w:szCs w:val="20"/>
                <w:color w:val="auto"/>
              </w:rPr>
            </w:pPr>
            <w:r>
              <w:rPr>
                <w:rFonts w:ascii="Arial" w:cs="Arial" w:eastAsia="Arial" w:hAnsi="Arial"/>
                <w:sz w:val="14"/>
                <w:szCs w:val="14"/>
                <w:color w:val="auto"/>
                <w:w w:val="93"/>
              </w:rPr>
              <w:t>Interest income</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3"/>
          </w:tcPr>
          <w:p>
            <w:pPr>
              <w:jc w:val="center"/>
              <w:spacing w:after="0" w:line="123" w:lineRule="exact"/>
              <w:rPr>
                <w:sz w:val="20"/>
                <w:szCs w:val="20"/>
                <w:color w:val="auto"/>
              </w:rPr>
            </w:pPr>
            <w:r>
              <w:rPr>
                <w:rFonts w:ascii="Arial" w:cs="Arial" w:eastAsia="Arial" w:hAnsi="Arial"/>
                <w:sz w:val="14"/>
                <w:szCs w:val="14"/>
                <w:color w:val="auto"/>
                <w:w w:val="93"/>
              </w:rPr>
              <w:t>Interest 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00" w:type="dxa"/>
            <w:vAlign w:val="bottom"/>
            <w:gridSpan w:val="3"/>
            <w:vMerge w:val="restart"/>
          </w:tcPr>
          <w:p>
            <w:pPr>
              <w:jc w:val="center"/>
              <w:ind w:right="200"/>
              <w:spacing w:after="0"/>
              <w:rPr>
                <w:sz w:val="20"/>
                <w:szCs w:val="20"/>
                <w:color w:val="auto"/>
              </w:rPr>
            </w:pPr>
            <w:r>
              <w:rPr>
                <w:rFonts w:ascii="Arial" w:cs="Arial" w:eastAsia="Arial" w:hAnsi="Arial"/>
                <w:sz w:val="14"/>
                <w:szCs w:val="14"/>
                <w:color w:val="auto"/>
                <w:w w:val="88"/>
              </w:rPr>
              <w:t>Average</w:t>
            </w:r>
          </w:p>
        </w:tc>
        <w:tc>
          <w:tcPr>
            <w:tcW w:w="1500" w:type="dxa"/>
            <w:vAlign w:val="bottom"/>
            <w:gridSpan w:val="5"/>
          </w:tcPr>
          <w:p>
            <w:pPr>
              <w:jc w:val="center"/>
              <w:ind w:right="200"/>
              <w:spacing w:after="0"/>
              <w:rPr>
                <w:sz w:val="20"/>
                <w:szCs w:val="20"/>
                <w:color w:val="auto"/>
              </w:rPr>
            </w:pPr>
            <w:r>
              <w:rPr>
                <w:rFonts w:ascii="Arial" w:cs="Arial" w:eastAsia="Arial" w:hAnsi="Arial"/>
                <w:sz w:val="14"/>
                <w:szCs w:val="14"/>
                <w:color w:val="auto"/>
                <w:w w:val="90"/>
              </w:rPr>
              <w:t>recognized</w:t>
            </w: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1"/>
              </w:rPr>
              <w:t>Average</w:t>
            </w:r>
          </w:p>
        </w:tc>
        <w:tc>
          <w:tcPr>
            <w:tcW w:w="1400" w:type="dxa"/>
            <w:vAlign w:val="bottom"/>
            <w:gridSpan w:val="4"/>
          </w:tcPr>
          <w:p>
            <w:pPr>
              <w:jc w:val="center"/>
              <w:ind w:right="100"/>
              <w:spacing w:after="0"/>
              <w:rPr>
                <w:sz w:val="20"/>
                <w:szCs w:val="20"/>
                <w:color w:val="auto"/>
              </w:rPr>
            </w:pPr>
            <w:r>
              <w:rPr>
                <w:rFonts w:ascii="Arial" w:cs="Arial" w:eastAsia="Arial" w:hAnsi="Arial"/>
                <w:sz w:val="14"/>
                <w:szCs w:val="14"/>
                <w:color w:val="auto"/>
                <w:w w:val="90"/>
              </w:rPr>
              <w:t>recognized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0"/>
              </w:rPr>
              <w:t>recorded</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Cash</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recorded</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color w:val="auto"/>
                <w:w w:val="91"/>
              </w:rPr>
              <w:t>investment</w:t>
            </w:r>
          </w:p>
        </w:tc>
        <w:tc>
          <w:tcPr>
            <w:tcW w:w="800" w:type="dxa"/>
            <w:vAlign w:val="bottom"/>
            <w:gridSpan w:val="3"/>
          </w:tcPr>
          <w:p>
            <w:pPr>
              <w:ind w:left="120"/>
              <w:spacing w:after="0"/>
              <w:rPr>
                <w:sz w:val="20"/>
                <w:szCs w:val="20"/>
                <w:color w:val="auto"/>
              </w:rPr>
            </w:pPr>
            <w:r>
              <w:rPr>
                <w:rFonts w:ascii="Arial" w:cs="Arial" w:eastAsia="Arial" w:hAnsi="Arial"/>
                <w:sz w:val="14"/>
                <w:szCs w:val="14"/>
                <w:color w:val="auto"/>
              </w:rPr>
              <w:t>Total</w:t>
            </w:r>
          </w:p>
        </w:tc>
        <w:tc>
          <w:tcPr>
            <w:tcW w:w="700" w:type="dxa"/>
            <w:vAlign w:val="bottom"/>
            <w:gridSpan w:val="2"/>
          </w:tcPr>
          <w:p>
            <w:pPr>
              <w:jc w:val="right"/>
              <w:ind w:right="320"/>
              <w:spacing w:after="0"/>
              <w:rPr>
                <w:sz w:val="20"/>
                <w:szCs w:val="20"/>
                <w:color w:val="auto"/>
              </w:rPr>
            </w:pPr>
            <w:r>
              <w:rPr>
                <w:rFonts w:ascii="Arial" w:cs="Arial" w:eastAsia="Arial" w:hAnsi="Arial"/>
                <w:sz w:val="14"/>
                <w:szCs w:val="14"/>
                <w:color w:val="auto"/>
              </w:rPr>
              <w:t>basis</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investment</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Total</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basis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gridSpan w:val="4"/>
          </w:tcPr>
          <w:p>
            <w:pPr>
              <w:ind w:left="240"/>
              <w:spacing w:after="0"/>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140" w:type="dxa"/>
            <w:vAlign w:val="bottom"/>
          </w:tcPr>
          <w:p>
            <w:pPr>
              <w:spacing w:after="0"/>
              <w:rPr>
                <w:sz w:val="6"/>
                <w:szCs w:val="6"/>
                <w:color w:val="auto"/>
              </w:rPr>
            </w:pPr>
          </w:p>
        </w:tc>
        <w:tc>
          <w:tcPr>
            <w:tcW w:w="3180" w:type="dxa"/>
            <w:vAlign w:val="bottom"/>
            <w:gridSpan w:val="3"/>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gridSpan w:val="2"/>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tcPr>
          <w:p>
            <w:pPr>
              <w:spacing w:after="0"/>
              <w:rPr>
                <w:sz w:val="6"/>
                <w:szCs w:val="6"/>
                <w:color w:val="auto"/>
              </w:rPr>
            </w:pPr>
          </w:p>
        </w:tc>
        <w:tc>
          <w:tcPr>
            <w:tcW w:w="1000" w:type="dxa"/>
            <w:vAlign w:val="bottom"/>
            <w:gridSpan w:val="2"/>
          </w:tcPr>
          <w:p>
            <w:pPr>
              <w:spacing w:after="0"/>
              <w:rPr>
                <w:sz w:val="6"/>
                <w:szCs w:val="6"/>
                <w:color w:val="auto"/>
              </w:rPr>
            </w:pPr>
          </w:p>
        </w:tc>
        <w:tc>
          <w:tcPr>
            <w:tcW w:w="760" w:type="dxa"/>
            <w:vAlign w:val="bottom"/>
            <w:gridSpan w:val="2"/>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3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$171,227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1,379</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164,877</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Real estate:</w:t>
            </w:r>
          </w:p>
        </w:tc>
        <w:tc>
          <w:tcPr>
            <w:tcW w:w="2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w:t>
            </w:r>
          </w:p>
        </w:tc>
        <w:tc>
          <w:tcPr>
            <w:tcW w:w="3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194,337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2,616</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2,616</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200,354</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Arial" w:cs="Arial" w:eastAsia="Arial" w:hAnsi="Arial"/>
                <w:sz w:val="18"/>
                <w:szCs w:val="18"/>
                <w:color w:val="auto"/>
              </w:rPr>
              <w:t>Residential builder and developer</w:t>
            </w:r>
          </w:p>
        </w:tc>
        <w:tc>
          <w:tcPr>
            <w:tcW w:w="3360" w:type="dxa"/>
            <w:vAlign w:val="bottom"/>
            <w:gridSpan w:val="4"/>
          </w:tcPr>
          <w:p>
            <w:pPr>
              <w:jc w:val="right"/>
              <w:ind w:right="200"/>
              <w:spacing w:after="0"/>
              <w:rPr>
                <w:sz w:val="20"/>
                <w:szCs w:val="20"/>
                <w:color w:val="auto"/>
              </w:rPr>
            </w:pPr>
            <w:r>
              <w:rPr>
                <w:rFonts w:ascii="Arial" w:cs="Arial" w:eastAsia="Arial" w:hAnsi="Arial"/>
                <w:sz w:val="18"/>
                <w:szCs w:val="18"/>
                <w:color w:val="auto"/>
              </w:rPr>
              <w:t>94,453</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159,308</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871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commercial construction</w:t>
            </w:r>
          </w:p>
        </w:tc>
        <w:tc>
          <w:tcPr>
            <w:tcW w:w="33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74,531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1,694</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97,268</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Arial" w:cs="Arial" w:eastAsia="Arial" w:hAnsi="Arial"/>
                <w:sz w:val="18"/>
                <w:szCs w:val="18"/>
                <w:color w:val="auto"/>
              </w:rPr>
              <w:t>Residential</w:t>
            </w:r>
          </w:p>
        </w:tc>
        <w:tc>
          <w:tcPr>
            <w:tcW w:w="3180" w:type="dxa"/>
            <w:vAlign w:val="bottom"/>
            <w:gridSpan w:val="3"/>
          </w:tcPr>
          <w:p>
            <w:pPr>
              <w:jc w:val="right"/>
              <w:ind w:right="20"/>
              <w:spacing w:after="0"/>
              <w:rPr>
                <w:sz w:val="20"/>
                <w:szCs w:val="20"/>
                <w:color w:val="auto"/>
              </w:rPr>
            </w:pPr>
            <w:r>
              <w:rPr>
                <w:rFonts w:ascii="Arial" w:cs="Arial" w:eastAsia="Arial" w:hAnsi="Arial"/>
                <w:sz w:val="18"/>
                <w:szCs w:val="18"/>
                <w:color w:val="auto"/>
              </w:rPr>
              <w:t>132,606</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7,784</w:t>
            </w:r>
          </w:p>
        </w:tc>
        <w:tc>
          <w:tcPr>
            <w:tcW w:w="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6,146</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184,719</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4,795</w:t>
            </w:r>
          </w:p>
        </w:tc>
        <w:tc>
          <w:tcPr>
            <w:tcW w:w="540" w:type="dxa"/>
            <w:vAlign w:val="bottom"/>
          </w:tcPr>
          <w:p>
            <w:pPr>
              <w:jc w:val="right"/>
              <w:spacing w:after="0"/>
              <w:rPr>
                <w:sz w:val="20"/>
                <w:szCs w:val="20"/>
                <w:color w:val="auto"/>
              </w:rPr>
            </w:pPr>
            <w:r>
              <w:rPr>
                <w:rFonts w:ascii="Arial" w:cs="Arial" w:eastAsia="Arial" w:hAnsi="Arial"/>
                <w:sz w:val="18"/>
                <w:szCs w:val="18"/>
                <w:color w:val="auto"/>
              </w:rPr>
              <w:t>3,188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Alt-A</w:t>
            </w:r>
          </w:p>
        </w:tc>
        <w:tc>
          <w:tcPr>
            <w:tcW w:w="3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135,374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5,002</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151,992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Consumer:</w:t>
            </w:r>
          </w:p>
        </w:tc>
        <w:tc>
          <w:tcPr>
            <w:tcW w:w="2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lines and loans</w:t>
            </w:r>
          </w:p>
        </w:tc>
        <w:tc>
          <w:tcPr>
            <w:tcW w:w="33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17,902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12,633</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Arial" w:cs="Arial" w:eastAsia="Arial" w:hAnsi="Arial"/>
                <w:sz w:val="18"/>
                <w:szCs w:val="18"/>
                <w:color w:val="auto"/>
              </w:rPr>
              <w:t>Automobile</w:t>
            </w:r>
          </w:p>
        </w:tc>
        <w:tc>
          <w:tcPr>
            <w:tcW w:w="3360" w:type="dxa"/>
            <w:vAlign w:val="bottom"/>
            <w:gridSpan w:val="4"/>
          </w:tcPr>
          <w:p>
            <w:pPr>
              <w:jc w:val="right"/>
              <w:ind w:right="200"/>
              <w:spacing w:after="0"/>
              <w:rPr>
                <w:sz w:val="20"/>
                <w:szCs w:val="20"/>
                <w:color w:val="auto"/>
              </w:rPr>
            </w:pPr>
            <w:r>
              <w:rPr>
                <w:rFonts w:ascii="Arial" w:cs="Arial" w:eastAsia="Arial" w:hAnsi="Arial"/>
                <w:sz w:val="18"/>
                <w:szCs w:val="18"/>
                <w:color w:val="auto"/>
              </w:rPr>
              <w:t>36,560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1,742</w:t>
            </w:r>
          </w:p>
        </w:tc>
        <w:tc>
          <w:tcPr>
            <w:tcW w:w="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45,075</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2,226</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3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18,229</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15,438</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875,219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21,405</w:t>
            </w:r>
          </w:p>
        </w:tc>
        <w:tc>
          <w:tcPr>
            <w:tcW w:w="2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14,421</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1,031,664</w:t>
            </w:r>
          </w:p>
        </w:tc>
        <w:tc>
          <w:tcPr>
            <w:tcW w:w="2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25,140</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60" w:type="dxa"/>
            <w:vAlign w:val="bottom"/>
            <w:vMerge w:val="restart"/>
          </w:tcPr>
          <w:p>
            <w:pPr>
              <w:jc w:val="right"/>
              <w:ind w:right="630"/>
              <w:spacing w:after="0"/>
              <w:rPr>
                <w:sz w:val="20"/>
                <w:szCs w:val="20"/>
                <w:color w:val="auto"/>
              </w:rPr>
            </w:pPr>
            <w:r>
              <w:rPr>
                <w:rFonts w:ascii="Arial" w:cs="Arial" w:eastAsia="Arial" w:hAnsi="Arial"/>
                <w:sz w:val="18"/>
                <w:szCs w:val="18"/>
                <w:color w:val="auto"/>
              </w:rPr>
              <w:t>- 18 -</w:t>
            </w: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accordance with the previously described policies, the Company utilizes a loan grading system that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All larger balance criticized commercial and commercial real estate loans are individually reviewed by centralized loan review personnel each quarter to determine the appropriateness of the assigned loan grade, including whether the loan should be reported as accruing or nonaccruing. Smaller balance criticized loans are analyzed by business line risk management areas to ensure proper loan grade classification. Furthermore, criticized nonaccrual commercial loans and commercial real estate loans are considered impaired and, as a result, specific loss allowances on such loans are established within the allowance for credit losses to the extent appropriate in each individual instance. The following table summarizes the loan grades applied to the various classes of the Company’s commercial and commercial real estate loans.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0" w:type="dxa"/>
            <w:vAlign w:val="bottom"/>
            <w:gridSpan w:val="3"/>
            <w:vMerge w:val="restart"/>
          </w:tcPr>
          <w:p>
            <w:pPr>
              <w:jc w:val="center"/>
              <w:ind w:right="300"/>
              <w:spacing w:after="0"/>
              <w:rPr>
                <w:sz w:val="20"/>
                <w:szCs w:val="20"/>
                <w:color w:val="auto"/>
              </w:rPr>
            </w:pPr>
            <w:r>
              <w:rPr>
                <w:rFonts w:ascii="Arial" w:cs="Arial" w:eastAsia="Arial" w:hAnsi="Arial"/>
                <w:sz w:val="14"/>
                <w:szCs w:val="14"/>
                <w:color w:val="auto"/>
                <w:w w:val="94"/>
              </w:rPr>
              <w:t>Commercial,</w:t>
            </w: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color w:val="auto"/>
                <w:w w:val="91"/>
              </w:rPr>
              <w:t>Real Estate</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2"/>
              </w:rPr>
              <w:t>Residential</w:t>
            </w: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6"/>
              </w:rPr>
              <w:t>Financial,</w:t>
            </w: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Builder and</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Commercial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color w:val="auto"/>
                <w:w w:val="93"/>
              </w:rPr>
              <w:t>Leasing, etc.</w:t>
            </w: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Commercial</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Developer</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Construction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4"/>
          </w:tcPr>
          <w:p>
            <w:pPr>
              <w:jc w:val="right"/>
              <w:ind w:right="920"/>
              <w:spacing w:after="0" w:line="142" w:lineRule="exact"/>
              <w:rPr>
                <w:sz w:val="20"/>
                <w:szCs w:val="20"/>
                <w:color w:val="auto"/>
              </w:rPr>
            </w:pPr>
            <w:r>
              <w:rPr>
                <w:rFonts w:ascii="Arial" w:cs="Arial" w:eastAsia="Arial" w:hAnsi="Arial"/>
                <w:sz w:val="14"/>
                <w:szCs w:val="14"/>
                <w:color w:val="auto"/>
              </w:rPr>
              <w:t>(in thousands)</w:t>
            </w: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2014</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Pass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$18,283,543</w:t>
            </w:r>
          </w:p>
        </w:tc>
        <w:tc>
          <w:tcPr>
            <w:tcW w:w="2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21,236,852</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1,293,815</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3,285,953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Criticized accrual</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637,216</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634,718</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50,940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Criticized nonaccrual</w:t>
            </w:r>
          </w:p>
        </w:tc>
        <w:tc>
          <w:tcPr>
            <w:tcW w:w="900" w:type="dxa"/>
            <w:vAlign w:val="bottom"/>
          </w:tcPr>
          <w:p>
            <w:pPr>
              <w:jc w:val="right"/>
              <w:spacing w:after="0"/>
              <w:rPr>
                <w:sz w:val="20"/>
                <w:szCs w:val="20"/>
                <w:color w:val="auto"/>
              </w:rPr>
            </w:pPr>
            <w:r>
              <w:rPr>
                <w:rFonts w:ascii="Arial" w:cs="Arial" w:eastAsia="Arial" w:hAnsi="Arial"/>
                <w:sz w:val="18"/>
                <w:szCs w:val="18"/>
                <w:color w:val="auto"/>
              </w:rPr>
              <w:t>191,250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173,285</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73,296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27,375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19,112,009</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22,044,855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1,418,051</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3,479,941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December 31, 2013</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1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Pass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$17,894,592</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20,972,257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1,107,144</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3,040,106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Criticized accrual</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699,885</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596,553</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72,941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54,464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Criticized nonaccrual</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110,739</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173,048</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96,427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35,268</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18,705,216</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21,741,858</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1,276,512</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3,129,838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In determining the allowance for credit losses, residential real estate loans and consumer loans are generally evaluated collectively after considering such factors as payment performance and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the Company’s Credit Department. In arriving at such forecasts, the Company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the original balance of any first lien position prior to recovering amounts on a second lien position. However, residential real estate loans and outstanding balances of home equity loans and lines of credit that are more than 150 days past due are generally evaluated for collectibility on a loan-by-loan basis giving consideration to estimated collateral values. The carrying value of residential real estate loans and home equity loans and lines of credit for which a partial charge-off has been recognized aggregated $64 million and $18 million, respectively, at September 30, 2014 and $58 million and $18 million, respectively, at December 31, 2013.</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The determination of the allocated portion of the allowance for credit losses is very subjective. Given that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 imprecision in the various calculations used in determining the allocated portion of the allowance for credit losses. Other factors that could also lead to changes in the unallocated portion include the effects of 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allocation of the allowance for credit losses summarized on the basis of the Company’s impairment methodology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color w:val="auto"/>
              </w:rPr>
              <w:t>Commercial,</w:t>
            </w:r>
          </w:p>
        </w:tc>
        <w:tc>
          <w:tcPr>
            <w:tcW w:w="1980" w:type="dxa"/>
            <w:vAlign w:val="bottom"/>
            <w:gridSpan w:val="5"/>
            <w:vMerge w:val="restart"/>
          </w:tcPr>
          <w:p>
            <w:pPr>
              <w:jc w:val="right"/>
              <w:ind w:right="82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20"/>
              <w:spacing w:after="0" w:line="154" w:lineRule="exact"/>
              <w:rPr>
                <w:sz w:val="20"/>
                <w:szCs w:val="20"/>
                <w:color w:val="auto"/>
              </w:rPr>
            </w:pPr>
            <w:r>
              <w:rPr>
                <w:rFonts w:ascii="Arial" w:cs="Arial" w:eastAsia="Arial" w:hAnsi="Arial"/>
                <w:sz w:val="14"/>
                <w:szCs w:val="14"/>
                <w:color w:val="auto"/>
                <w:w w:val="90"/>
              </w:rPr>
              <w:t>Financial,</w:t>
            </w:r>
          </w:p>
        </w:tc>
        <w:tc>
          <w:tcPr>
            <w:tcW w:w="1980" w:type="dxa"/>
            <w:vAlign w:val="bottom"/>
            <w:gridSpan w:val="5"/>
            <w:vMerge w:val="continue"/>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8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Leasing, etc.</w:t>
            </w:r>
          </w:p>
        </w:tc>
        <w:tc>
          <w:tcPr>
            <w:tcW w:w="78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w w:val="91"/>
              </w:rPr>
              <w:t>Commercial</w:t>
            </w: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Residential</w:t>
            </w:r>
          </w:p>
        </w:tc>
        <w:tc>
          <w:tcPr>
            <w:tcW w:w="320" w:type="dxa"/>
            <w:vAlign w:val="bottom"/>
          </w:tcPr>
          <w:p>
            <w:pPr>
              <w:spacing w:after="0"/>
              <w:rPr>
                <w:sz w:val="12"/>
                <w:szCs w:val="12"/>
                <w:color w:val="auto"/>
              </w:rPr>
            </w:pPr>
          </w:p>
        </w:tc>
        <w:tc>
          <w:tcPr>
            <w:tcW w:w="80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w w:val="92"/>
              </w:rPr>
              <w:t>Consumer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color w:val="auto"/>
                <w:w w:val="99"/>
              </w:rPr>
              <w:t>(in thousands)</w:t>
            </w: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2014</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2580" w:type="dxa"/>
            <w:vAlign w:val="bottom"/>
            <w:gridSpan w:val="2"/>
          </w:tcPr>
          <w:p>
            <w:pPr>
              <w:ind w:left="248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33,805</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21,148</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13,602</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19,597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247,951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297,169</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52,206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149,430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746,756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Purchased impaired</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4,796</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1,714</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Allocated</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286,552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318,901</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67,522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169,819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842,794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Unallocated</w:t>
            </w: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75,839</w:t>
            </w:r>
          </w:p>
        </w:tc>
        <w:tc>
          <w:tcPr>
            <w:tcW w:w="0" w:type="dxa"/>
            <w:vAlign w:val="bottom"/>
          </w:tcPr>
          <w:p>
            <w:pPr>
              <w:spacing w:after="0" w:line="20" w:lineRule="exact"/>
              <w:rPr>
                <w:sz w:val="1"/>
                <w:szCs w:val="1"/>
                <w:color w:val="auto"/>
              </w:rPr>
            </w:pPr>
          </w:p>
        </w:tc>
      </w:tr>
      <w:tr>
        <w:trPr>
          <w:trHeight w:val="210"/>
        </w:trPr>
        <w:tc>
          <w:tcPr>
            <w:tcW w:w="4140" w:type="dxa"/>
            <w:vAlign w:val="bottom"/>
            <w:gridSpan w:val="2"/>
            <w:vMerge w:val="continue"/>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1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918,633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December 31, 2013</w:t>
            </w: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140" w:type="dxa"/>
            <w:vAlign w:val="bottom"/>
            <w:gridSpan w:val="2"/>
            <w:vMerge w:val="continue"/>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25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24,614</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27,563</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21,127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18,927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246,096</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296,781</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55,864</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144,210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742,951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2,673</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634</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1,665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color w:val="auto"/>
              </w:rPr>
              <w:t>Allocated</w:t>
            </w:r>
          </w:p>
        </w:tc>
        <w:tc>
          <w:tcPr>
            <w:tcW w:w="2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273,383</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324,978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78,656</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164,644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841,661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75,015</w:t>
            </w:r>
          </w:p>
        </w:tc>
        <w:tc>
          <w:tcPr>
            <w:tcW w:w="0" w:type="dxa"/>
            <w:vAlign w:val="bottom"/>
          </w:tcPr>
          <w:p>
            <w:pPr>
              <w:spacing w:after="0"/>
              <w:rPr>
                <w:sz w:val="1"/>
                <w:szCs w:val="1"/>
                <w:color w:val="auto"/>
              </w:rPr>
            </w:pPr>
          </w:p>
        </w:tc>
      </w:tr>
      <w:tr>
        <w:trPr>
          <w:trHeight w:val="20"/>
        </w:trPr>
        <w:tc>
          <w:tcPr>
            <w:tcW w:w="414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916,676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80" w:type="dxa"/>
            <w:vAlign w:val="bottom"/>
            <w:vMerge w:val="restart"/>
          </w:tcPr>
          <w:p>
            <w:pPr>
              <w:jc w:val="right"/>
              <w:ind w:right="630"/>
              <w:spacing w:after="0"/>
              <w:rPr>
                <w:sz w:val="20"/>
                <w:szCs w:val="20"/>
                <w:color w:val="auto"/>
              </w:rPr>
            </w:pPr>
            <w:r>
              <w:rPr>
                <w:rFonts w:ascii="Arial" w:cs="Arial" w:eastAsia="Arial" w:hAnsi="Arial"/>
                <w:sz w:val="18"/>
                <w:szCs w:val="18"/>
                <w:color w:val="auto"/>
              </w:rPr>
              <w:t>- 20 -</w:t>
            </w: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recorded investment in loans and leases summarized on the basis of the Company’s impairment methodology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color w:val="auto"/>
                <w:w w:val="94"/>
              </w:rPr>
              <w:t>Commercial,</w:t>
            </w:r>
          </w:p>
        </w:tc>
        <w:tc>
          <w:tcPr>
            <w:tcW w:w="2060" w:type="dxa"/>
            <w:vAlign w:val="bottom"/>
            <w:gridSpan w:val="5"/>
            <w:vMerge w:val="restart"/>
          </w:tcPr>
          <w:p>
            <w:pPr>
              <w:ind w:left="600"/>
              <w:spacing w:after="0"/>
              <w:rPr>
                <w:sz w:val="20"/>
                <w:szCs w:val="20"/>
                <w:color w:val="auto"/>
              </w:rPr>
            </w:pPr>
            <w:r>
              <w:rPr>
                <w:rFonts w:ascii="Arial" w:cs="Arial" w:eastAsia="Arial" w:hAnsi="Arial"/>
                <w:sz w:val="14"/>
                <w:szCs w:val="14"/>
                <w:color w:val="auto"/>
              </w:rPr>
              <w:t>Real Estate</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80"/>
              <w:spacing w:after="0" w:line="154" w:lineRule="exact"/>
              <w:rPr>
                <w:sz w:val="20"/>
                <w:szCs w:val="20"/>
                <w:color w:val="auto"/>
              </w:rPr>
            </w:pPr>
            <w:r>
              <w:rPr>
                <w:rFonts w:ascii="Arial" w:cs="Arial" w:eastAsia="Arial" w:hAnsi="Arial"/>
                <w:sz w:val="14"/>
                <w:szCs w:val="14"/>
                <w:color w:val="auto"/>
                <w:w w:val="96"/>
              </w:rPr>
              <w:t>Financial,</w:t>
            </w:r>
          </w:p>
        </w:tc>
        <w:tc>
          <w:tcPr>
            <w:tcW w:w="2060" w:type="dxa"/>
            <w:vAlign w:val="bottom"/>
            <w:gridSpan w:val="5"/>
            <w:vMerge w:val="continue"/>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10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3"/>
              </w:rPr>
              <w:t>Leasing, etc.</w:t>
            </w:r>
          </w:p>
        </w:tc>
        <w:tc>
          <w:tcPr>
            <w:tcW w:w="96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color w:val="auto"/>
              </w:rPr>
              <w:t>Commercial</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Residential</w:t>
            </w:r>
          </w:p>
        </w:tc>
        <w:tc>
          <w:tcPr>
            <w:tcW w:w="200" w:type="dxa"/>
            <w:vAlign w:val="bottom"/>
          </w:tcPr>
          <w:p>
            <w:pPr>
              <w:spacing w:after="0"/>
              <w:rPr>
                <w:sz w:val="12"/>
                <w:szCs w:val="12"/>
                <w:color w:val="auto"/>
              </w:rPr>
            </w:pPr>
          </w:p>
        </w:tc>
        <w:tc>
          <w:tcPr>
            <w:tcW w:w="106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2"/>
                <w:szCs w:val="12"/>
                <w:color w:val="auto"/>
              </w:rPr>
            </w:pPr>
          </w:p>
        </w:tc>
        <w:tc>
          <w:tcPr>
            <w:tcW w:w="900" w:type="dxa"/>
            <w:vAlign w:val="bottom"/>
            <w:gridSpan w:val="2"/>
          </w:tcPr>
          <w:p>
            <w:pPr>
              <w:jc w:val="right"/>
              <w:ind w:right="40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color w:val="auto"/>
              </w:rPr>
              <w:t>(in thousands)</w:t>
            </w: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217,733</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292,932</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237,247</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69,929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817,841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18,879,499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26,454,145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8,402,610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10,781,602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64,517,856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Purchased impaired</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14,777</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195,770</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23,551</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236,662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19,112,009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26,942,847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8,663,408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10,854,095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65,572,359</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December 31, 2013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2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118,386</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376,339</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320,360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71,773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18,571,124</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25,488,584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8,578,677</w:t>
            </w: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10,217,124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62,855,509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15,706</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283,285</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29,184</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18,705,216</w:t>
            </w:r>
          </w:p>
        </w:tc>
        <w:tc>
          <w:tcPr>
            <w:tcW w:w="2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26,148,208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8,928,221</w:t>
            </w:r>
          </w:p>
        </w:tc>
        <w:tc>
          <w:tcPr>
            <w:tcW w:w="20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10,291,514</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64,073,159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tables below summarize the Company’s loan modification activities that were considered troubled debt restructurings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and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4"/>
          </w:tcPr>
          <w:p>
            <w:pPr>
              <w:jc w:val="right"/>
              <w:ind w:right="320"/>
              <w:spacing w:after="0"/>
              <w:rPr>
                <w:sz w:val="20"/>
                <w:szCs w:val="20"/>
                <w:color w:val="auto"/>
              </w:rPr>
            </w:pPr>
            <w:r>
              <w:rPr>
                <w:rFonts w:ascii="Arial" w:cs="Arial" w:eastAsia="Arial" w:hAnsi="Arial"/>
                <w:sz w:val="14"/>
                <w:szCs w:val="14"/>
                <w:color w:val="auto"/>
                <w:w w:val="97"/>
              </w:rPr>
              <w:t>Financial effects of</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6"/>
          </w:tcPr>
          <w:p>
            <w:pPr>
              <w:jc w:val="right"/>
              <w:ind w:right="680"/>
              <w:spacing w:after="0"/>
              <w:rPr>
                <w:sz w:val="20"/>
                <w:szCs w:val="20"/>
                <w:color w:val="auto"/>
              </w:rPr>
            </w:pPr>
            <w:r>
              <w:rPr>
                <w:rFonts w:ascii="Arial" w:cs="Arial" w:eastAsia="Arial" w:hAnsi="Arial"/>
                <w:sz w:val="14"/>
                <w:szCs w:val="14"/>
                <w:color w:val="auto"/>
              </w:rPr>
              <w:t>Recorded investment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4"/>
          </w:tcPr>
          <w:p>
            <w:pPr>
              <w:jc w:val="right"/>
              <w:ind w:right="500"/>
              <w:spacing w:after="0"/>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Borders>
              <w:top w:val="single" w:sz="8" w:color="auto"/>
            </w:tcBorders>
            <w:gridSpan w:val="3"/>
          </w:tcPr>
          <w:p>
            <w:pPr>
              <w:jc w:val="right"/>
              <w:ind w:right="500"/>
              <w:spacing w:after="0" w:line="123" w:lineRule="exact"/>
              <w:rPr>
                <w:sz w:val="20"/>
                <w:szCs w:val="20"/>
                <w:color w:val="auto"/>
              </w:rPr>
            </w:pPr>
            <w:r>
              <w:rPr>
                <w:rFonts w:ascii="Arial" w:cs="Arial" w:eastAsia="Arial" w:hAnsi="Arial"/>
                <w:sz w:val="14"/>
                <w:szCs w:val="14"/>
                <w:color w:val="auto"/>
                <w:w w:val="95"/>
              </w:rPr>
              <w:t>Recorded</w:t>
            </w: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460" w:type="dxa"/>
            <w:vAlign w:val="bottom"/>
            <w:gridSpan w:val="3"/>
            <w:vMerge w:val="restart"/>
          </w:tcPr>
          <w:p>
            <w:pPr>
              <w:spacing w:after="0"/>
              <w:rPr>
                <w:sz w:val="20"/>
                <w:szCs w:val="20"/>
                <w:color w:val="auto"/>
              </w:rPr>
            </w:pPr>
            <w:r>
              <w:rPr>
                <w:rFonts w:ascii="Arial" w:cs="Arial" w:eastAsia="Arial" w:hAnsi="Arial"/>
                <w:sz w:val="14"/>
                <w:szCs w:val="14"/>
                <w:color w:val="auto"/>
              </w:rPr>
              <w:t>Three months ended September 30, 2014</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Pre-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Post-</w:t>
            </w:r>
          </w:p>
        </w:tc>
        <w:tc>
          <w:tcPr>
            <w:tcW w:w="14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Interest</w:t>
            </w:r>
          </w:p>
        </w:tc>
        <w:tc>
          <w:tcPr>
            <w:tcW w:w="0" w:type="dxa"/>
            <w:vAlign w:val="bottom"/>
          </w:tcPr>
          <w:p>
            <w:pPr>
              <w:spacing w:after="0"/>
              <w:rPr>
                <w:sz w:val="1"/>
                <w:szCs w:val="1"/>
                <w:color w:val="auto"/>
              </w:rPr>
            </w:pPr>
          </w:p>
        </w:tc>
      </w:tr>
      <w:tr>
        <w:trPr>
          <w:trHeight w:val="167"/>
        </w:trPr>
        <w:tc>
          <w:tcPr>
            <w:tcW w:w="6460" w:type="dxa"/>
            <w:vAlign w:val="bottom"/>
            <w:gridSpan w:val="3"/>
            <w:vMerge w:val="continue"/>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w w:val="88"/>
              </w:rPr>
              <w:t>Number</w:t>
            </w:r>
          </w:p>
        </w:tc>
        <w:tc>
          <w:tcPr>
            <w:tcW w:w="2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modification</w:t>
            </w:r>
          </w:p>
        </w:tc>
        <w:tc>
          <w:tcPr>
            <w:tcW w:w="3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color w:val="auto"/>
              </w:rPr>
              <w:t>modification</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700"/>
              <w:spacing w:after="0"/>
              <w:rPr>
                <w:sz w:val="20"/>
                <w:szCs w:val="20"/>
                <w:color w:val="auto"/>
              </w:rPr>
            </w:pPr>
            <w:r>
              <w:rPr>
                <w:rFonts w:ascii="Arial" w:cs="Arial" w:eastAsia="Arial" w:hAnsi="Arial"/>
                <w:sz w:val="14"/>
                <w:szCs w:val="14"/>
                <w:color w:val="auto"/>
              </w:rPr>
              <w:t>(a)</w:t>
            </w: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Borders>
              <w:top w:val="single" w:sz="8" w:color="auto"/>
            </w:tcBorders>
          </w:tcPr>
          <w:p>
            <w:pPr>
              <w:spacing w:after="0"/>
              <w:rPr>
                <w:sz w:val="12"/>
                <w:szCs w:val="12"/>
                <w:color w:val="auto"/>
              </w:rPr>
            </w:pPr>
          </w:p>
        </w:tc>
        <w:tc>
          <w:tcPr>
            <w:tcW w:w="40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color w:val="auto"/>
                <w:w w:val="95"/>
              </w:rPr>
              <w:t>(dollars in thousands)</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1,305</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1,300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340"/>
              <w:spacing w:after="0"/>
              <w:rPr>
                <w:sz w:val="20"/>
                <w:szCs w:val="20"/>
                <w:color w:val="auto"/>
              </w:rPr>
            </w:pPr>
            <w:r>
              <w:rPr>
                <w:rFonts w:ascii="Arial" w:cs="Arial" w:eastAsia="Arial" w:hAnsi="Arial"/>
                <w:sz w:val="18"/>
                <w:szCs w:val="18"/>
                <w:color w:val="auto"/>
              </w:rPr>
              <w:t>Commercial</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2,068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700"/>
              <w:spacing w:after="0"/>
              <w:rPr>
                <w:sz w:val="20"/>
                <w:szCs w:val="20"/>
                <w:color w:val="auto"/>
              </w:rPr>
            </w:pPr>
            <w:r>
              <w:rPr>
                <w:rFonts w:ascii="Arial" w:cs="Arial" w:eastAsia="Arial" w:hAnsi="Arial"/>
                <w:sz w:val="18"/>
                <w:szCs w:val="18"/>
                <w:color w:val="auto"/>
              </w:rPr>
              <w:t>Other</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650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(650)</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340"/>
              <w:spacing w:after="0"/>
              <w:rPr>
                <w:sz w:val="20"/>
                <w:szCs w:val="20"/>
                <w:color w:val="auto"/>
              </w:rPr>
            </w:pPr>
            <w:r>
              <w:rPr>
                <w:rFonts w:ascii="Arial" w:cs="Arial" w:eastAsia="Arial" w:hAnsi="Arial"/>
                <w:sz w:val="18"/>
                <w:szCs w:val="18"/>
                <w:color w:val="auto"/>
              </w:rPr>
              <w:t>Residential builder and developer</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340"/>
              <w:spacing w:after="0"/>
              <w:rPr>
                <w:sz w:val="20"/>
                <w:szCs w:val="20"/>
                <w:color w:val="auto"/>
              </w:rPr>
            </w:pPr>
            <w:r>
              <w:rPr>
                <w:rFonts w:ascii="Arial" w:cs="Arial" w:eastAsia="Arial" w:hAnsi="Arial"/>
                <w:sz w:val="18"/>
                <w:szCs w:val="18"/>
                <w:color w:val="auto"/>
              </w:rPr>
              <w:t>Other commercial construction</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340"/>
              <w:spacing w:after="0"/>
              <w:rPr>
                <w:sz w:val="20"/>
                <w:szCs w:val="20"/>
                <w:color w:val="auto"/>
              </w:rPr>
            </w:pPr>
            <w:r>
              <w:rPr>
                <w:rFonts w:ascii="Arial" w:cs="Arial" w:eastAsia="Arial" w:hAnsi="Arial"/>
                <w:sz w:val="18"/>
                <w:szCs w:val="18"/>
                <w:color w:val="auto"/>
              </w:rPr>
              <w:t>Residential</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1,100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1,136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36</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Residential Alt-A</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349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340"/>
              <w:spacing w:after="0"/>
              <w:rPr>
                <w:sz w:val="20"/>
                <w:szCs w:val="20"/>
                <w:color w:val="auto"/>
              </w:rPr>
            </w:pPr>
            <w:r>
              <w:rPr>
                <w:rFonts w:ascii="Arial" w:cs="Arial" w:eastAsia="Arial" w:hAnsi="Arial"/>
                <w:sz w:val="18"/>
                <w:szCs w:val="18"/>
                <w:color w:val="auto"/>
              </w:rPr>
              <w:t>Home equity lines and loans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340"/>
              <w:spacing w:after="0"/>
              <w:rPr>
                <w:sz w:val="20"/>
                <w:szCs w:val="20"/>
                <w:color w:val="auto"/>
              </w:rPr>
            </w:pPr>
            <w:r>
              <w:rPr>
                <w:rFonts w:ascii="Arial" w:cs="Arial" w:eastAsia="Arial" w:hAnsi="Arial"/>
                <w:sz w:val="18"/>
                <w:szCs w:val="18"/>
                <w:color w:val="auto"/>
              </w:rPr>
              <w:t>Automobile</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700"/>
              <w:spacing w:after="0"/>
              <w:rPr>
                <w:sz w:val="20"/>
                <w:szCs w:val="20"/>
                <w:color w:val="auto"/>
              </w:rPr>
            </w:pPr>
            <w:r>
              <w:rPr>
                <w:rFonts w:ascii="Arial" w:cs="Arial" w:eastAsia="Arial" w:hAnsi="Arial"/>
                <w:sz w:val="18"/>
                <w:szCs w:val="18"/>
                <w:color w:val="auto"/>
              </w:rPr>
              <w:t>Interest rate reduction</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348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Interest rate reduction</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511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9,009</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8,388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460" w:hanging="452"/>
        <w:spacing w:after="0"/>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43" w:lineRule="exact"/>
        <w:rPr>
          <w:rFonts w:ascii="Arial" w:cs="Arial" w:eastAsia="Arial" w:hAnsi="Arial"/>
          <w:sz w:val="18"/>
          <w:szCs w:val="18"/>
          <w:i w:val="1"/>
          <w:iCs w:val="1"/>
          <w:color w:val="auto"/>
        </w:rPr>
      </w:pPr>
    </w:p>
    <w:p>
      <w:pPr>
        <w:ind w:left="5620" w:hanging="101"/>
        <w:spacing w:after="0"/>
        <w:tabs>
          <w:tab w:leader="none" w:pos="5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ind w:left="40"/>
              <w:spacing w:after="0"/>
              <w:rPr>
                <w:sz w:val="20"/>
                <w:szCs w:val="20"/>
                <w:color w:val="auto"/>
              </w:rPr>
            </w:pPr>
            <w:r>
              <w:rPr>
                <w:rFonts w:ascii="Arial" w:cs="Arial" w:eastAsia="Arial" w:hAnsi="Arial"/>
                <w:sz w:val="14"/>
                <w:szCs w:val="14"/>
                <w:color w:val="auto"/>
              </w:rPr>
              <w:t>Financial effects of</w:t>
            </w:r>
          </w:p>
        </w:tc>
        <w:tc>
          <w:tcPr>
            <w:tcW w:w="0" w:type="dxa"/>
            <w:vAlign w:val="bottom"/>
          </w:tcPr>
          <w:p>
            <w:pPr>
              <w:spacing w:after="0"/>
              <w:rPr>
                <w:sz w:val="1"/>
                <w:szCs w:val="1"/>
                <w:color w:val="auto"/>
              </w:rPr>
            </w:pPr>
          </w:p>
        </w:tc>
      </w:tr>
      <w:tr>
        <w:trPr>
          <w:trHeight w:val="167"/>
        </w:trPr>
        <w:tc>
          <w:tcPr>
            <w:tcW w:w="23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6"/>
          </w:tcPr>
          <w:p>
            <w:pPr>
              <w:ind w:left="160"/>
              <w:spacing w:after="0"/>
              <w:rPr>
                <w:sz w:val="20"/>
                <w:szCs w:val="20"/>
                <w:color w:val="auto"/>
              </w:rPr>
            </w:pPr>
            <w:r>
              <w:rPr>
                <w:rFonts w:ascii="Arial" w:cs="Arial" w:eastAsia="Arial" w:hAnsi="Arial"/>
                <w:sz w:val="14"/>
                <w:szCs w:val="14"/>
                <w:color w:val="auto"/>
              </w:rPr>
              <w:t>Recorded investment</w:t>
            </w:r>
          </w:p>
        </w:tc>
        <w:tc>
          <w:tcPr>
            <w:tcW w:w="120" w:type="dxa"/>
            <w:vAlign w:val="bottom"/>
          </w:tcPr>
          <w:p>
            <w:pPr>
              <w:spacing w:after="0"/>
              <w:rPr>
                <w:sz w:val="14"/>
                <w:szCs w:val="14"/>
                <w:color w:val="auto"/>
              </w:rPr>
            </w:pPr>
          </w:p>
        </w:tc>
        <w:tc>
          <w:tcPr>
            <w:tcW w:w="1440" w:type="dxa"/>
            <w:vAlign w:val="bottom"/>
            <w:gridSpan w:val="4"/>
          </w:tcPr>
          <w:p>
            <w:pPr>
              <w:ind w:left="240"/>
              <w:spacing w:after="0"/>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23"/>
        </w:trPr>
        <w:tc>
          <w:tcPr>
            <w:tcW w:w="238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440"/>
              <w:spacing w:after="0" w:line="123" w:lineRule="exact"/>
              <w:rPr>
                <w:sz w:val="20"/>
                <w:szCs w:val="20"/>
                <w:color w:val="auto"/>
              </w:rPr>
            </w:pPr>
            <w:r>
              <w:rPr>
                <w:rFonts w:ascii="Arial" w:cs="Arial" w:eastAsia="Arial" w:hAnsi="Arial"/>
                <w:sz w:val="14"/>
                <w:szCs w:val="14"/>
                <w:color w:val="auto"/>
                <w:w w:val="92"/>
              </w:rPr>
              <w:t>Recorded</w:t>
            </w: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760" w:type="dxa"/>
            <w:vAlign w:val="bottom"/>
            <w:gridSpan w:val="2"/>
            <w:vMerge w:val="restart"/>
          </w:tcPr>
          <w:p>
            <w:pPr>
              <w:spacing w:after="0"/>
              <w:rPr>
                <w:sz w:val="20"/>
                <w:szCs w:val="20"/>
                <w:color w:val="auto"/>
              </w:rPr>
            </w:pPr>
            <w:r>
              <w:rPr>
                <w:rFonts w:ascii="Arial" w:cs="Arial" w:eastAsia="Arial" w:hAnsi="Arial"/>
                <w:sz w:val="14"/>
                <w:szCs w:val="14"/>
                <w:color w:val="auto"/>
              </w:rPr>
              <w:t>Three months ended September 30, 2013</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Pre-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1"/>
              </w:rPr>
              <w:t>Post-</w:t>
            </w: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9"/>
              </w:rPr>
              <w:t>Interest</w:t>
            </w:r>
          </w:p>
        </w:tc>
        <w:tc>
          <w:tcPr>
            <w:tcW w:w="0" w:type="dxa"/>
            <w:vAlign w:val="bottom"/>
          </w:tcPr>
          <w:p>
            <w:pPr>
              <w:spacing w:after="0"/>
              <w:rPr>
                <w:sz w:val="1"/>
                <w:szCs w:val="1"/>
                <w:color w:val="auto"/>
              </w:rPr>
            </w:pPr>
          </w:p>
        </w:tc>
      </w:tr>
      <w:tr>
        <w:trPr>
          <w:trHeight w:val="167"/>
        </w:trPr>
        <w:tc>
          <w:tcPr>
            <w:tcW w:w="6760" w:type="dxa"/>
            <w:vAlign w:val="bottom"/>
            <w:gridSpan w:val="2"/>
            <w:vMerge w:val="continue"/>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color w:val="auto"/>
                <w:w w:val="96"/>
              </w:rPr>
              <w:t>Number</w:t>
            </w:r>
          </w:p>
        </w:tc>
        <w:tc>
          <w:tcPr>
            <w:tcW w:w="360" w:type="dxa"/>
            <w:vAlign w:val="bottom"/>
          </w:tcPr>
          <w:p>
            <w:pPr>
              <w:spacing w:after="0"/>
              <w:rPr>
                <w:sz w:val="14"/>
                <w:szCs w:val="14"/>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4"/>
                <w:szCs w:val="14"/>
                <w:color w:val="auto"/>
                <w:w w:val="99"/>
              </w:rPr>
              <w:t>modification</w:t>
            </w:r>
          </w:p>
        </w:tc>
        <w:tc>
          <w:tcPr>
            <w:tcW w:w="360" w:type="dxa"/>
            <w:vAlign w:val="bottom"/>
          </w:tcPr>
          <w:p>
            <w:pPr>
              <w:spacing w:after="0"/>
              <w:rPr>
                <w:sz w:val="14"/>
                <w:szCs w:val="14"/>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color w:val="auto"/>
                <w:w w:val="99"/>
              </w:rPr>
              <w:t>modification</w:t>
            </w:r>
          </w:p>
        </w:tc>
        <w:tc>
          <w:tcPr>
            <w:tcW w:w="12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(a)</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2"/>
        </w:trPr>
        <w:tc>
          <w:tcPr>
            <w:tcW w:w="2380" w:type="dxa"/>
            <w:vAlign w:val="bottom"/>
            <w:tcBorders>
              <w:top w:val="single" w:sz="8" w:color="auto"/>
            </w:tcBorders>
          </w:tcPr>
          <w:p>
            <w:pPr>
              <w:spacing w:after="0"/>
              <w:rPr>
                <w:sz w:val="12"/>
                <w:szCs w:val="12"/>
                <w:color w:val="auto"/>
              </w:rPr>
            </w:pPr>
          </w:p>
        </w:tc>
        <w:tc>
          <w:tcPr>
            <w:tcW w:w="43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4"/>
          </w:tcPr>
          <w:p>
            <w:pPr>
              <w:ind w:left="40"/>
              <w:spacing w:after="0" w:line="142" w:lineRule="exact"/>
              <w:rPr>
                <w:sz w:val="20"/>
                <w:szCs w:val="20"/>
                <w:color w:val="auto"/>
              </w:rPr>
            </w:pPr>
            <w:r>
              <w:rPr>
                <w:rFonts w:ascii="Arial" w:cs="Arial" w:eastAsia="Arial" w:hAnsi="Arial"/>
                <w:sz w:val="14"/>
                <w:szCs w:val="14"/>
                <w:color w:val="auto"/>
              </w:rPr>
              <w:t>(dollars in thousands)</w:t>
            </w: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5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2,407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2,266</w:t>
            </w: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(141)</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294</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374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2"/>
          </w:tcPr>
          <w:p>
            <w:pPr>
              <w:ind w:left="720"/>
              <w:spacing w:after="0"/>
              <w:rPr>
                <w:sz w:val="20"/>
                <w:szCs w:val="20"/>
                <w:color w:val="auto"/>
              </w:rPr>
            </w:pPr>
            <w:r>
              <w:rPr>
                <w:rFonts w:ascii="Arial" w:cs="Arial" w:eastAsia="Arial" w:hAnsi="Arial"/>
                <w:sz w:val="18"/>
                <w:szCs w:val="18"/>
                <w:color w:val="auto"/>
              </w:rPr>
              <w:t>Other</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449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26</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396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Other commercial construction</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1,258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 Alt-A</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764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164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Home equity lines and loans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Automobile</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2"/>
          </w:tcPr>
          <w:p>
            <w:pPr>
              <w:ind w:left="720"/>
              <w:spacing w:after="0"/>
              <w:rPr>
                <w:sz w:val="20"/>
                <w:szCs w:val="20"/>
                <w:color w:val="auto"/>
              </w:rPr>
            </w:pPr>
            <w:r>
              <w:rPr>
                <w:rFonts w:ascii="Arial" w:cs="Arial" w:eastAsia="Arial" w:hAnsi="Arial"/>
                <w:sz w:val="18"/>
                <w:szCs w:val="18"/>
                <w:color w:val="auto"/>
              </w:rPr>
              <w:t>Interest rate reduction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551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18,441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19,189</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748</w:t>
            </w:r>
          </w:p>
        </w:tc>
        <w:tc>
          <w:tcPr>
            <w:tcW w:w="4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(830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460" w:hanging="452"/>
        <w:spacing w:after="0"/>
        <w:tabs>
          <w:tab w:leader="none" w:pos="4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43" w:lineRule="exact"/>
        <w:rPr>
          <w:rFonts w:ascii="Arial" w:cs="Arial" w:eastAsia="Arial" w:hAnsi="Arial"/>
          <w:sz w:val="18"/>
          <w:szCs w:val="18"/>
          <w:i w:val="1"/>
          <w:iCs w:val="1"/>
          <w:color w:val="auto"/>
        </w:rPr>
      </w:pPr>
    </w:p>
    <w:p>
      <w:pPr>
        <w:ind w:left="5620" w:hanging="101"/>
        <w:spacing w:after="0"/>
        <w:tabs>
          <w:tab w:leader="none" w:pos="5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tables below summarize the Company’s loan modification activities that were considered troubled debt restructurings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and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6"/>
          </w:tcPr>
          <w:p>
            <w:pPr>
              <w:ind w:left="80"/>
              <w:spacing w:after="0"/>
              <w:rPr>
                <w:sz w:val="20"/>
                <w:szCs w:val="20"/>
                <w:color w:val="auto"/>
              </w:rPr>
            </w:pPr>
            <w:r>
              <w:rPr>
                <w:rFonts w:ascii="Arial" w:cs="Arial" w:eastAsia="Arial" w:hAnsi="Arial"/>
                <w:sz w:val="14"/>
                <w:szCs w:val="14"/>
                <w:color w:val="auto"/>
              </w:rPr>
              <w:t>Financial effects of</w:t>
            </w:r>
          </w:p>
        </w:tc>
        <w:tc>
          <w:tcPr>
            <w:tcW w:w="0" w:type="dxa"/>
            <w:vAlign w:val="bottom"/>
          </w:tcPr>
          <w:p>
            <w:pPr>
              <w:spacing w:after="0"/>
              <w:rPr>
                <w:sz w:val="1"/>
                <w:szCs w:val="1"/>
                <w:color w:val="auto"/>
              </w:rPr>
            </w:pPr>
          </w:p>
        </w:tc>
      </w:tr>
      <w:tr>
        <w:trPr>
          <w:trHeight w:val="167"/>
        </w:trPr>
        <w:tc>
          <w:tcPr>
            <w:tcW w:w="23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6"/>
          </w:tcPr>
          <w:p>
            <w:pPr>
              <w:jc w:val="right"/>
              <w:ind w:right="640"/>
              <w:spacing w:after="0"/>
              <w:rPr>
                <w:sz w:val="20"/>
                <w:szCs w:val="20"/>
                <w:color w:val="auto"/>
              </w:rPr>
            </w:pPr>
            <w:r>
              <w:rPr>
                <w:rFonts w:ascii="Arial" w:cs="Arial" w:eastAsia="Arial" w:hAnsi="Arial"/>
                <w:sz w:val="14"/>
                <w:szCs w:val="14"/>
                <w:color w:val="auto"/>
              </w:rPr>
              <w:t>Recorded investment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6"/>
          </w:tcPr>
          <w:p>
            <w:pPr>
              <w:jc w:val="right"/>
              <w:ind w:right="460"/>
              <w:spacing w:after="0"/>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23"/>
        </w:trPr>
        <w:tc>
          <w:tcPr>
            <w:tcW w:w="23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top w:val="single" w:sz="8" w:color="auto"/>
            </w:tcBorders>
            <w:gridSpan w:val="3"/>
          </w:tcPr>
          <w:p>
            <w:pPr>
              <w:jc w:val="right"/>
              <w:ind w:right="180"/>
              <w:spacing w:after="0" w:line="123" w:lineRule="exact"/>
              <w:rPr>
                <w:sz w:val="20"/>
                <w:szCs w:val="20"/>
                <w:color w:val="auto"/>
              </w:rPr>
            </w:pPr>
            <w:r>
              <w:rPr>
                <w:rFonts w:ascii="Arial" w:cs="Arial" w:eastAsia="Arial" w:hAnsi="Arial"/>
                <w:sz w:val="14"/>
                <w:szCs w:val="14"/>
                <w:color w:val="auto"/>
                <w:w w:val="95"/>
              </w:rPr>
              <w:t>Recorded</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20" w:type="dxa"/>
            <w:vAlign w:val="bottom"/>
            <w:gridSpan w:val="2"/>
            <w:vMerge w:val="restart"/>
          </w:tcPr>
          <w:p>
            <w:pPr>
              <w:spacing w:after="0"/>
              <w:rPr>
                <w:sz w:val="20"/>
                <w:szCs w:val="20"/>
                <w:color w:val="auto"/>
              </w:rPr>
            </w:pPr>
            <w:r>
              <w:rPr>
                <w:rFonts w:ascii="Arial" w:cs="Arial" w:eastAsia="Arial" w:hAnsi="Arial"/>
                <w:sz w:val="14"/>
                <w:szCs w:val="14"/>
                <w:color w:val="auto"/>
              </w:rPr>
              <w:t>Nine months ended September 30, 2014</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Pre-</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Post-</w:t>
            </w:r>
          </w:p>
        </w:tc>
        <w:tc>
          <w:tcPr>
            <w:tcW w:w="6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16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Interest</w:t>
            </w:r>
          </w:p>
        </w:tc>
        <w:tc>
          <w:tcPr>
            <w:tcW w:w="0" w:type="dxa"/>
            <w:vAlign w:val="bottom"/>
          </w:tcPr>
          <w:p>
            <w:pPr>
              <w:spacing w:after="0"/>
              <w:rPr>
                <w:sz w:val="1"/>
                <w:szCs w:val="1"/>
                <w:color w:val="auto"/>
              </w:rPr>
            </w:pPr>
          </w:p>
        </w:tc>
      </w:tr>
      <w:tr>
        <w:trPr>
          <w:trHeight w:val="167"/>
        </w:trPr>
        <w:tc>
          <w:tcPr>
            <w:tcW w:w="6620" w:type="dxa"/>
            <w:vAlign w:val="bottom"/>
            <w:gridSpan w:val="2"/>
            <w:vMerge w:val="continue"/>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color w:val="auto"/>
                <w:w w:val="96"/>
              </w:rPr>
              <w:t>Number</w:t>
            </w:r>
          </w:p>
        </w:tc>
        <w:tc>
          <w:tcPr>
            <w:tcW w:w="36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rPr>
              <w:t>modification</w:t>
            </w:r>
          </w:p>
        </w:tc>
        <w:tc>
          <w:tcPr>
            <w:tcW w:w="3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color w:val="auto"/>
              </w:rPr>
              <w:t>modification</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color w:val="auto"/>
              </w:rPr>
              <w:t>(a)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2"/>
        </w:trPr>
        <w:tc>
          <w:tcPr>
            <w:tcW w:w="2320" w:type="dxa"/>
            <w:vAlign w:val="bottom"/>
            <w:tcBorders>
              <w:top w:val="single" w:sz="8" w:color="auto"/>
            </w:tcBorders>
          </w:tcPr>
          <w:p>
            <w:pPr>
              <w:spacing w:after="0"/>
              <w:rPr>
                <w:sz w:val="12"/>
                <w:szCs w:val="12"/>
                <w:color w:val="auto"/>
              </w:rPr>
            </w:pPr>
          </w:p>
        </w:tc>
        <w:tc>
          <w:tcPr>
            <w:tcW w:w="43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color w:val="auto"/>
                <w:w w:val="97"/>
              </w:rPr>
              <w:t>(dollars in thousands)</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20,673</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20,499</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19,593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19,593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9,836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9,766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17,452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17,384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tcPr>
          <w:p>
            <w:pPr>
              <w:ind w:left="720"/>
              <w:spacing w:after="0"/>
              <w:rPr>
                <w:sz w:val="20"/>
                <w:szCs w:val="20"/>
                <w:color w:val="auto"/>
              </w:rPr>
            </w:pPr>
            <w:r>
              <w:rPr>
                <w:rFonts w:ascii="Arial" w:cs="Arial" w:eastAsia="Arial" w:hAnsi="Arial"/>
                <w:sz w:val="18"/>
                <w:szCs w:val="18"/>
                <w:color w:val="auto"/>
              </w:rPr>
              <w:t>Other</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650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Interest rate reduction</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662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892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940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1,639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commercial construction</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6,703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6,611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1,842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1,926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Interest rate reduction</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6620" w:type="dxa"/>
            <w:vAlign w:val="bottom"/>
            <w:gridSpan w:val="2"/>
          </w:tcPr>
          <w:p>
            <w:pPr>
              <w:ind w:left="720"/>
              <w:spacing w:after="0"/>
              <w:rPr>
                <w:sz w:val="20"/>
                <w:szCs w:val="20"/>
                <w:color w:val="auto"/>
              </w:rPr>
            </w:pPr>
            <w:r>
              <w:rPr>
                <w:rFonts w:ascii="Arial" w:cs="Arial" w:eastAsia="Arial" w:hAnsi="Arial"/>
                <w:sz w:val="18"/>
                <w:szCs w:val="18"/>
                <w:color w:val="auto"/>
              </w:rPr>
              <w:t>Other</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4,211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4,287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Residential Alt-A</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3,134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Home equity lines and loans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tcPr>
          <w:p>
            <w:pPr>
              <w:ind w:left="720"/>
              <w:spacing w:after="0"/>
              <w:rPr>
                <w:sz w:val="20"/>
                <w:szCs w:val="20"/>
                <w:color w:val="auto"/>
              </w:rPr>
            </w:pPr>
            <w:r>
              <w:rPr>
                <w:rFonts w:ascii="Arial" w:cs="Arial" w:eastAsia="Arial" w:hAnsi="Arial"/>
                <w:sz w:val="18"/>
                <w:szCs w:val="18"/>
                <w:color w:val="auto"/>
              </w:rPr>
              <w:t>Interest rate reduction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341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341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4,147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Automobile</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2,599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tcPr>
          <w:p>
            <w:pPr>
              <w:ind w:left="720"/>
              <w:spacing w:after="0"/>
              <w:rPr>
                <w:sz w:val="20"/>
                <w:szCs w:val="20"/>
                <w:color w:val="auto"/>
              </w:rPr>
            </w:pPr>
            <w:r>
              <w:rPr>
                <w:rFonts w:ascii="Arial" w:cs="Arial" w:eastAsia="Arial" w:hAnsi="Arial"/>
                <w:sz w:val="18"/>
                <w:szCs w:val="18"/>
                <w:color w:val="auto"/>
              </w:rPr>
              <w:t>Interest rate reduction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939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939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Interest rate reduction</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6620" w:type="dxa"/>
            <w:vAlign w:val="bottom"/>
            <w:gridSpan w:val="2"/>
          </w:tcPr>
          <w:p>
            <w:pPr>
              <w:ind w:left="720"/>
              <w:spacing w:after="0"/>
              <w:rPr>
                <w:sz w:val="20"/>
                <w:szCs w:val="20"/>
                <w:color w:val="auto"/>
              </w:rPr>
            </w:pPr>
            <w:r>
              <w:rPr>
                <w:rFonts w:ascii="Arial" w:cs="Arial" w:eastAsia="Arial" w:hAnsi="Arial"/>
                <w:sz w:val="18"/>
                <w:szCs w:val="18"/>
                <w:color w:val="auto"/>
              </w:rPr>
              <w:t>Other</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1,883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98,923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98,185</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(2,385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460" w:hanging="452"/>
        <w:spacing w:after="0"/>
        <w:tabs>
          <w:tab w:leader="none" w:pos="4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43" w:lineRule="exact"/>
        <w:rPr>
          <w:rFonts w:ascii="Arial" w:cs="Arial" w:eastAsia="Arial" w:hAnsi="Arial"/>
          <w:sz w:val="18"/>
          <w:szCs w:val="18"/>
          <w:i w:val="1"/>
          <w:iCs w:val="1"/>
          <w:color w:val="auto"/>
        </w:rPr>
      </w:pPr>
    </w:p>
    <w:p>
      <w:pPr>
        <w:ind w:left="5620" w:hanging="101"/>
        <w:spacing w:after="0"/>
        <w:tabs>
          <w:tab w:leader="none" w:pos="5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6"/>
          </w:tcPr>
          <w:p>
            <w:pPr>
              <w:ind w:left="120"/>
              <w:spacing w:after="0"/>
              <w:rPr>
                <w:sz w:val="20"/>
                <w:szCs w:val="20"/>
                <w:color w:val="auto"/>
              </w:rPr>
            </w:pPr>
            <w:r>
              <w:rPr>
                <w:rFonts w:ascii="Arial" w:cs="Arial" w:eastAsia="Arial" w:hAnsi="Arial"/>
                <w:sz w:val="14"/>
                <w:szCs w:val="14"/>
                <w:color w:val="auto"/>
              </w:rPr>
              <w:t>Financial effects of</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6"/>
          </w:tcPr>
          <w:p>
            <w:pPr>
              <w:jc w:val="right"/>
              <w:ind w:right="640"/>
              <w:spacing w:after="0"/>
              <w:rPr>
                <w:sz w:val="20"/>
                <w:szCs w:val="20"/>
                <w:color w:val="auto"/>
              </w:rPr>
            </w:pPr>
            <w:r>
              <w:rPr>
                <w:rFonts w:ascii="Arial" w:cs="Arial" w:eastAsia="Arial" w:hAnsi="Arial"/>
                <w:sz w:val="14"/>
                <w:szCs w:val="14"/>
                <w:color w:val="auto"/>
              </w:rPr>
              <w:t>Recorded investment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6"/>
          </w:tcPr>
          <w:p>
            <w:pPr>
              <w:jc w:val="right"/>
              <w:ind w:right="540"/>
              <w:spacing w:after="0"/>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top w:val="single" w:sz="8" w:color="auto"/>
            </w:tcBorders>
            <w:gridSpan w:val="3"/>
          </w:tcPr>
          <w:p>
            <w:pPr>
              <w:jc w:val="right"/>
              <w:ind w:right="260"/>
              <w:spacing w:after="0" w:line="123" w:lineRule="exact"/>
              <w:rPr>
                <w:sz w:val="20"/>
                <w:szCs w:val="20"/>
                <w:color w:val="auto"/>
              </w:rPr>
            </w:pPr>
            <w:r>
              <w:rPr>
                <w:rFonts w:ascii="Arial" w:cs="Arial" w:eastAsia="Arial" w:hAnsi="Arial"/>
                <w:sz w:val="14"/>
                <w:szCs w:val="14"/>
                <w:color w:val="auto"/>
                <w:w w:val="95"/>
              </w:rPr>
              <w:t>Recorded</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80" w:type="dxa"/>
            <w:vAlign w:val="bottom"/>
            <w:gridSpan w:val="3"/>
            <w:vMerge w:val="restart"/>
          </w:tcPr>
          <w:p>
            <w:pPr>
              <w:spacing w:after="0"/>
              <w:rPr>
                <w:sz w:val="20"/>
                <w:szCs w:val="20"/>
                <w:color w:val="auto"/>
              </w:rPr>
            </w:pPr>
            <w:r>
              <w:rPr>
                <w:rFonts w:ascii="Arial" w:cs="Arial" w:eastAsia="Arial" w:hAnsi="Arial"/>
                <w:sz w:val="14"/>
                <w:szCs w:val="14"/>
                <w:color w:val="auto"/>
              </w:rPr>
              <w:t>Nine months ended September 30, 2013</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Post-</w:t>
            </w:r>
          </w:p>
        </w:tc>
        <w:tc>
          <w:tcPr>
            <w:tcW w:w="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Interest</w:t>
            </w:r>
          </w:p>
        </w:tc>
        <w:tc>
          <w:tcPr>
            <w:tcW w:w="0" w:type="dxa"/>
            <w:vAlign w:val="bottom"/>
          </w:tcPr>
          <w:p>
            <w:pPr>
              <w:spacing w:after="0"/>
              <w:rPr>
                <w:sz w:val="1"/>
                <w:szCs w:val="1"/>
                <w:color w:val="auto"/>
              </w:rPr>
            </w:pPr>
          </w:p>
        </w:tc>
      </w:tr>
      <w:tr>
        <w:trPr>
          <w:trHeight w:val="167"/>
        </w:trPr>
        <w:tc>
          <w:tcPr>
            <w:tcW w:w="6580" w:type="dxa"/>
            <w:vAlign w:val="bottom"/>
            <w:gridSpan w:val="3"/>
            <w:vMerge w:val="continue"/>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color w:val="auto"/>
              </w:rPr>
              <w:t>Number</w:t>
            </w:r>
          </w:p>
        </w:tc>
        <w:tc>
          <w:tcPr>
            <w:tcW w:w="18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color w:val="auto"/>
              </w:rPr>
              <w:t>modification</w:t>
            </w:r>
          </w:p>
        </w:tc>
        <w:tc>
          <w:tcPr>
            <w:tcW w:w="3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color w:val="auto"/>
              </w:rPr>
              <w:t>modification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120"/>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Borders>
              <w:top w:val="single" w:sz="8" w:color="auto"/>
            </w:tcBorders>
          </w:tcPr>
          <w:p>
            <w:pPr>
              <w:spacing w:after="0"/>
              <w:rPr>
                <w:sz w:val="12"/>
                <w:szCs w:val="12"/>
                <w:color w:val="auto"/>
              </w:rPr>
            </w:pPr>
          </w:p>
        </w:tc>
        <w:tc>
          <w:tcPr>
            <w:tcW w:w="42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color w:val="auto"/>
                <w:w w:val="97"/>
              </w:rPr>
              <w:t>(dollars in thousands)</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9,283</w:t>
            </w:r>
          </w:p>
        </w:tc>
        <w:tc>
          <w:tcPr>
            <w:tcW w:w="60" w:type="dxa"/>
            <w:vAlign w:val="bottom"/>
          </w:tcPr>
          <w:p>
            <w:pPr>
              <w:spacing w:after="0"/>
              <w:rPr>
                <w:sz w:val="18"/>
                <w:szCs w:val="18"/>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9,070</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50,433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50,924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1,696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38,187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38,027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Other</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449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19,102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Other</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4,039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3,888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15,580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Other commercial construction</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Residential</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Other</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72,917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69,734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(3,183)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Residential Alt-A</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2,426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2,715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Home equity lines and loans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Interest rate reduction</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1,299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Automobile</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4,933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4,933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Interest rate reduction</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Other</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274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Interest rate reduction</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2,394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2,394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233,447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229,746</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(3,701)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460" w:hanging="452"/>
        <w:spacing w:after="0"/>
        <w:tabs>
          <w:tab w:leader="none" w:pos="4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21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September 30, 2014 and for which there was a subsequent payment default during the nine-month period ended September 30, 2014 were $3 million. Loans that were modified as troubled debt restructurings during the twelve months ended September 30, 2013 and for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which there was a subsequent payment default during the nine-month period ended September 30, 2013 were $20 million (largely commercial real estate loans).</w:t>
      </w:r>
    </w:p>
    <w:p>
      <w:pPr>
        <w:spacing w:after="0" w:line="315"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M&amp;T had $835 million of fixed and floating rate junior subordinated deferrable interest debentures (“Junior Subordinated Debentures”) outstanding at September 30, 2014 which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 the Federal Reserve Board’s current risk-based capital guidelines, the Capital Securities are includable in M&amp;T’s Tier 1 capital. However, in July 2013, the Federal Reserve Board, the Office of the Comptroller of the Currency and the Federal Deposit Insurance Corporation issued a final rule to comprehensively revise the capital framework for the U.S. banking sector. Under that rule, trust preferred capital securities will be phased out from inclusion in Tier 1 capital such that in 2015 only 25% of then-outstanding securities will be included in Tier 1 capital and beginning in 2016 none of the securities will be included in Tier 1 capital.</w:t>
      </w:r>
    </w:p>
    <w:p>
      <w:pPr>
        <w:spacing w:after="0" w:line="18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16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19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On February 27, 2014, M&amp;T redeemed all of the issued and outstanding 8.5% $350 million trust preferred securities issued by M&amp;T Capital Trust IV and the related Junior Subordinated Debentures held by M&amp;T Capital Trust IV.</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Also included in long-term borrowings are agreements to repurchase securities of $1.4 billion at each of September 30, 2014 and December 31, 2013. The agreements are subject to legally enforceable master netting arrangements, however, the Company has not offset any amounts related to these agreements in its consolidated financial statements. The Company posted collateral of $1.5 billion at September 30, 2014 and $1.6 billion at December 31, 2013.</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Issued and outstanding preferred stock of M&amp;T is presented below:</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400" w:type="dxa"/>
            <w:vAlign w:val="bottom"/>
            <w:gridSpan w:val="2"/>
          </w:tcPr>
          <w:p>
            <w:pPr>
              <w:jc w:val="center"/>
              <w:ind w:right="700"/>
              <w:spacing w:after="0"/>
              <w:rPr>
                <w:sz w:val="20"/>
                <w:szCs w:val="20"/>
                <w:color w:val="auto"/>
              </w:rPr>
            </w:pPr>
            <w:r>
              <w:rPr>
                <w:rFonts w:ascii="Arial" w:cs="Arial" w:eastAsia="Arial" w:hAnsi="Arial"/>
                <w:sz w:val="14"/>
                <w:szCs w:val="14"/>
                <w:color w:val="auto"/>
                <w:w w:val="85"/>
              </w:rPr>
              <w:t>Shares</w:t>
            </w:r>
          </w:p>
        </w:tc>
        <w:tc>
          <w:tcPr>
            <w:tcW w:w="200" w:type="dxa"/>
            <w:vAlign w:val="bottom"/>
          </w:tcPr>
          <w:p>
            <w:pPr>
              <w:spacing w:after="0"/>
              <w:rPr>
                <w:sz w:val="14"/>
                <w:szCs w:val="14"/>
                <w:color w:val="auto"/>
              </w:rPr>
            </w:pPr>
          </w:p>
        </w:tc>
        <w:tc>
          <w:tcPr>
            <w:tcW w:w="1320" w:type="dxa"/>
            <w:vAlign w:val="bottom"/>
          </w:tcPr>
          <w:p>
            <w:pPr>
              <w:jc w:val="right"/>
              <w:ind w:right="598"/>
              <w:spacing w:after="0"/>
              <w:rPr>
                <w:sz w:val="20"/>
                <w:szCs w:val="20"/>
                <w:color w:val="auto"/>
              </w:rPr>
            </w:pPr>
            <w:r>
              <w:rPr>
                <w:rFonts w:ascii="Arial" w:cs="Arial" w:eastAsia="Arial" w:hAnsi="Arial"/>
                <w:sz w:val="14"/>
                <w:szCs w:val="14"/>
                <w:color w:val="auto"/>
              </w:rPr>
              <w:t>Carrying</w:t>
            </w:r>
          </w:p>
        </w:tc>
        <w:tc>
          <w:tcPr>
            <w:tcW w:w="64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w w:val="98"/>
              </w:rPr>
              <w:t>Carrying</w:t>
            </w:r>
          </w:p>
        </w:tc>
      </w:tr>
      <w:tr>
        <w:trPr>
          <w:trHeight w:val="149"/>
        </w:trPr>
        <w:tc>
          <w:tcPr>
            <w:tcW w:w="5080" w:type="dxa"/>
            <w:vAlign w:val="bottom"/>
          </w:tcPr>
          <w:p>
            <w:pPr>
              <w:spacing w:after="0"/>
              <w:rPr>
                <w:sz w:val="12"/>
                <w:szCs w:val="12"/>
                <w:color w:val="auto"/>
              </w:rPr>
            </w:pPr>
          </w:p>
        </w:tc>
        <w:tc>
          <w:tcPr>
            <w:tcW w:w="140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88"/>
              </w:rPr>
              <w:t>issued and</w:t>
            </w:r>
          </w:p>
        </w:tc>
        <w:tc>
          <w:tcPr>
            <w:tcW w:w="200" w:type="dxa"/>
            <w:vAlign w:val="bottom"/>
          </w:tcPr>
          <w:p>
            <w:pPr>
              <w:spacing w:after="0"/>
              <w:rPr>
                <w:sz w:val="12"/>
                <w:szCs w:val="12"/>
                <w:color w:val="auto"/>
              </w:rPr>
            </w:pPr>
          </w:p>
        </w:tc>
        <w:tc>
          <w:tcPr>
            <w:tcW w:w="1320" w:type="dxa"/>
            <w:vAlign w:val="bottom"/>
          </w:tcPr>
          <w:p>
            <w:pPr>
              <w:jc w:val="right"/>
              <w:ind w:right="698"/>
              <w:spacing w:after="0" w:line="149" w:lineRule="exact"/>
              <w:rPr>
                <w:sz w:val="20"/>
                <w:szCs w:val="20"/>
                <w:color w:val="auto"/>
              </w:rPr>
            </w:pPr>
            <w:r>
              <w:rPr>
                <w:rFonts w:ascii="Arial" w:cs="Arial" w:eastAsia="Arial" w:hAnsi="Arial"/>
                <w:sz w:val="14"/>
                <w:szCs w:val="14"/>
                <w:color w:val="auto"/>
              </w:rPr>
              <w:t>value</w:t>
            </w:r>
          </w:p>
        </w:tc>
        <w:tc>
          <w:tcPr>
            <w:tcW w:w="640" w:type="dxa"/>
            <w:vAlign w:val="bottom"/>
          </w:tcPr>
          <w:p>
            <w:pPr>
              <w:spacing w:after="0"/>
              <w:rPr>
                <w:sz w:val="12"/>
                <w:szCs w:val="12"/>
                <w:color w:val="auto"/>
              </w:rPr>
            </w:pPr>
          </w:p>
        </w:tc>
        <w:tc>
          <w:tcPr>
            <w:tcW w:w="9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value</w:t>
            </w:r>
          </w:p>
        </w:tc>
      </w:tr>
      <w:tr>
        <w:trPr>
          <w:trHeight w:val="167"/>
        </w:trPr>
        <w:tc>
          <w:tcPr>
            <w:tcW w:w="5080" w:type="dxa"/>
            <w:vAlign w:val="bottom"/>
          </w:tcPr>
          <w:p>
            <w:pPr>
              <w:spacing w:after="0"/>
              <w:rPr>
                <w:sz w:val="14"/>
                <w:szCs w:val="14"/>
                <w:color w:val="auto"/>
              </w:rPr>
            </w:pPr>
          </w:p>
        </w:tc>
        <w:tc>
          <w:tcPr>
            <w:tcW w:w="1400" w:type="dxa"/>
            <w:vAlign w:val="bottom"/>
            <w:gridSpan w:val="2"/>
          </w:tcPr>
          <w:p>
            <w:pPr>
              <w:jc w:val="center"/>
              <w:ind w:right="720"/>
              <w:spacing w:after="0"/>
              <w:rPr>
                <w:sz w:val="20"/>
                <w:szCs w:val="20"/>
                <w:color w:val="auto"/>
              </w:rPr>
            </w:pPr>
            <w:r>
              <w:rPr>
                <w:rFonts w:ascii="Arial" w:cs="Arial" w:eastAsia="Arial" w:hAnsi="Arial"/>
                <w:sz w:val="14"/>
                <w:szCs w:val="14"/>
                <w:color w:val="auto"/>
                <w:w w:val="93"/>
              </w:rPr>
              <w:t>outstanding</w:t>
            </w:r>
          </w:p>
        </w:tc>
        <w:tc>
          <w:tcPr>
            <w:tcW w:w="1520" w:type="dxa"/>
            <w:vAlign w:val="bottom"/>
            <w:gridSpan w:val="2"/>
          </w:tcPr>
          <w:p>
            <w:pPr>
              <w:jc w:val="right"/>
              <w:ind w:right="278"/>
              <w:spacing w:after="0"/>
              <w:rPr>
                <w:sz w:val="20"/>
                <w:szCs w:val="20"/>
                <w:color w:val="auto"/>
              </w:rPr>
            </w:pPr>
            <w:r>
              <w:rPr>
                <w:rFonts w:ascii="Arial" w:cs="Arial" w:eastAsia="Arial" w:hAnsi="Arial"/>
                <w:sz w:val="14"/>
                <w:szCs w:val="14"/>
                <w:color w:val="auto"/>
                <w:w w:val="89"/>
              </w:rPr>
              <w:t>September 30, 2014</w:t>
            </w:r>
          </w:p>
        </w:tc>
        <w:tc>
          <w:tcPr>
            <w:tcW w:w="1580" w:type="dxa"/>
            <w:vAlign w:val="bottom"/>
            <w:gridSpan w:val="3"/>
          </w:tcPr>
          <w:p>
            <w:pPr>
              <w:jc w:val="right"/>
              <w:ind w:right="100"/>
              <w:spacing w:after="0"/>
              <w:rPr>
                <w:sz w:val="20"/>
                <w:szCs w:val="20"/>
                <w:color w:val="auto"/>
              </w:rPr>
            </w:pPr>
            <w:r>
              <w:rPr>
                <w:rFonts w:ascii="Arial" w:cs="Arial" w:eastAsia="Arial" w:hAnsi="Arial"/>
                <w:sz w:val="14"/>
                <w:szCs w:val="14"/>
                <w:color w:val="auto"/>
              </w:rPr>
              <w:t>December 31, 2013</w:t>
            </w:r>
          </w:p>
        </w:tc>
      </w:tr>
      <w:tr>
        <w:trPr>
          <w:trHeight w:val="142"/>
        </w:trPr>
        <w:tc>
          <w:tcPr>
            <w:tcW w:w="50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(dollars in thousands)</w:t>
            </w: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Series A (a)</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080" w:type="dxa"/>
            <w:vAlign w:val="bottom"/>
          </w:tcPr>
          <w:p>
            <w:pPr>
              <w:spacing w:after="0" w:line="201" w:lineRule="exact"/>
              <w:rPr>
                <w:sz w:val="20"/>
                <w:szCs w:val="20"/>
                <w:color w:val="auto"/>
              </w:rPr>
            </w:pPr>
            <w:r>
              <w:rPr>
                <w:rFonts w:ascii="Arial" w:cs="Arial" w:eastAsia="Arial" w:hAnsi="Arial"/>
                <w:sz w:val="18"/>
                <w:szCs w:val="18"/>
                <w:color w:val="auto"/>
              </w:rPr>
              <w:t>Fixed Rate Cumulative Perpetual Preferred Stock, Series A,</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$1,000 liquidation preference per share</w:t>
            </w:r>
          </w:p>
        </w:tc>
        <w:tc>
          <w:tcPr>
            <w:tcW w:w="680" w:type="dxa"/>
            <w:vAlign w:val="bottom"/>
          </w:tcPr>
          <w:p>
            <w:pPr>
              <w:jc w:val="right"/>
              <w:spacing w:after="0"/>
              <w:rPr>
                <w:sz w:val="20"/>
                <w:szCs w:val="20"/>
                <w:color w:val="auto"/>
              </w:rPr>
            </w:pPr>
            <w:r>
              <w:rPr>
                <w:rFonts w:ascii="Arial" w:cs="Arial" w:eastAsia="Arial" w:hAnsi="Arial"/>
                <w:sz w:val="18"/>
                <w:szCs w:val="18"/>
                <w:color w:val="auto"/>
              </w:rPr>
              <w:t>230,000</w:t>
            </w:r>
          </w:p>
        </w:tc>
        <w:tc>
          <w:tcPr>
            <w:tcW w:w="720" w:type="dxa"/>
            <w:vAlign w:val="bottom"/>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278"/>
              <w:spacing w:after="0"/>
              <w:rPr>
                <w:sz w:val="20"/>
                <w:szCs w:val="20"/>
                <w:color w:val="auto"/>
              </w:rPr>
            </w:pPr>
            <w:r>
              <w:rPr>
                <w:rFonts w:ascii="Arial" w:cs="Arial" w:eastAsia="Arial" w:hAnsi="Arial"/>
                <w:sz w:val="18"/>
                <w:szCs w:val="18"/>
                <w:color w:val="auto"/>
              </w:rPr>
              <w:t>230,000</w:t>
            </w:r>
          </w:p>
        </w:tc>
        <w:tc>
          <w:tcPr>
            <w:tcW w:w="64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230,000</w:t>
            </w:r>
          </w:p>
        </w:tc>
      </w:tr>
      <w:tr>
        <w:trPr>
          <w:trHeight w:val="108"/>
        </w:trPr>
        <w:tc>
          <w:tcPr>
            <w:tcW w:w="5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Series C (a)</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080" w:type="dxa"/>
            <w:vAlign w:val="bottom"/>
          </w:tcPr>
          <w:p>
            <w:pPr>
              <w:spacing w:after="0" w:line="201" w:lineRule="exact"/>
              <w:rPr>
                <w:sz w:val="20"/>
                <w:szCs w:val="20"/>
                <w:color w:val="auto"/>
              </w:rPr>
            </w:pPr>
            <w:r>
              <w:rPr>
                <w:rFonts w:ascii="Arial" w:cs="Arial" w:eastAsia="Arial" w:hAnsi="Arial"/>
                <w:sz w:val="18"/>
                <w:szCs w:val="18"/>
                <w:color w:val="auto"/>
              </w:rPr>
              <w:t>Fixed Rate Cumulative Perpetual Preferred Stock, Series C,</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$1,000 liquidation preference per share</w:t>
            </w:r>
          </w:p>
        </w:tc>
        <w:tc>
          <w:tcPr>
            <w:tcW w:w="680" w:type="dxa"/>
            <w:vAlign w:val="bottom"/>
          </w:tcPr>
          <w:p>
            <w:pPr>
              <w:jc w:val="right"/>
              <w:spacing w:after="0"/>
              <w:rPr>
                <w:sz w:val="20"/>
                <w:szCs w:val="20"/>
                <w:color w:val="auto"/>
              </w:rPr>
            </w:pPr>
            <w:r>
              <w:rPr>
                <w:rFonts w:ascii="Arial" w:cs="Arial" w:eastAsia="Arial" w:hAnsi="Arial"/>
                <w:sz w:val="18"/>
                <w:szCs w:val="18"/>
                <w:color w:val="auto"/>
              </w:rPr>
              <w:t>151,500</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278"/>
              <w:spacing w:after="0"/>
              <w:rPr>
                <w:sz w:val="20"/>
                <w:szCs w:val="20"/>
                <w:color w:val="auto"/>
              </w:rPr>
            </w:pPr>
            <w:r>
              <w:rPr>
                <w:rFonts w:ascii="Arial" w:cs="Arial" w:eastAsia="Arial" w:hAnsi="Arial"/>
                <w:sz w:val="18"/>
                <w:szCs w:val="18"/>
                <w:color w:val="auto"/>
              </w:rPr>
              <w:t>151,500</w:t>
            </w:r>
          </w:p>
        </w:tc>
        <w:tc>
          <w:tcPr>
            <w:tcW w:w="6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151,500</w:t>
            </w:r>
          </w:p>
        </w:tc>
      </w:tr>
      <w:tr>
        <w:trPr>
          <w:trHeight w:val="108"/>
        </w:trPr>
        <w:tc>
          <w:tcPr>
            <w:tcW w:w="5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Series D (b)</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080" w:type="dxa"/>
            <w:vAlign w:val="bottom"/>
          </w:tcPr>
          <w:p>
            <w:pPr>
              <w:spacing w:after="0" w:line="201" w:lineRule="exact"/>
              <w:rPr>
                <w:sz w:val="20"/>
                <w:szCs w:val="20"/>
                <w:color w:val="auto"/>
              </w:rPr>
            </w:pPr>
            <w:r>
              <w:rPr>
                <w:rFonts w:ascii="Arial" w:cs="Arial" w:eastAsia="Arial" w:hAnsi="Arial"/>
                <w:sz w:val="18"/>
                <w:szCs w:val="18"/>
                <w:color w:val="auto"/>
              </w:rPr>
              <w:t>Fixed Rate Non-Cumulative Perpetual Preferred Stock,</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Series D, $10,000 liquidation preference per share</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20"/>
                <w:szCs w:val="20"/>
                <w:color w:val="auto"/>
              </w:rPr>
            </w:pPr>
          </w:p>
        </w:tc>
        <w:tc>
          <w:tcPr>
            <w:tcW w:w="1320" w:type="dxa"/>
            <w:vAlign w:val="bottom"/>
          </w:tcPr>
          <w:p>
            <w:pPr>
              <w:jc w:val="right"/>
              <w:ind w:right="278"/>
              <w:spacing w:after="0"/>
              <w:rPr>
                <w:sz w:val="20"/>
                <w:szCs w:val="20"/>
                <w:color w:val="auto"/>
              </w:rPr>
            </w:pPr>
            <w:r>
              <w:rPr>
                <w:rFonts w:ascii="Arial" w:cs="Arial" w:eastAsia="Arial" w:hAnsi="Arial"/>
                <w:sz w:val="18"/>
                <w:szCs w:val="18"/>
                <w:color w:val="auto"/>
              </w:rPr>
              <w:t>500,000</w:t>
            </w:r>
          </w:p>
        </w:tc>
        <w:tc>
          <w:tcPr>
            <w:tcW w:w="6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r>
      <w:tr>
        <w:trPr>
          <w:trHeight w:val="108"/>
        </w:trPr>
        <w:tc>
          <w:tcPr>
            <w:tcW w:w="5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Series E (c)</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080" w:type="dxa"/>
            <w:vAlign w:val="bottom"/>
          </w:tcPr>
          <w:p>
            <w:pPr>
              <w:spacing w:after="0" w:line="201" w:lineRule="exact"/>
              <w:rPr>
                <w:sz w:val="20"/>
                <w:szCs w:val="20"/>
                <w:color w:val="auto"/>
              </w:rPr>
            </w:pPr>
            <w:r>
              <w:rPr>
                <w:rFonts w:ascii="Arial" w:cs="Arial" w:eastAsia="Arial" w:hAnsi="Arial"/>
                <w:sz w:val="18"/>
                <w:szCs w:val="18"/>
                <w:color w:val="auto"/>
              </w:rPr>
              <w:t>Fixed-to-Floating Rate Non-Cumulative Perpetual Preferred</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Stock Series E, $1,000 liquidation preference per share</w:t>
            </w:r>
          </w:p>
        </w:tc>
        <w:tc>
          <w:tcPr>
            <w:tcW w:w="680" w:type="dxa"/>
            <w:vAlign w:val="bottom"/>
          </w:tcPr>
          <w:p>
            <w:pPr>
              <w:jc w:val="right"/>
              <w:spacing w:after="0"/>
              <w:rPr>
                <w:sz w:val="20"/>
                <w:szCs w:val="20"/>
                <w:color w:val="auto"/>
              </w:rPr>
            </w:pPr>
            <w:r>
              <w:rPr>
                <w:rFonts w:ascii="Arial" w:cs="Arial" w:eastAsia="Arial" w:hAnsi="Arial"/>
                <w:sz w:val="18"/>
                <w:szCs w:val="18"/>
                <w:color w:val="auto"/>
              </w:rPr>
              <w:t>350,000</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278"/>
              <w:spacing w:after="0"/>
              <w:rPr>
                <w:sz w:val="20"/>
                <w:szCs w:val="20"/>
                <w:color w:val="auto"/>
              </w:rPr>
            </w:pPr>
            <w:r>
              <w:rPr>
                <w:rFonts w:ascii="Arial" w:cs="Arial" w:eastAsia="Arial" w:hAnsi="Arial"/>
                <w:sz w:val="18"/>
                <w:szCs w:val="18"/>
                <w:color w:val="auto"/>
              </w:rPr>
              <w:t>350,000</w:t>
            </w:r>
          </w:p>
        </w:tc>
        <w:tc>
          <w:tcPr>
            <w:tcW w:w="6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460" w:right="40" w:hanging="452"/>
        <w:spacing w:after="0" w:line="268" w:lineRule="auto"/>
        <w:tabs>
          <w:tab w:leader="none" w:pos="460" w:val="left"/>
        </w:tabs>
        <w:numPr>
          <w:ilvl w:val="0"/>
          <w:numId w:val="33"/>
        </w:numPr>
        <w:rPr>
          <w:rFonts w:ascii="Arial" w:cs="Arial" w:eastAsia="Arial" w:hAnsi="Arial"/>
          <w:sz w:val="17"/>
          <w:szCs w:val="17"/>
          <w:i w:val="1"/>
          <w:iCs w:val="1"/>
          <w:color w:val="auto"/>
        </w:rPr>
      </w:pPr>
      <w:r>
        <w:rPr>
          <w:rFonts w:ascii="Arial" w:cs="Arial" w:eastAsia="Arial" w:hAnsi="Arial"/>
          <w:sz w:val="17"/>
          <w:szCs w:val="17"/>
          <w:i w:val="1"/>
          <w:iCs w:val="1"/>
          <w:color w:val="auto"/>
        </w:rPr>
        <w:t>Dividends, if declared, were paid quarterly at a rate of 5% per year through November 14, 2013 and are paid at 6.375% thereafter. M&amp;T has agreed to not redeem the preferred shares until on or after November 15, 2018. Warrants to purchase M&amp;T common stock were issued in connection with the Series A and C preferred stock (Series A – 1,218,522 common shares at $73.86 per share; Series C – 407,542 common shares at $55.76 per share). In March 2013, the Series C warrants were exercised in a “cashless” exercise, resulting in the issuance of 186,589 common shares. During the nine months ended September 30, 2014, 395,905 of the Series A warrants were exercised in “cashless” exercises, resulting in the issuance of 156,521 common shares. Remaining outstanding Series A warrants were 753,490 at September 30, 2014.</w:t>
      </w:r>
    </w:p>
    <w:p>
      <w:pPr>
        <w:spacing w:after="0" w:line="1" w:lineRule="exact"/>
        <w:rPr>
          <w:rFonts w:ascii="Arial" w:cs="Arial" w:eastAsia="Arial" w:hAnsi="Arial"/>
          <w:sz w:val="17"/>
          <w:szCs w:val="17"/>
          <w:i w:val="1"/>
          <w:iCs w:val="1"/>
          <w:color w:val="auto"/>
        </w:rPr>
      </w:pPr>
    </w:p>
    <w:p>
      <w:pPr>
        <w:ind w:left="460" w:hanging="452"/>
        <w:spacing w:after="0" w:line="250" w:lineRule="auto"/>
        <w:tabs>
          <w:tab w:leader="none" w:pos="4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will be paid semi-annually at a rate of 6.875% per year. The shares are redeemable in whole or in part on or after June 15, 2016. Notwithstanding M&amp;T’s option to redeem the shares, if an event occurs such that the shares no longer qualify as Tier 1 capital, M&amp;T may redeem all of the shares within 90 days following that occurrence.</w:t>
      </w:r>
    </w:p>
    <w:p>
      <w:pPr>
        <w:spacing w:after="0" w:line="1" w:lineRule="exact"/>
        <w:rPr>
          <w:rFonts w:ascii="Arial" w:cs="Arial" w:eastAsia="Arial" w:hAnsi="Arial"/>
          <w:sz w:val="18"/>
          <w:szCs w:val="18"/>
          <w:i w:val="1"/>
          <w:iCs w:val="1"/>
          <w:color w:val="auto"/>
        </w:rPr>
      </w:pPr>
    </w:p>
    <w:p>
      <w:pPr>
        <w:jc w:val="both"/>
        <w:ind w:left="460" w:right="220" w:hanging="452"/>
        <w:spacing w:after="0" w:line="254" w:lineRule="auto"/>
        <w:tabs>
          <w:tab w:leader="none" w:pos="4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will be paid semi-annually at a rate of 6.45% through February 14, 2024 and thereafter will be paid quarterly at a rate of the three-month London Interbank Offered Rate (“LIBOR”) plus 361 basis points (hundredths of one percent). The shares are redeemable in whole or in part on or after February 15, 2024. Notwithstanding M&amp;T’s option to redeem the shares, if an event occurs such that the shares no longer qualify as Tier 1 capital, M&amp;T may redeem all of the shares within 90 days following that occurrence.</w:t>
      </w:r>
    </w:p>
    <w:p>
      <w:pPr>
        <w:spacing w:after="0" w:line="122" w:lineRule="exact"/>
        <w:rPr>
          <w:rFonts w:ascii="Arial" w:cs="Arial" w:eastAsia="Arial" w:hAnsi="Arial"/>
          <w:sz w:val="18"/>
          <w:szCs w:val="18"/>
          <w:i w:val="1"/>
          <w:iCs w:val="1"/>
          <w:color w:val="auto"/>
        </w:rPr>
      </w:pPr>
    </w:p>
    <w:p>
      <w:pPr>
        <w:ind w:left="5620" w:hanging="101"/>
        <w:spacing w:after="0"/>
        <w:tabs>
          <w:tab w:leader="none" w:pos="5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continued</w:t>
      </w:r>
    </w:p>
    <w:p>
      <w:pPr>
        <w:spacing w:after="0" w:line="162"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In addition to the Series A and Series C warrants mentioned in (a) above, a warrant to purchase 95,383 shares of M&amp;T common stock at $518.96 per share was outstanding at September 30, 2014 and December 31, 2013. The obligation under that warrant was assumed by M&amp;T in an acquisition.</w:t>
      </w:r>
    </w:p>
    <w:p>
      <w:pPr>
        <w:spacing w:after="0" w:line="268"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Pension plans and other postretirement benefits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5"/>
          </w:tcPr>
          <w:p>
            <w:pPr>
              <w:jc w:val="center"/>
              <w:ind w:right="500"/>
              <w:spacing w:after="0"/>
              <w:rPr>
                <w:sz w:val="20"/>
                <w:szCs w:val="20"/>
                <w:color w:val="auto"/>
              </w:rPr>
            </w:pPr>
            <w:r>
              <w:rPr>
                <w:rFonts w:ascii="Arial" w:cs="Arial" w:eastAsia="Arial" w:hAnsi="Arial"/>
                <w:sz w:val="14"/>
                <w:szCs w:val="14"/>
                <w:color w:val="auto"/>
                <w:w w:val="91"/>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7"/>
          </w:tcPr>
          <w:p>
            <w:pPr>
              <w:ind w:left="520"/>
              <w:spacing w:after="0" w:line="149" w:lineRule="exact"/>
              <w:rPr>
                <w:sz w:val="20"/>
                <w:szCs w:val="20"/>
                <w:color w:val="auto"/>
              </w:rPr>
            </w:pPr>
            <w:r>
              <w:rPr>
                <w:rFonts w:ascii="Arial" w:cs="Arial" w:eastAsia="Arial" w:hAnsi="Arial"/>
                <w:sz w:val="14"/>
                <w:szCs w:val="14"/>
                <w:color w:val="auto"/>
              </w:rPr>
              <w:t>Pension</w:t>
            </w:r>
          </w:p>
        </w:tc>
        <w:tc>
          <w:tcPr>
            <w:tcW w:w="200" w:type="dxa"/>
            <w:vAlign w:val="bottom"/>
          </w:tcPr>
          <w:p>
            <w:pPr>
              <w:spacing w:after="0"/>
              <w:rPr>
                <w:sz w:val="12"/>
                <w:szCs w:val="12"/>
                <w:color w:val="auto"/>
              </w:rPr>
            </w:pPr>
          </w:p>
        </w:tc>
        <w:tc>
          <w:tcPr>
            <w:tcW w:w="1280" w:type="dxa"/>
            <w:vAlign w:val="bottom"/>
            <w:gridSpan w:val="6"/>
          </w:tcPr>
          <w:p>
            <w:pPr>
              <w:jc w:val="center"/>
              <w:ind w:right="120"/>
              <w:spacing w:after="0" w:line="149" w:lineRule="exact"/>
              <w:rPr>
                <w:sz w:val="20"/>
                <w:szCs w:val="20"/>
                <w:color w:val="auto"/>
              </w:rPr>
            </w:pPr>
            <w:r>
              <w:rPr>
                <w:rFonts w:ascii="Arial" w:cs="Arial" w:eastAsia="Arial" w:hAnsi="Arial"/>
                <w:sz w:val="14"/>
                <w:szCs w:val="14"/>
                <w:color w:val="auto"/>
                <w:w w:val="93"/>
              </w:rPr>
              <w:t>postretirement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7"/>
          </w:tcPr>
          <w:p>
            <w:pPr>
              <w:ind w:left="520"/>
              <w:spacing w:after="0"/>
              <w:rPr>
                <w:sz w:val="20"/>
                <w:szCs w:val="20"/>
                <w:color w:val="auto"/>
              </w:rPr>
            </w:pPr>
            <w:r>
              <w:rPr>
                <w:rFonts w:ascii="Arial" w:cs="Arial" w:eastAsia="Arial" w:hAnsi="Arial"/>
                <w:sz w:val="14"/>
                <w:szCs w:val="14"/>
                <w:color w:val="auto"/>
              </w:rPr>
              <w:t>benefits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5"/>
          </w:tcPr>
          <w:p>
            <w:pPr>
              <w:jc w:val="center"/>
              <w:ind w:right="460"/>
              <w:spacing w:after="0"/>
              <w:rPr>
                <w:sz w:val="20"/>
                <w:szCs w:val="20"/>
                <w:color w:val="auto"/>
              </w:rPr>
            </w:pPr>
            <w:r>
              <w:rPr>
                <w:rFonts w:ascii="Arial" w:cs="Arial" w:eastAsia="Arial" w:hAnsi="Arial"/>
                <w:sz w:val="14"/>
                <w:szCs w:val="14"/>
                <w:color w:val="auto"/>
                <w:w w:val="89"/>
              </w:rPr>
              <w:t>benefits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660" w:type="dxa"/>
            <w:vAlign w:val="bottom"/>
            <w:tcBorders>
              <w:top w:val="single" w:sz="8" w:color="auto"/>
            </w:tcBorders>
            <w:gridSpan w:val="11"/>
          </w:tcPr>
          <w:p>
            <w:pPr>
              <w:ind w:left="520"/>
              <w:spacing w:after="0" w:line="123" w:lineRule="exact"/>
              <w:rPr>
                <w:sz w:val="20"/>
                <w:szCs w:val="20"/>
                <w:color w:val="auto"/>
              </w:rPr>
            </w:pPr>
            <w:r>
              <w:rPr>
                <w:rFonts w:ascii="Arial" w:cs="Arial" w:eastAsia="Arial" w:hAnsi="Arial"/>
                <w:sz w:val="14"/>
                <w:szCs w:val="14"/>
                <w:color w:val="auto"/>
                <w:w w:val="95"/>
              </w:rPr>
              <w:t>Three months ended September 30</w:t>
            </w: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2014</w:t>
            </w: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gridSpan w:val="7"/>
          </w:tcPr>
          <w:p>
            <w:pPr>
              <w:ind w:left="16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7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5,130</w:t>
            </w:r>
          </w:p>
        </w:tc>
        <w:tc>
          <w:tcPr>
            <w:tcW w:w="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6,090</w:t>
            </w:r>
          </w:p>
        </w:tc>
        <w:tc>
          <w:tcPr>
            <w:tcW w:w="8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151</w:t>
            </w:r>
          </w:p>
        </w:tc>
        <w:tc>
          <w:tcPr>
            <w:tcW w:w="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17,290</w:t>
            </w:r>
          </w:p>
        </w:tc>
        <w:tc>
          <w:tcPr>
            <w:tcW w:w="60" w:type="dxa"/>
            <w:vAlign w:val="bottom"/>
          </w:tcPr>
          <w:p>
            <w:pPr>
              <w:spacing w:after="0"/>
              <w:rPr>
                <w:sz w:val="18"/>
                <w:szCs w:val="18"/>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rPr>
              <w:t>15,032</w:t>
            </w:r>
          </w:p>
        </w:tc>
        <w:tc>
          <w:tcPr>
            <w:tcW w:w="840" w:type="dxa"/>
            <w:vAlign w:val="bottom"/>
            <w:gridSpan w:val="3"/>
          </w:tcPr>
          <w:p>
            <w:pPr>
              <w:ind w:left="320"/>
              <w:spacing w:after="0"/>
              <w:rPr>
                <w:sz w:val="20"/>
                <w:szCs w:val="20"/>
                <w:color w:val="auto"/>
              </w:rPr>
            </w:pPr>
            <w:r>
              <w:rPr>
                <w:rFonts w:ascii="Arial" w:cs="Arial" w:eastAsia="Arial" w:hAnsi="Arial"/>
                <w:sz w:val="18"/>
                <w:szCs w:val="18"/>
                <w:color w:val="auto"/>
              </w:rPr>
              <w:t>695</w:t>
            </w:r>
          </w:p>
        </w:tc>
        <w:tc>
          <w:tcPr>
            <w:tcW w:w="4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(22,892)</w:t>
            </w:r>
          </w:p>
        </w:tc>
        <w:tc>
          <w:tcPr>
            <w:tcW w:w="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(21,838)</w:t>
            </w: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(1,638)</w:t>
            </w:r>
          </w:p>
        </w:tc>
        <w:tc>
          <w:tcPr>
            <w:tcW w:w="60" w:type="dxa"/>
            <w:vAlign w:val="bottom"/>
          </w:tcPr>
          <w:p>
            <w:pPr>
              <w:spacing w:after="0"/>
              <w:rPr>
                <w:sz w:val="18"/>
                <w:szCs w:val="18"/>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(1,639)</w:t>
            </w:r>
          </w:p>
        </w:tc>
        <w:tc>
          <w:tcPr>
            <w:tcW w:w="840" w:type="dxa"/>
            <w:vAlign w:val="bottom"/>
            <w:gridSpan w:val="3"/>
          </w:tcPr>
          <w:p>
            <w:pPr>
              <w:ind w:left="260"/>
              <w:spacing w:after="0"/>
              <w:rPr>
                <w:sz w:val="20"/>
                <w:szCs w:val="20"/>
                <w:color w:val="auto"/>
              </w:rPr>
            </w:pPr>
            <w:r>
              <w:rPr>
                <w:rFonts w:ascii="Arial" w:cs="Arial" w:eastAsia="Arial" w:hAnsi="Arial"/>
                <w:sz w:val="18"/>
                <w:szCs w:val="18"/>
                <w:color w:val="auto"/>
              </w:rPr>
              <w:t>(340)</w:t>
            </w:r>
          </w:p>
        </w:tc>
        <w:tc>
          <w:tcPr>
            <w:tcW w:w="4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10,269</w:t>
            </w: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7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12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1,514</w:t>
            </w:r>
          </w:p>
        </w:tc>
        <w:tc>
          <w:tcPr>
            <w:tcW w:w="60" w:type="dxa"/>
            <w:vAlign w:val="bottom"/>
          </w:tcPr>
          <w:p>
            <w:pPr>
              <w:spacing w:after="0"/>
              <w:rPr>
                <w:sz w:val="24"/>
                <w:szCs w:val="24"/>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rPr>
              <w:t>7,914</w:t>
            </w:r>
          </w:p>
        </w:tc>
        <w:tc>
          <w:tcPr>
            <w:tcW w:w="840" w:type="dxa"/>
            <w:vAlign w:val="bottom"/>
            <w:gridSpan w:val="3"/>
          </w:tcPr>
          <w:p>
            <w:pPr>
              <w:ind w:left="320"/>
              <w:spacing w:after="0"/>
              <w:rPr>
                <w:sz w:val="20"/>
                <w:szCs w:val="20"/>
                <w:color w:val="auto"/>
              </w:rPr>
            </w:pPr>
            <w:r>
              <w:rPr>
                <w:rFonts w:ascii="Arial" w:cs="Arial" w:eastAsia="Arial" w:hAnsi="Arial"/>
                <w:sz w:val="18"/>
                <w:szCs w:val="18"/>
                <w:color w:val="auto"/>
              </w:rPr>
              <w:t>506</w:t>
            </w:r>
          </w:p>
        </w:tc>
        <w:tc>
          <w:tcPr>
            <w:tcW w:w="40" w:type="dxa"/>
            <w:vAlign w:val="bottom"/>
          </w:tcPr>
          <w:p>
            <w:pPr>
              <w:spacing w:after="0"/>
              <w:rPr>
                <w:sz w:val="24"/>
                <w:szCs w:val="2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3"/>
          </w:tcPr>
          <w:p>
            <w:pPr>
              <w:jc w:val="center"/>
              <w:ind w:left="219"/>
              <w:spacing w:after="0"/>
              <w:rPr>
                <w:sz w:val="20"/>
                <w:szCs w:val="20"/>
                <w:color w:val="auto"/>
              </w:rPr>
            </w:pPr>
            <w:r>
              <w:rPr>
                <w:rFonts w:ascii="Arial" w:cs="Arial" w:eastAsia="Arial" w:hAnsi="Arial"/>
                <w:sz w:val="14"/>
                <w:szCs w:val="14"/>
                <w:color w:val="auto"/>
                <w:w w:val="96"/>
              </w:rPr>
              <w:t>Other</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ind w:left="460"/>
              <w:spacing w:after="0" w:line="149" w:lineRule="exact"/>
              <w:rPr>
                <w:sz w:val="20"/>
                <w:szCs w:val="20"/>
                <w:color w:val="auto"/>
              </w:rPr>
            </w:pPr>
            <w:r>
              <w:rPr>
                <w:rFonts w:ascii="Arial" w:cs="Arial" w:eastAsia="Arial" w:hAnsi="Arial"/>
                <w:sz w:val="14"/>
                <w:szCs w:val="14"/>
                <w:color w:val="auto"/>
                <w:w w:val="86"/>
              </w:rPr>
              <w:t>Pension</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6"/>
          </w:tcPr>
          <w:p>
            <w:pPr>
              <w:jc w:val="center"/>
              <w:ind w:right="300"/>
              <w:spacing w:after="0" w:line="149" w:lineRule="exact"/>
              <w:rPr>
                <w:sz w:val="20"/>
                <w:szCs w:val="20"/>
                <w:color w:val="auto"/>
              </w:rPr>
            </w:pPr>
            <w:r>
              <w:rPr>
                <w:rFonts w:ascii="Arial" w:cs="Arial" w:eastAsia="Arial" w:hAnsi="Arial"/>
                <w:sz w:val="14"/>
                <w:szCs w:val="14"/>
                <w:color w:val="auto"/>
                <w:w w:val="91"/>
              </w:rPr>
              <w:t>postretirement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ind w:left="460"/>
              <w:spacing w:after="0"/>
              <w:rPr>
                <w:sz w:val="20"/>
                <w:szCs w:val="20"/>
                <w:color w:val="auto"/>
              </w:rPr>
            </w:pPr>
            <w:r>
              <w:rPr>
                <w:rFonts w:ascii="Arial" w:cs="Arial" w:eastAsia="Arial" w:hAnsi="Arial"/>
                <w:sz w:val="14"/>
                <w:szCs w:val="14"/>
                <w:color w:val="auto"/>
                <w:w w:val="89"/>
              </w:rPr>
              <w:t>benefits</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6"/>
          </w:tcPr>
          <w:p>
            <w:pPr>
              <w:jc w:val="center"/>
              <w:ind w:right="300"/>
              <w:spacing w:after="0"/>
              <w:rPr>
                <w:sz w:val="20"/>
                <w:szCs w:val="20"/>
                <w:color w:val="auto"/>
              </w:rPr>
            </w:pPr>
            <w:r>
              <w:rPr>
                <w:rFonts w:ascii="Arial" w:cs="Arial" w:eastAsia="Arial" w:hAnsi="Arial"/>
                <w:sz w:val="14"/>
                <w:szCs w:val="14"/>
                <w:color w:val="auto"/>
                <w:w w:val="93"/>
              </w:rPr>
              <w:t>benefits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660" w:type="dxa"/>
            <w:vAlign w:val="bottom"/>
            <w:tcBorders>
              <w:top w:val="single" w:sz="8" w:color="auto"/>
            </w:tcBorders>
            <w:gridSpan w:val="11"/>
          </w:tcPr>
          <w:p>
            <w:pPr>
              <w:ind w:left="540"/>
              <w:spacing w:after="0" w:line="123" w:lineRule="exact"/>
              <w:rPr>
                <w:sz w:val="20"/>
                <w:szCs w:val="20"/>
                <w:color w:val="auto"/>
              </w:rPr>
            </w:pPr>
            <w:r>
              <w:rPr>
                <w:rFonts w:ascii="Arial" w:cs="Arial" w:eastAsia="Arial" w:hAnsi="Arial"/>
                <w:sz w:val="14"/>
                <w:szCs w:val="14"/>
                <w:color w:val="auto"/>
                <w:w w:val="98"/>
              </w:rPr>
              <w:t>Nine months ended September 30</w:t>
            </w: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color w:val="auto"/>
              </w:rPr>
              <w:t>2014</w:t>
            </w: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gridSpan w:val="7"/>
          </w:tcPr>
          <w:p>
            <w:pPr>
              <w:ind w:left="14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7100" w:type="dxa"/>
            <w:vAlign w:val="bottom"/>
          </w:tcPr>
          <w:p>
            <w:pPr>
              <w:spacing w:after="0"/>
              <w:rPr>
                <w:sz w:val="6"/>
                <w:szCs w:val="6"/>
                <w:color w:val="auto"/>
              </w:rPr>
            </w:pPr>
          </w:p>
        </w:tc>
        <w:tc>
          <w:tcPr>
            <w:tcW w:w="120" w:type="dxa"/>
            <w:vAlign w:val="bottom"/>
            <w:gridSpan w:val="2"/>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gridSpan w:val="2"/>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gridSpan w:val="3"/>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15,390</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18,270</w:t>
            </w:r>
          </w:p>
        </w:tc>
        <w:tc>
          <w:tcPr>
            <w:tcW w:w="2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51,871</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45,097</w:t>
            </w: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2,084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(68,676)</w:t>
            </w: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(65,515)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(4,914)</w:t>
            </w:r>
          </w:p>
        </w:tc>
        <w:tc>
          <w:tcPr>
            <w:tcW w:w="6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(4,917)</w:t>
            </w:r>
          </w:p>
        </w:tc>
        <w:tc>
          <w:tcPr>
            <w:tcW w:w="200" w:type="dxa"/>
            <w:vAlign w:val="bottom"/>
          </w:tcPr>
          <w:p>
            <w:pPr>
              <w:spacing w:after="0"/>
              <w:rPr>
                <w:sz w:val="18"/>
                <w:szCs w:val="18"/>
                <w:color w:val="auto"/>
              </w:rPr>
            </w:pPr>
          </w:p>
        </w:tc>
        <w:tc>
          <w:tcPr>
            <w:tcW w:w="840" w:type="dxa"/>
            <w:vAlign w:val="bottom"/>
            <w:gridSpan w:val="3"/>
          </w:tcPr>
          <w:p>
            <w:pPr>
              <w:jc w:val="right"/>
              <w:ind w:right="168"/>
              <w:spacing w:after="0"/>
              <w:rPr>
                <w:sz w:val="20"/>
                <w:szCs w:val="20"/>
                <w:color w:val="auto"/>
              </w:rPr>
            </w:pPr>
            <w:r>
              <w:rPr>
                <w:rFonts w:ascii="Arial" w:cs="Arial" w:eastAsia="Arial" w:hAnsi="Arial"/>
                <w:sz w:val="18"/>
                <w:szCs w:val="18"/>
                <w:color w:val="auto"/>
              </w:rPr>
              <w:t>(1,019)</w:t>
            </w:r>
          </w:p>
        </w:tc>
        <w:tc>
          <w:tcPr>
            <w:tcW w:w="4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10,871</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30,807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331"/>
        </w:trPr>
        <w:tc>
          <w:tcPr>
            <w:tcW w:w="712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4,542</w:t>
            </w:r>
          </w:p>
        </w:tc>
        <w:tc>
          <w:tcPr>
            <w:tcW w:w="280" w:type="dxa"/>
            <w:vAlign w:val="bottom"/>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23,742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1,518</w:t>
            </w:r>
          </w:p>
        </w:tc>
        <w:tc>
          <w:tcPr>
            <w:tcW w:w="260" w:type="dxa"/>
            <w:vAlign w:val="bottom"/>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Expense incurred in connection with the Company’s defined contribution pension and retirement savings plans totaled $13,558,000 and $12,440,000 for the three months ended September 30, 2014 and 2013, respectively, and $41,963,000 and $40,757,000 for the nine months ended September 30, 2014 and 2013, respectively.</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common share follow:</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700"/>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14"/>
                <w:szCs w:val="14"/>
                <w:color w:val="auto"/>
              </w:rPr>
            </w:pPr>
          </w:p>
        </w:tc>
        <w:tc>
          <w:tcPr>
            <w:tcW w:w="1760" w:type="dxa"/>
            <w:vAlign w:val="bottom"/>
            <w:gridSpan w:val="4"/>
          </w:tcPr>
          <w:p>
            <w:pPr>
              <w:jc w:val="right"/>
              <w:ind w:right="42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5"/>
          </w:tcPr>
          <w:p>
            <w:pPr>
              <w:jc w:val="right"/>
              <w:ind w:right="880"/>
              <w:spacing w:after="0" w:line="149" w:lineRule="exact"/>
              <w:rPr>
                <w:sz w:val="20"/>
                <w:szCs w:val="20"/>
                <w:color w:val="auto"/>
              </w:rPr>
            </w:pPr>
            <w:r>
              <w:rPr>
                <w:rFonts w:ascii="Arial" w:cs="Arial" w:eastAsia="Arial" w:hAnsi="Arial"/>
                <w:sz w:val="14"/>
                <w:szCs w:val="14"/>
                <w:color w:val="auto"/>
              </w:rPr>
              <w:t>September 30</w:t>
            </w:r>
          </w:p>
        </w:tc>
        <w:tc>
          <w:tcPr>
            <w:tcW w:w="80" w:type="dxa"/>
            <w:vAlign w:val="bottom"/>
          </w:tcPr>
          <w:p>
            <w:pPr>
              <w:spacing w:after="0"/>
              <w:rPr>
                <w:sz w:val="12"/>
                <w:szCs w:val="12"/>
                <w:color w:val="auto"/>
              </w:rPr>
            </w:pPr>
          </w:p>
        </w:tc>
        <w:tc>
          <w:tcPr>
            <w:tcW w:w="1760" w:type="dxa"/>
            <w:vAlign w:val="bottom"/>
            <w:gridSpan w:val="4"/>
          </w:tcPr>
          <w:p>
            <w:pPr>
              <w:jc w:val="right"/>
              <w:ind w:right="58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2013</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2014</w:t>
            </w: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40" w:type="dxa"/>
            <w:vAlign w:val="bottom"/>
            <w:gridSpan w:val="6"/>
          </w:tcPr>
          <w:p>
            <w:pPr>
              <w:jc w:val="right"/>
              <w:ind w:right="380"/>
              <w:spacing w:after="0" w:line="142" w:lineRule="exact"/>
              <w:rPr>
                <w:sz w:val="20"/>
                <w:szCs w:val="20"/>
                <w:color w:val="auto"/>
              </w:rPr>
            </w:pPr>
            <w:r>
              <w:rPr>
                <w:rFonts w:ascii="Arial" w:cs="Arial" w:eastAsia="Arial" w:hAnsi="Arial"/>
                <w:sz w:val="14"/>
                <w:szCs w:val="14"/>
                <w:color w:val="auto"/>
                <w:w w:val="96"/>
              </w:rPr>
              <w:t>(in thousands, except per share)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shareholders: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275,344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294,479</w:t>
            </w:r>
          </w:p>
        </w:tc>
        <w:tc>
          <w:tcPr>
            <w:tcW w:w="4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788,697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917,058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Preferred stock dividends (a)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(20,443)</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(13,363)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(55,560)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760"/>
              <w:spacing w:after="0"/>
              <w:rPr>
                <w:sz w:val="20"/>
                <w:szCs w:val="20"/>
                <w:color w:val="auto"/>
              </w:rPr>
            </w:pPr>
            <w:r>
              <w:rPr>
                <w:rFonts w:ascii="Arial" w:cs="Arial" w:eastAsia="Arial" w:hAnsi="Arial"/>
                <w:sz w:val="18"/>
                <w:szCs w:val="18"/>
                <w:color w:val="auto"/>
              </w:rPr>
              <w:t>Amortization of preferred stock discount (a)</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(2,235)</w:t>
            </w:r>
          </w:p>
        </w:tc>
        <w:tc>
          <w:tcPr>
            <w:tcW w:w="8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available to common equity</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254,901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278,881</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733,137</w:t>
            </w:r>
          </w:p>
        </w:tc>
        <w:tc>
          <w:tcPr>
            <w:tcW w:w="4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870,395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(2,996)</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(3,545)</w:t>
            </w: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(8,830)</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(11,451)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251,905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275,336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724,307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858,944</w:t>
            </w:r>
          </w:p>
        </w:tc>
        <w:tc>
          <w:tcPr>
            <w:tcW w:w="0" w:type="dxa"/>
            <w:vAlign w:val="bottom"/>
          </w:tcPr>
          <w:p>
            <w:pPr>
              <w:spacing w:after="0"/>
              <w:rPr>
                <w:sz w:val="1"/>
                <w:szCs w:val="1"/>
                <w:color w:val="auto"/>
              </w:rPr>
            </w:pP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Common shares outstanding (including common stock issuable) and unvested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stock-based compensation awards</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132,832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130,836</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132,372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130,088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Less: Unvested stock-based compensation awards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(1,567)</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(1,665)</w:t>
            </w: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(1,590)</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131,265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129,171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130,782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128,369</w:t>
            </w:r>
          </w:p>
        </w:tc>
        <w:tc>
          <w:tcPr>
            <w:tcW w:w="0" w:type="dxa"/>
            <w:vAlign w:val="bottom"/>
          </w:tcPr>
          <w:p>
            <w:pPr>
              <w:spacing w:after="0"/>
              <w:rPr>
                <w:sz w:val="1"/>
                <w:szCs w:val="1"/>
                <w:color w:val="auto"/>
              </w:rPr>
            </w:pP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1.92</w:t>
            </w: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2.13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5.54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Including impact of not as yet declared cumulative dividends.</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0960"/>
          </w:cols>
          <w:pgMar w:left="240" w:top="459" w:right="6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gridSpan w:val="3"/>
          </w:tcPr>
          <w:p>
            <w:pPr>
              <w:spacing w:after="0"/>
              <w:rPr>
                <w:sz w:val="20"/>
                <w:szCs w:val="20"/>
                <w:color w:val="auto"/>
              </w:rPr>
            </w:pPr>
            <w:r>
              <w:rPr>
                <w:rFonts w:ascii="Arial" w:cs="Arial" w:eastAsia="Arial" w:hAnsi="Arial"/>
                <w:sz w:val="18"/>
                <w:szCs w:val="18"/>
                <w:color w:val="auto"/>
              </w:rPr>
              <w:t>NOTES TO FINANCIAL STATEMENTS, CONTINUED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0"/>
                <w:szCs w:val="20"/>
                <w:color w:val="auto"/>
              </w:rPr>
            </w:pPr>
            <w:r>
              <w:rPr>
                <w:rFonts w:ascii="Arial" w:cs="Arial" w:eastAsia="Arial" w:hAnsi="Arial"/>
                <w:sz w:val="18"/>
                <w:szCs w:val="18"/>
                <w:b w:val="1"/>
                <w:bCs w:val="1"/>
                <w:color w:val="auto"/>
              </w:rPr>
              <w:t>8.</w:t>
            </w:r>
          </w:p>
        </w:tc>
        <w:tc>
          <w:tcPr>
            <w:tcW w:w="6480" w:type="dxa"/>
            <w:vAlign w:val="bottom"/>
            <w:gridSpan w:val="2"/>
          </w:tcPr>
          <w:p>
            <w:pPr>
              <w:ind w:left="160"/>
              <w:spacing w:after="0"/>
              <w:rPr>
                <w:sz w:val="20"/>
                <w:szCs w:val="20"/>
                <w:color w:val="auto"/>
              </w:rPr>
            </w:pPr>
            <w:r>
              <w:rPr>
                <w:rFonts w:ascii="Arial" w:cs="Arial" w:eastAsia="Arial" w:hAnsi="Arial"/>
                <w:sz w:val="18"/>
                <w:szCs w:val="18"/>
                <w:b w:val="1"/>
                <w:bCs w:val="1"/>
                <w:color w:val="auto"/>
              </w:rPr>
              <w:t>Earnings per common share, continued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The computations of diluted earnings per common share follow:</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5"/>
          </w:tcPr>
          <w:p>
            <w:pPr>
              <w:jc w:val="right"/>
              <w:ind w:right="700"/>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24"/>
                <w:szCs w:val="24"/>
                <w:color w:val="auto"/>
              </w:rPr>
            </w:pPr>
          </w:p>
        </w:tc>
        <w:tc>
          <w:tcPr>
            <w:tcW w:w="1760" w:type="dxa"/>
            <w:vAlign w:val="bottom"/>
            <w:gridSpan w:val="4"/>
          </w:tcPr>
          <w:p>
            <w:pPr>
              <w:jc w:val="right"/>
              <w:ind w:right="42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7"/>
        </w:trPr>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5"/>
          </w:tcPr>
          <w:p>
            <w:pPr>
              <w:jc w:val="right"/>
              <w:ind w:right="880"/>
              <w:spacing w:after="0" w:line="157" w:lineRule="exact"/>
              <w:rPr>
                <w:sz w:val="20"/>
                <w:szCs w:val="20"/>
                <w:color w:val="auto"/>
              </w:rPr>
            </w:pPr>
            <w:r>
              <w:rPr>
                <w:rFonts w:ascii="Arial" w:cs="Arial" w:eastAsia="Arial" w:hAnsi="Arial"/>
                <w:sz w:val="14"/>
                <w:szCs w:val="14"/>
                <w:color w:val="auto"/>
              </w:rPr>
              <w:t>September 30</w:t>
            </w:r>
          </w:p>
        </w:tc>
        <w:tc>
          <w:tcPr>
            <w:tcW w:w="80" w:type="dxa"/>
            <w:vAlign w:val="bottom"/>
          </w:tcPr>
          <w:p>
            <w:pPr>
              <w:spacing w:after="0"/>
              <w:rPr>
                <w:sz w:val="13"/>
                <w:szCs w:val="13"/>
                <w:color w:val="auto"/>
              </w:rPr>
            </w:pPr>
          </w:p>
        </w:tc>
        <w:tc>
          <w:tcPr>
            <w:tcW w:w="1760" w:type="dxa"/>
            <w:vAlign w:val="bottom"/>
            <w:gridSpan w:val="4"/>
          </w:tcPr>
          <w:p>
            <w:pPr>
              <w:jc w:val="right"/>
              <w:ind w:right="580"/>
              <w:spacing w:after="0" w:line="157"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2013</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2014</w:t>
            </w: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6"/>
          </w:tcPr>
          <w:p>
            <w:pPr>
              <w:jc w:val="right"/>
              <w:ind w:right="380"/>
              <w:spacing w:after="0"/>
              <w:rPr>
                <w:sz w:val="20"/>
                <w:szCs w:val="20"/>
                <w:color w:val="auto"/>
              </w:rPr>
            </w:pPr>
            <w:r>
              <w:rPr>
                <w:rFonts w:ascii="Arial" w:cs="Arial" w:eastAsia="Arial" w:hAnsi="Arial"/>
                <w:sz w:val="14"/>
                <w:szCs w:val="14"/>
                <w:color w:val="auto"/>
                <w:w w:val="96"/>
              </w:rPr>
              <w:t>(in thousands, except per share)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00" w:type="dxa"/>
            <w:vAlign w:val="bottom"/>
          </w:tcPr>
          <w:p>
            <w:pPr>
              <w:spacing w:after="0"/>
              <w:rPr>
                <w:sz w:val="6"/>
                <w:szCs w:val="6"/>
                <w:color w:val="auto"/>
              </w:rPr>
            </w:pPr>
          </w:p>
        </w:tc>
        <w:tc>
          <w:tcPr>
            <w:tcW w:w="160" w:type="dxa"/>
            <w:vAlign w:val="bottom"/>
            <w:vMerge w:val="restart"/>
          </w:tcPr>
          <w:p>
            <w:pPr>
              <w:spacing w:after="0"/>
              <w:rPr>
                <w:sz w:val="6"/>
                <w:szCs w:val="6"/>
                <w:color w:val="auto"/>
              </w:rPr>
            </w:pPr>
          </w:p>
        </w:tc>
        <w:tc>
          <w:tcPr>
            <w:tcW w:w="6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equity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254,901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278,881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733,137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870,395</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20" w:type="dxa"/>
            <w:vAlign w:val="bottom"/>
          </w:tcPr>
          <w:p>
            <w:pPr>
              <w:ind w:left="36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(2,984)</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(3,525)</w:t>
            </w:r>
          </w:p>
        </w:tc>
        <w:tc>
          <w:tcPr>
            <w:tcW w:w="80" w:type="dxa"/>
            <w:vAlign w:val="bottom"/>
          </w:tcPr>
          <w:p>
            <w:pPr>
              <w:spacing w:after="0"/>
              <w:rPr>
                <w:sz w:val="24"/>
                <w:szCs w:val="2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(8,793)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(11,395)</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10"/>
                <w:szCs w:val="10"/>
                <w:color w:val="auto"/>
              </w:rPr>
            </w:pPr>
          </w:p>
        </w:tc>
        <w:tc>
          <w:tcPr>
            <w:tcW w:w="160" w:type="dxa"/>
            <w:vAlign w:val="bottom"/>
            <w:vMerge w:val="restart"/>
          </w:tcPr>
          <w:p>
            <w:pPr>
              <w:spacing w:after="0"/>
              <w:rPr>
                <w:sz w:val="10"/>
                <w:szCs w:val="10"/>
                <w:color w:val="auto"/>
              </w:rPr>
            </w:pPr>
          </w:p>
        </w:tc>
        <w:tc>
          <w:tcPr>
            <w:tcW w:w="6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251,917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275,356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724,344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859,000</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Adjusted weighted-average shares outstanding:</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and unvested stock-based compensation awards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132,832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130,836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132,372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130,088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20" w:type="dxa"/>
            <w:vAlign w:val="bottom"/>
          </w:tcPr>
          <w:p>
            <w:pPr>
              <w:ind w:left="360"/>
              <w:spacing w:after="0"/>
              <w:rPr>
                <w:sz w:val="20"/>
                <w:szCs w:val="20"/>
                <w:color w:val="auto"/>
              </w:rPr>
            </w:pPr>
            <w:r>
              <w:rPr>
                <w:rFonts w:ascii="Arial" w:cs="Arial" w:eastAsia="Arial" w:hAnsi="Arial"/>
                <w:sz w:val="18"/>
                <w:szCs w:val="18"/>
                <w:color w:val="auto"/>
              </w:rPr>
              <w:t>Less: Unvested stock-based compensation awards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(1,567)</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(1,665)</w:t>
            </w: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(1,590)</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Plus: Incremental shares from assumed conversion of stock-based compensation</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awards and warrants to purchase common stock</w:t>
            </w:r>
          </w:p>
        </w:tc>
        <w:tc>
          <w:tcPr>
            <w:tcW w:w="1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4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40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300" w:type="dxa"/>
            <w:vAlign w:val="bottom"/>
          </w:tcPr>
          <w:p>
            <w:pPr>
              <w:spacing w:after="0"/>
              <w:rPr>
                <w:sz w:val="24"/>
                <w:szCs w:val="24"/>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Adjusted weighted-average shares outstanding</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132,128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130,265</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131,698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129,312</w:t>
            </w: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160" w:type="dxa"/>
            <w:vAlign w:val="bottom"/>
            <w:vMerge w:val="restart"/>
          </w:tcPr>
          <w:p>
            <w:pPr>
              <w:spacing w:after="0"/>
              <w:rPr>
                <w:sz w:val="9"/>
                <w:szCs w:val="9"/>
                <w:color w:val="auto"/>
              </w:rPr>
            </w:pPr>
          </w:p>
        </w:tc>
        <w:tc>
          <w:tcPr>
            <w:tcW w:w="6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Stock-based compensation awards and warrants to purchase common stock of M&amp;T representing approximately 1.7 million and 3.1 million common shares during the three-month periods ended September 30, 2014 and 2013, respectively, and 2.1 million and 4.1 million common shares during the nine-month periods ended September 30, 2014 and 2013, respectively, were not included in the computations of diluted earnings per common share because the effect on those periods would have been antidilutive.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displays the components of other comprehensive income (loss) and amounts reclassified from accumulated other comprehensive income (loss) to net income: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800" w:type="dxa"/>
            <w:vAlign w:val="bottom"/>
            <w:gridSpan w:val="4"/>
          </w:tcPr>
          <w:p>
            <w:pPr>
              <w:ind w:left="140"/>
              <w:spacing w:after="0"/>
              <w:rPr>
                <w:sz w:val="20"/>
                <w:szCs w:val="20"/>
                <w:color w:val="auto"/>
              </w:rPr>
            </w:pPr>
            <w:r>
              <w:rPr>
                <w:rFonts w:ascii="Arial" w:cs="Arial" w:eastAsia="Arial" w:hAnsi="Arial"/>
                <w:sz w:val="14"/>
                <w:szCs w:val="14"/>
                <w:color w:val="auto"/>
              </w:rPr>
              <w:t>Investment Securities</w:t>
            </w: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95"/>
              </w:rPr>
              <w:t>Defined</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6"/>
              </w:rPr>
              <w:t>Total</w:t>
            </w: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auto"/>
              </w:rPr>
              <w:t>With</w:t>
            </w:r>
          </w:p>
        </w:tc>
        <w:tc>
          <w:tcPr>
            <w:tcW w:w="28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All</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benefit</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amount</w:t>
            </w:r>
          </w:p>
        </w:tc>
        <w:tc>
          <w:tcPr>
            <w:tcW w:w="4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OTTI</w:t>
            </w:r>
          </w:p>
        </w:tc>
        <w:tc>
          <w:tcPr>
            <w:tcW w:w="28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color w:val="auto"/>
              </w:rPr>
              <w:t>other</w:t>
            </w: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plans</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4"/>
                <w:szCs w:val="14"/>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4"/>
                <w:szCs w:val="14"/>
                <w:color w:val="auto"/>
                <w:w w:val="93"/>
              </w:rPr>
              <w:t>before tax</w:t>
            </w:r>
          </w:p>
        </w:tc>
        <w:tc>
          <w:tcPr>
            <w:tcW w:w="48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color w:val="auto"/>
              </w:rPr>
              <w:t>tax</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4"/>
          </w:tcPr>
          <w:p>
            <w:pPr>
              <w:jc w:val="right"/>
              <w:ind w:right="8"/>
              <w:spacing w:after="0"/>
              <w:rPr>
                <w:sz w:val="20"/>
                <w:szCs w:val="20"/>
                <w:color w:val="auto"/>
              </w:rPr>
            </w:pPr>
            <w:r>
              <w:rPr>
                <w:rFonts w:ascii="Arial" w:cs="Arial" w:eastAsia="Arial" w:hAnsi="Arial"/>
                <w:sz w:val="14"/>
                <w:szCs w:val="14"/>
                <w:color w:val="auto"/>
                <w:w w:val="90"/>
              </w:rPr>
              <w:t>(in thousands)</w:t>
            </w:r>
          </w:p>
        </w:tc>
        <w:tc>
          <w:tcPr>
            <w:tcW w:w="6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8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gridSpan w:val="2"/>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$37,255</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18,450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(161,617)</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w w:val="88"/>
              </w:rPr>
              <w:t>(105,797)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41,638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$(64,159)</w:t>
            </w:r>
          </w:p>
        </w:tc>
        <w:tc>
          <w:tcPr>
            <w:tcW w:w="0" w:type="dxa"/>
            <w:vAlign w:val="bottom"/>
          </w:tcPr>
          <w:p>
            <w:pPr>
              <w:spacing w:after="0"/>
              <w:rPr>
                <w:sz w:val="1"/>
                <w:szCs w:val="1"/>
                <w:color w:val="auto"/>
              </w:rPr>
            </w:pPr>
          </w:p>
        </w:tc>
      </w:tr>
      <w:tr>
        <w:trPr>
          <w:trHeight w:val="324"/>
        </w:trPr>
        <w:tc>
          <w:tcPr>
            <w:tcW w:w="4900" w:type="dxa"/>
            <w:vAlign w:val="bottom"/>
            <w:gridSpan w:val="2"/>
          </w:tcPr>
          <w:p>
            <w:pPr>
              <w:spacing w:after="0"/>
              <w:rPr>
                <w:sz w:val="20"/>
                <w:szCs w:val="20"/>
                <w:color w:val="auto"/>
              </w:rPr>
            </w:pPr>
            <w:r>
              <w:rPr>
                <w:rFonts w:ascii="Arial" w:cs="Arial" w:eastAsia="Arial" w:hAnsi="Arial"/>
                <w:sz w:val="18"/>
                <w:szCs w:val="18"/>
                <w:color w:val="auto"/>
              </w:rPr>
              <w:t>Other comprehensive income before reclassifications:</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holding gains, net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109,263</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121,301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(47,615)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(2,314)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350"/>
              <w:spacing w:after="0"/>
              <w:rPr>
                <w:sz w:val="20"/>
                <w:szCs w:val="20"/>
                <w:color w:val="auto"/>
              </w:rPr>
            </w:pPr>
            <w:r>
              <w:rPr>
                <w:rFonts w:ascii="Arial" w:cs="Arial" w:eastAsia="Arial" w:hAnsi="Arial"/>
                <w:sz w:val="18"/>
                <w:szCs w:val="18"/>
                <w:color w:val="auto"/>
              </w:rPr>
              <w:t>(2,314)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810</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losses on cash flow hedges</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(162)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Total other comprehensive income before reclassifications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12,038</w:t>
            </w: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109,263</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(2,476</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118,825</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(46,741</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Amounts reclassified from accumulated other comprehensive</w:t>
            </w: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that (increase)decrease net income:</w:t>
            </w: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w w:val="98"/>
              </w:rPr>
              <w:t>Accretion of unrealized holding losses on held-to-maturity</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520"/>
              <w:spacing w:after="0"/>
              <w:rPr>
                <w:sz w:val="20"/>
                <w:szCs w:val="20"/>
                <w:color w:val="auto"/>
              </w:rPr>
            </w:pPr>
            <w:r>
              <w:rPr>
                <w:rFonts w:ascii="Arial" w:cs="Arial" w:eastAsia="Arial" w:hAnsi="Arial"/>
                <w:sz w:val="18"/>
                <w:szCs w:val="18"/>
                <w:color w:val="auto"/>
              </w:rPr>
              <w:t>(“HTM”) securities</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2,539</w:t>
            </w:r>
          </w:p>
        </w:tc>
        <w:tc>
          <w:tcPr>
            <w:tcW w:w="28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2,540</w:t>
            </w:r>
          </w:p>
        </w:tc>
        <w:tc>
          <w:tcPr>
            <w:tcW w:w="20" w:type="dxa"/>
            <w:vAlign w:val="bottom"/>
          </w:tcPr>
          <w:p>
            <w:pPr>
              <w:spacing w:after="0"/>
              <w:rPr>
                <w:sz w:val="20"/>
                <w:szCs w:val="20"/>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(a)</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(997)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prior service credit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(5,933)</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(5,933)(d)</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Amortization of actuarial losses</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10,871</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10,871</w:t>
            </w:r>
          </w:p>
        </w:tc>
        <w:tc>
          <w:tcPr>
            <w:tcW w:w="480" w:type="dxa"/>
            <w:vAlign w:val="bottom"/>
          </w:tcPr>
          <w:p>
            <w:pPr>
              <w:ind w:left="40"/>
              <w:spacing w:after="0"/>
              <w:rPr>
                <w:sz w:val="20"/>
                <w:szCs w:val="20"/>
                <w:color w:val="auto"/>
              </w:rPr>
            </w:pPr>
            <w:r>
              <w:rPr>
                <w:rFonts w:ascii="Arial" w:cs="Arial" w:eastAsia="Arial" w:hAnsi="Arial"/>
                <w:sz w:val="18"/>
                <w:szCs w:val="18"/>
                <w:color w:val="auto"/>
              </w:rPr>
              <w:t>(d)</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(4,267)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reclassifications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4,938</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0"/>
        </w:trPr>
        <w:tc>
          <w:tcPr>
            <w:tcW w:w="490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900" w:type="dxa"/>
            <w:vAlign w:val="bottom"/>
            <w:gridSpan w:val="2"/>
          </w:tcPr>
          <w:p>
            <w:pPr>
              <w:spacing w:after="0"/>
              <w:rPr>
                <w:sz w:val="20"/>
                <w:szCs w:val="20"/>
                <w:color w:val="auto"/>
              </w:rPr>
            </w:pPr>
            <w:r>
              <w:rPr>
                <w:rFonts w:ascii="Arial" w:cs="Arial" w:eastAsia="Arial" w:hAnsi="Arial"/>
                <w:sz w:val="18"/>
                <w:szCs w:val="18"/>
                <w:color w:val="auto"/>
              </w:rPr>
              <w:t>Total gain (loss) during the period</w:t>
            </w:r>
          </w:p>
        </w:tc>
        <w:tc>
          <w:tcPr>
            <w:tcW w:w="600" w:type="dxa"/>
            <w:vAlign w:val="bottom"/>
          </w:tcPr>
          <w:p>
            <w:pPr>
              <w:jc w:val="right"/>
              <w:spacing w:after="0"/>
              <w:rPr>
                <w:sz w:val="20"/>
                <w:szCs w:val="20"/>
                <w:color w:val="auto"/>
              </w:rPr>
            </w:pPr>
            <w:r>
              <w:rPr>
                <w:rFonts w:ascii="Arial" w:cs="Arial" w:eastAsia="Arial" w:hAnsi="Arial"/>
                <w:sz w:val="18"/>
                <w:szCs w:val="18"/>
                <w:color w:val="auto"/>
              </w:rPr>
              <w:t>12,039</w:t>
            </w:r>
          </w:p>
        </w:tc>
        <w:tc>
          <w:tcPr>
            <w:tcW w:w="28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111,802</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4,938</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(2,476)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126,303</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(49,677)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76,626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2014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49,294</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130,252</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(156,679)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(2,361)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20,506</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(8,039)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$ 12,467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gridSpan w:val="2"/>
          </w:tcPr>
          <w:p>
            <w:pPr>
              <w:jc w:val="right"/>
              <w:ind w:right="434"/>
              <w:spacing w:after="0"/>
              <w:rPr>
                <w:sz w:val="20"/>
                <w:szCs w:val="20"/>
                <w:color w:val="auto"/>
              </w:rPr>
            </w:pPr>
            <w:r>
              <w:rPr>
                <w:rFonts w:ascii="Arial" w:cs="Arial" w:eastAsia="Arial" w:hAnsi="Arial"/>
                <w:sz w:val="18"/>
                <w:szCs w:val="18"/>
                <w:color w:val="auto"/>
                <w:w w:val="90"/>
              </w:rPr>
              <w:t>- 31 -</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9.</w:t>
            </w:r>
          </w:p>
        </w:tc>
        <w:tc>
          <w:tcPr>
            <w:tcW w:w="4680" w:type="dxa"/>
            <w:vAlign w:val="bottom"/>
          </w:tcPr>
          <w:p>
            <w:pPr>
              <w:ind w:left="300"/>
              <w:spacing w:after="0"/>
              <w:rPr>
                <w:sz w:val="20"/>
                <w:szCs w:val="20"/>
                <w:color w:val="auto"/>
              </w:rPr>
            </w:pPr>
            <w:r>
              <w:rPr>
                <w:rFonts w:ascii="Arial" w:cs="Arial" w:eastAsia="Arial" w:hAnsi="Arial"/>
                <w:sz w:val="18"/>
                <w:szCs w:val="18"/>
                <w:b w:val="1"/>
                <w:bCs w:val="1"/>
                <w:color w:val="auto"/>
              </w:rPr>
              <w:t>Comprehensive income, continued</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5"/>
          </w:tcPr>
          <w:p>
            <w:pPr>
              <w:ind w:left="80"/>
              <w:spacing w:after="0"/>
              <w:rPr>
                <w:sz w:val="20"/>
                <w:szCs w:val="20"/>
                <w:color w:val="auto"/>
              </w:rPr>
            </w:pPr>
            <w:r>
              <w:rPr>
                <w:rFonts w:ascii="Arial" w:cs="Arial" w:eastAsia="Arial" w:hAnsi="Arial"/>
                <w:sz w:val="14"/>
                <w:szCs w:val="14"/>
                <w:color w:val="auto"/>
              </w:rPr>
              <w:t>Investment Securities</w:t>
            </w: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5"/>
              </w:rPr>
              <w:t>Defined</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vMerge w:val="restart"/>
          </w:tcPr>
          <w:p>
            <w:pPr>
              <w:jc w:val="center"/>
              <w:ind w:right="20"/>
              <w:spacing w:after="0"/>
              <w:rPr>
                <w:sz w:val="20"/>
                <w:szCs w:val="20"/>
                <w:color w:val="auto"/>
              </w:rPr>
            </w:pPr>
            <w:r>
              <w:rPr>
                <w:rFonts w:ascii="Arial" w:cs="Arial" w:eastAsia="Arial" w:hAnsi="Arial"/>
                <w:sz w:val="14"/>
                <w:szCs w:val="14"/>
                <w:color w:val="auto"/>
                <w:w w:val="96"/>
              </w:rPr>
              <w:t>Total</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With</w:t>
            </w:r>
          </w:p>
        </w:tc>
        <w:tc>
          <w:tcPr>
            <w:tcW w:w="9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All</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benefit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9"/>
              </w:rPr>
              <w:t>amount</w:t>
            </w:r>
          </w:p>
        </w:tc>
        <w:tc>
          <w:tcPr>
            <w:tcW w:w="4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Income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color w:val="auto"/>
              </w:rPr>
              <w:t>OTTI</w:t>
            </w:r>
          </w:p>
        </w:tc>
        <w:tc>
          <w:tcPr>
            <w:tcW w:w="940" w:type="dxa"/>
            <w:vAlign w:val="bottom"/>
            <w:gridSpan w:val="2"/>
          </w:tcPr>
          <w:p>
            <w:pPr>
              <w:jc w:val="right"/>
              <w:ind w:right="460"/>
              <w:spacing w:after="0"/>
              <w:rPr>
                <w:sz w:val="20"/>
                <w:szCs w:val="20"/>
                <w:color w:val="auto"/>
              </w:rPr>
            </w:pPr>
            <w:r>
              <w:rPr>
                <w:rFonts w:ascii="Arial" w:cs="Arial" w:eastAsia="Arial" w:hAnsi="Arial"/>
                <w:sz w:val="14"/>
                <w:szCs w:val="14"/>
                <w:color w:val="auto"/>
              </w:rPr>
              <w:t>other</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color w:val="auto"/>
                <w:w w:val="89"/>
              </w:rPr>
              <w:t>plans</w:t>
            </w:r>
          </w:p>
        </w:tc>
        <w:tc>
          <w:tcPr>
            <w:tcW w:w="14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auto"/>
              </w:rPr>
              <w:t>Other</w:t>
            </w:r>
          </w:p>
        </w:tc>
        <w:tc>
          <w:tcPr>
            <w:tcW w:w="760" w:type="dxa"/>
            <w:vAlign w:val="bottom"/>
            <w:gridSpan w:val="2"/>
          </w:tcPr>
          <w:p>
            <w:pPr>
              <w:jc w:val="center"/>
              <w:ind w:right="20"/>
              <w:spacing w:after="0"/>
              <w:rPr>
                <w:sz w:val="20"/>
                <w:szCs w:val="20"/>
                <w:color w:val="auto"/>
              </w:rPr>
            </w:pPr>
            <w:r>
              <w:rPr>
                <w:rFonts w:ascii="Arial" w:cs="Arial" w:eastAsia="Arial" w:hAnsi="Arial"/>
                <w:sz w:val="14"/>
                <w:szCs w:val="14"/>
                <w:color w:val="auto"/>
                <w:w w:val="93"/>
              </w:rPr>
              <w:t>before tax</w:t>
            </w:r>
          </w:p>
        </w:tc>
        <w:tc>
          <w:tcPr>
            <w:tcW w:w="480" w:type="dxa"/>
            <w:vAlign w:val="bottom"/>
          </w:tcPr>
          <w:p>
            <w:pPr>
              <w:spacing w:after="0"/>
              <w:rPr>
                <w:sz w:val="14"/>
                <w:szCs w:val="14"/>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color w:val="auto"/>
              </w:rPr>
              <w:t>tax</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5"/>
          </w:tcPr>
          <w:p>
            <w:pPr>
              <w:ind w:left="80"/>
              <w:spacing w:after="0"/>
              <w:rPr>
                <w:sz w:val="20"/>
                <w:szCs w:val="20"/>
                <w:color w:val="auto"/>
              </w:rPr>
            </w:pPr>
            <w:r>
              <w:rPr>
                <w:rFonts w:ascii="Arial" w:cs="Arial" w:eastAsia="Arial" w:hAnsi="Arial"/>
                <w:sz w:val="14"/>
                <w:szCs w:val="14"/>
                <w:color w:val="auto"/>
              </w:rPr>
              <w:t>(in thousands)</w:t>
            </w:r>
          </w:p>
        </w:tc>
        <w:tc>
          <w:tcPr>
            <w:tcW w:w="4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82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gridSpan w:val="2"/>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January 1, 2013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2"/>
              </w:rPr>
              <w:t>(91,835)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152,199</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(455,590)</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(431)</w:t>
            </w:r>
          </w:p>
        </w:tc>
        <w:tc>
          <w:tcPr>
            <w:tcW w:w="124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w w:val="89"/>
              </w:rPr>
              <w:t>$(395,657)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155,393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$(240,264)</w:t>
            </w:r>
          </w:p>
        </w:tc>
        <w:tc>
          <w:tcPr>
            <w:tcW w:w="0" w:type="dxa"/>
            <w:vAlign w:val="bottom"/>
          </w:tcPr>
          <w:p>
            <w:pPr>
              <w:spacing w:after="0"/>
              <w:rPr>
                <w:sz w:val="1"/>
                <w:szCs w:val="1"/>
                <w:color w:val="auto"/>
              </w:rPr>
            </w:pPr>
          </w:p>
        </w:tc>
      </w:tr>
      <w:tr>
        <w:trPr>
          <w:trHeight w:val="324"/>
        </w:trPr>
        <w:tc>
          <w:tcPr>
            <w:tcW w:w="4840" w:type="dxa"/>
            <w:vAlign w:val="bottom"/>
            <w:gridSpan w:val="3"/>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holding gains (losses), net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59,523</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(61,706)</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(2,183)</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w w:val="86"/>
              </w:rPr>
              <w:t>296</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296</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comprehensive income before reclassifications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(61,706)</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296</w:t>
            </w:r>
          </w:p>
        </w:tc>
        <w:tc>
          <w:tcPr>
            <w:tcW w:w="124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(1,887)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317"/>
        </w:trPr>
        <w:tc>
          <w:tcPr>
            <w:tcW w:w="4840" w:type="dxa"/>
            <w:vAlign w:val="bottom"/>
            <w:gridSpan w:val="3"/>
          </w:tcPr>
          <w:p>
            <w:pPr>
              <w:spacing w:after="0"/>
              <w:rPr>
                <w:sz w:val="20"/>
                <w:szCs w:val="20"/>
                <w:color w:val="auto"/>
              </w:rPr>
            </w:pPr>
            <w:r>
              <w:rPr>
                <w:rFonts w:ascii="Arial" w:cs="Arial" w:eastAsia="Arial" w:hAnsi="Arial"/>
                <w:sz w:val="18"/>
                <w:szCs w:val="18"/>
                <w:color w:val="auto"/>
                <w:w w:val="98"/>
              </w:rPr>
              <w:t>Amounts reclassified from accumulated other comprehensive</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income that (increase) decrease net income:</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Accretion of unrealized holding losses on HTM securities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3,357</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OTTI charges recognized in net income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9,800</w:t>
            </w:r>
          </w:p>
        </w:tc>
        <w:tc>
          <w:tcPr>
            <w:tcW w:w="2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9,800</w:t>
            </w:r>
          </w:p>
        </w:tc>
        <w:tc>
          <w:tcPr>
            <w:tcW w:w="480" w:type="dxa"/>
            <w:vAlign w:val="bottom"/>
          </w:tcPr>
          <w:p>
            <w:pPr>
              <w:ind w:left="20"/>
              <w:spacing w:after="0"/>
              <w:rPr>
                <w:sz w:val="20"/>
                <w:szCs w:val="20"/>
                <w:color w:val="auto"/>
              </w:rPr>
            </w:pPr>
            <w:r>
              <w:rPr>
                <w:rFonts w:ascii="Arial" w:cs="Arial" w:eastAsia="Arial" w:hAnsi="Arial"/>
                <w:sz w:val="18"/>
                <w:szCs w:val="18"/>
                <w:color w:val="auto"/>
              </w:rPr>
              <w:t>(b)</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(3,847)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Losses (gains) realized in net income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41,217</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(8,129)</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33,088</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(12,987)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Amortization of prior service credit</w:t>
            </w:r>
          </w:p>
        </w:tc>
        <w:tc>
          <w:tcPr>
            <w:tcW w:w="100" w:type="dxa"/>
            <w:vAlign w:val="bottom"/>
          </w:tcPr>
          <w:p>
            <w:pPr>
              <w:spacing w:after="0"/>
              <w:rPr>
                <w:sz w:val="18"/>
                <w:szCs w:val="18"/>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(5,936)</w:t>
            </w:r>
          </w:p>
        </w:tc>
        <w:tc>
          <w:tcPr>
            <w:tcW w:w="14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50"/>
              <w:spacing w:after="0"/>
              <w:rPr>
                <w:sz w:val="20"/>
                <w:szCs w:val="20"/>
                <w:color w:val="auto"/>
              </w:rPr>
            </w:pPr>
            <w:r>
              <w:rPr>
                <w:rFonts w:ascii="Arial" w:cs="Arial" w:eastAsia="Arial" w:hAnsi="Arial"/>
                <w:sz w:val="18"/>
                <w:szCs w:val="18"/>
                <w:color w:val="auto"/>
              </w:rPr>
              <w:t>(5,936)(d)</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2,330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actuarial losses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31,077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31,077</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(12,198)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18,879</w:t>
            </w:r>
          </w:p>
        </w:tc>
        <w:tc>
          <w:tcPr>
            <w:tcW w:w="0" w:type="dxa"/>
            <w:vAlign w:val="bottom"/>
          </w:tcPr>
          <w:p>
            <w:pPr>
              <w:spacing w:after="0"/>
              <w:rPr>
                <w:sz w:val="1"/>
                <w:szCs w:val="1"/>
                <w:color w:val="auto"/>
              </w:rPr>
            </w:pPr>
          </w:p>
        </w:tc>
      </w:tr>
      <w:tr>
        <w:trPr>
          <w:trHeight w:val="223"/>
        </w:trPr>
        <w:tc>
          <w:tcPr>
            <w:tcW w:w="4840" w:type="dxa"/>
            <w:vAlign w:val="bottom"/>
            <w:gridSpan w:val="3"/>
          </w:tcPr>
          <w:p>
            <w:pPr>
              <w:spacing w:after="0"/>
              <w:rPr>
                <w:sz w:val="20"/>
                <w:szCs w:val="20"/>
                <w:color w:val="auto"/>
              </w:rPr>
            </w:pPr>
            <w:r>
              <w:rPr>
                <w:rFonts w:ascii="Arial" w:cs="Arial" w:eastAsia="Arial" w:hAnsi="Arial"/>
                <w:sz w:val="18"/>
                <w:szCs w:val="18"/>
                <w:color w:val="auto"/>
              </w:rPr>
              <w:t>Total reclassifications</w:t>
            </w: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51,247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(5,002)</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25,141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71,386</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(28,020)</w:t>
            </w:r>
          </w:p>
        </w:tc>
        <w:tc>
          <w:tcPr>
            <w:tcW w:w="2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gain (loss) during the period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110,770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(66,708)</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25,141</w:t>
            </w:r>
          </w:p>
        </w:tc>
        <w:tc>
          <w:tcPr>
            <w:tcW w:w="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296</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69,499</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(27,297)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42,202</w:t>
            </w:r>
          </w:p>
        </w:tc>
        <w:tc>
          <w:tcPr>
            <w:tcW w:w="0" w:type="dxa"/>
            <w:vAlign w:val="bottom"/>
          </w:tcPr>
          <w:p>
            <w:pPr>
              <w:spacing w:after="0"/>
              <w:rPr>
                <w:sz w:val="1"/>
                <w:szCs w:val="1"/>
                <w:color w:val="auto"/>
              </w:rPr>
            </w:pPr>
          </w:p>
        </w:tc>
      </w:tr>
      <w:tr>
        <w:trPr>
          <w:trHeight w:val="20"/>
        </w:trPr>
        <w:tc>
          <w:tcPr>
            <w:tcW w:w="484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840" w:type="dxa"/>
            <w:vAlign w:val="bottom"/>
            <w:gridSpan w:val="3"/>
          </w:tcPr>
          <w:p>
            <w:pPr>
              <w:spacing w:after="0"/>
              <w:rPr>
                <w:sz w:val="20"/>
                <w:szCs w:val="20"/>
                <w:color w:val="auto"/>
              </w:rPr>
            </w:pPr>
            <w:r>
              <w:rPr>
                <w:rFonts w:ascii="Arial" w:cs="Arial" w:eastAsia="Arial" w:hAnsi="Arial"/>
                <w:sz w:val="18"/>
                <w:szCs w:val="18"/>
                <w:color w:val="auto"/>
              </w:rPr>
              <w:t>Balance – September 30, 2013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18,935</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85,491</w:t>
            </w:r>
          </w:p>
        </w:tc>
        <w:tc>
          <w:tcPr>
            <w:tcW w:w="2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(430,449)</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(135)</w:t>
            </w:r>
          </w:p>
        </w:tc>
        <w:tc>
          <w:tcPr>
            <w:tcW w:w="1240" w:type="dxa"/>
            <w:vAlign w:val="bottom"/>
            <w:gridSpan w:val="3"/>
          </w:tcPr>
          <w:p>
            <w:pPr>
              <w:jc w:val="right"/>
              <w:ind w:right="35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(326,158)</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128,096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(198,062)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income</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OTTI losses recognized in earnings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gain (loss) on bank investment securities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salaries and employee benefits expense</w:t>
      </w:r>
    </w:p>
    <w:p>
      <w:pPr>
        <w:spacing w:after="0" w:line="210"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Accumulated other comprehensive income (loss), net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20" w:type="dxa"/>
            <w:vAlign w:val="bottom"/>
            <w:gridSpan w:val="4"/>
            <w:vMerge w:val="restart"/>
          </w:tcPr>
          <w:p>
            <w:pPr>
              <w:ind w:left="140"/>
              <w:spacing w:after="0"/>
              <w:rPr>
                <w:sz w:val="20"/>
                <w:szCs w:val="20"/>
                <w:color w:val="auto"/>
              </w:rPr>
            </w:pPr>
            <w:r>
              <w:rPr>
                <w:rFonts w:ascii="Arial" w:cs="Arial" w:eastAsia="Arial" w:hAnsi="Arial"/>
                <w:sz w:val="14"/>
                <w:szCs w:val="14"/>
                <w:color w:val="auto"/>
              </w:rPr>
              <w:t>Investment securities</w:t>
            </w: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Defined</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3840" w:type="dxa"/>
            <w:vAlign w:val="bottom"/>
          </w:tcPr>
          <w:p>
            <w:pPr>
              <w:spacing w:after="0"/>
              <w:rPr>
                <w:sz w:val="6"/>
                <w:szCs w:val="6"/>
                <w:color w:val="auto"/>
              </w:rPr>
            </w:pPr>
          </w:p>
        </w:tc>
        <w:tc>
          <w:tcPr>
            <w:tcW w:w="3200" w:type="dxa"/>
            <w:vAlign w:val="bottom"/>
          </w:tcPr>
          <w:p>
            <w:pPr>
              <w:spacing w:after="0"/>
              <w:rPr>
                <w:sz w:val="6"/>
                <w:szCs w:val="6"/>
                <w:color w:val="auto"/>
              </w:rPr>
            </w:pPr>
          </w:p>
        </w:tc>
        <w:tc>
          <w:tcPr>
            <w:tcW w:w="1620" w:type="dxa"/>
            <w:vAlign w:val="bottom"/>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color w:val="auto"/>
                <w:w w:val="95"/>
              </w:rPr>
              <w:t>benefit</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840" w:type="dxa"/>
            <w:vAlign w:val="bottom"/>
          </w:tcPr>
          <w:p>
            <w:pPr>
              <w:spacing w:after="0"/>
              <w:rPr>
                <w:sz w:val="4"/>
                <w:szCs w:val="4"/>
                <w:color w:val="auto"/>
              </w:rPr>
            </w:pPr>
          </w:p>
        </w:tc>
        <w:tc>
          <w:tcPr>
            <w:tcW w:w="320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w w:val="97"/>
              </w:rPr>
              <w:t>With OTTI</w:t>
            </w:r>
          </w:p>
        </w:tc>
        <w:tc>
          <w:tcPr>
            <w:tcW w:w="660" w:type="dxa"/>
            <w:vAlign w:val="bottom"/>
            <w:gridSpan w:val="2"/>
          </w:tcPr>
          <w:p>
            <w:pPr>
              <w:ind w:left="20"/>
              <w:spacing w:after="0"/>
              <w:rPr>
                <w:sz w:val="20"/>
                <w:szCs w:val="20"/>
                <w:color w:val="auto"/>
              </w:rPr>
            </w:pPr>
            <w:r>
              <w:rPr>
                <w:rFonts w:ascii="Arial" w:cs="Arial" w:eastAsia="Arial" w:hAnsi="Arial"/>
                <w:sz w:val="14"/>
                <w:szCs w:val="14"/>
                <w:color w:val="auto"/>
              </w:rPr>
              <w:t>All other</w:t>
            </w: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plans</w:t>
            </w:r>
          </w:p>
        </w:tc>
        <w:tc>
          <w:tcPr>
            <w:tcW w:w="840" w:type="dxa"/>
            <w:vAlign w:val="bottom"/>
            <w:gridSpan w:val="2"/>
          </w:tcPr>
          <w:p>
            <w:pPr>
              <w:jc w:val="right"/>
              <w:ind w:right="420"/>
              <w:spacing w:after="0"/>
              <w:rPr>
                <w:sz w:val="20"/>
                <w:szCs w:val="20"/>
                <w:color w:val="auto"/>
              </w:rPr>
            </w:pPr>
            <w:r>
              <w:rPr>
                <w:rFonts w:ascii="Arial" w:cs="Arial" w:eastAsia="Arial" w:hAnsi="Arial"/>
                <w:sz w:val="14"/>
                <w:szCs w:val="14"/>
                <w:color w:val="auto"/>
              </w:rPr>
              <w:t>Other</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color w:val="auto"/>
                <w:w w:val="92"/>
              </w:rPr>
              <w:t>(in thousands)</w:t>
            </w:r>
          </w:p>
        </w:tc>
        <w:tc>
          <w:tcPr>
            <w:tcW w:w="5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3840" w:type="dxa"/>
            <w:vAlign w:val="bottom"/>
          </w:tcPr>
          <w:p>
            <w:pPr>
              <w:spacing w:after="0"/>
              <w:rPr>
                <w:sz w:val="6"/>
                <w:szCs w:val="6"/>
                <w:color w:val="auto"/>
              </w:rPr>
            </w:pPr>
          </w:p>
        </w:tc>
        <w:tc>
          <w:tcPr>
            <w:tcW w:w="3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2013</w:t>
            </w:r>
          </w:p>
        </w:tc>
        <w:tc>
          <w:tcPr>
            <w:tcW w:w="4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$ 22,632</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11,294</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(98,182)</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$(64,159)</w:t>
            </w:r>
          </w:p>
        </w:tc>
        <w:tc>
          <w:tcPr>
            <w:tcW w:w="0" w:type="dxa"/>
            <w:vAlign w:val="bottom"/>
          </w:tcPr>
          <w:p>
            <w:pPr>
              <w:spacing w:after="0"/>
              <w:rPr>
                <w:sz w:val="1"/>
                <w:szCs w:val="1"/>
                <w:color w:val="auto"/>
              </w:rPr>
            </w:pPr>
          </w:p>
        </w:tc>
      </w:tr>
      <w:tr>
        <w:trPr>
          <w:trHeight w:val="324"/>
        </w:trPr>
        <w:tc>
          <w:tcPr>
            <w:tcW w:w="3860" w:type="dxa"/>
            <w:vAlign w:val="bottom"/>
            <w:gridSpan w:val="2"/>
          </w:tcPr>
          <w:p>
            <w:pPr>
              <w:spacing w:after="0"/>
              <w:rPr>
                <w:sz w:val="20"/>
                <w:szCs w:val="20"/>
                <w:color w:val="auto"/>
              </w:rPr>
            </w:pPr>
            <w:r>
              <w:rPr>
                <w:rFonts w:ascii="Arial" w:cs="Arial" w:eastAsia="Arial" w:hAnsi="Arial"/>
                <w:sz w:val="18"/>
                <w:szCs w:val="18"/>
                <w:color w:val="auto"/>
              </w:rPr>
              <w:t>Net gain (loss) during period</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7,314</w:t>
            </w:r>
          </w:p>
        </w:tc>
        <w:tc>
          <w:tcPr>
            <w:tcW w:w="32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67,915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2,999</w:t>
            </w:r>
          </w:p>
        </w:tc>
        <w:tc>
          <w:tcPr>
            <w:tcW w:w="32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(1,602)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76,626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84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2014</w:t>
            </w:r>
          </w:p>
        </w:tc>
        <w:tc>
          <w:tcPr>
            <w:tcW w:w="4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$ 29,946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79,209</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(95,183)</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(1,505)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$ 12,467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200" w:type="dxa"/>
            <w:vAlign w:val="bottom"/>
            <w:vMerge w:val="restart"/>
          </w:tcPr>
          <w:p>
            <w:pPr>
              <w:jc w:val="right"/>
              <w:ind w:right="1070"/>
              <w:spacing w:after="0"/>
              <w:rPr>
                <w:sz w:val="20"/>
                <w:szCs w:val="20"/>
                <w:color w:val="auto"/>
              </w:rPr>
            </w:pPr>
            <w:r>
              <w:rPr>
                <w:rFonts w:ascii="Arial" w:cs="Arial" w:eastAsia="Arial" w:hAnsi="Arial"/>
                <w:sz w:val="18"/>
                <w:szCs w:val="18"/>
                <w:color w:val="auto"/>
              </w:rPr>
              <w:t>- 32 -</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is not significant as of September 30, 2014.</w:t>
      </w:r>
    </w:p>
    <w:p>
      <w:pPr>
        <w:spacing w:after="0" w:line="193" w:lineRule="exact"/>
        <w:rPr>
          <w:sz w:val="20"/>
          <w:szCs w:val="20"/>
          <w:color w:val="auto"/>
        </w:rPr>
      </w:pPr>
    </w:p>
    <w:p>
      <w:pPr>
        <w:ind w:right="860" w:firstLine="456"/>
        <w:spacing w:after="0" w:line="342" w:lineRule="auto"/>
        <w:rPr>
          <w:sz w:val="20"/>
          <w:szCs w:val="20"/>
          <w:color w:val="auto"/>
        </w:rPr>
      </w:pPr>
      <w:r>
        <w:rPr>
          <w:rFonts w:ascii="Arial" w:cs="Arial" w:eastAsia="Arial" w:hAnsi="Arial"/>
          <w:sz w:val="16"/>
          <w:szCs w:val="16"/>
          <w:color w:val="auto"/>
        </w:rPr>
        <w:t>The net effect of interest rate swap agreements was to increase net interest income by $11 million for each of the three-month periods ended September 30, 2014 and 2013, and $34 million and $30 million for the nine-month periods ended September 30, 2014 and 2013, respectively.</w:t>
      </w:r>
    </w:p>
    <w:p>
      <w:pPr>
        <w:spacing w:after="0" w:line="12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At September 30, 2014, interest rate swap agreements were used as fair value hedges for approximately $1.4 billion of outstanding fixed rate long-term borrowings. Information about interest rate swap agreements entered into for interest rate risk management purposes summarized by type of financial instrument the swap agreements were intended to hedge follows: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4"/>
          </w:tcPr>
          <w:p>
            <w:pPr>
              <w:jc w:val="right"/>
              <w:ind w:right="520"/>
              <w:spacing w:after="0"/>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67"/>
        </w:trPr>
        <w:tc>
          <w:tcPr>
            <w:tcW w:w="7120" w:type="dxa"/>
            <w:vAlign w:val="bottom"/>
          </w:tcPr>
          <w:p>
            <w:pPr>
              <w:spacing w:after="0"/>
              <w:rPr>
                <w:sz w:val="14"/>
                <w:szCs w:val="14"/>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color w:val="auto"/>
                <w:w w:val="97"/>
              </w:rPr>
              <w:t>Notional</w:t>
            </w: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Average</w:t>
            </w:r>
          </w:p>
        </w:tc>
        <w:tc>
          <w:tcPr>
            <w:tcW w:w="1440" w:type="dxa"/>
            <w:vAlign w:val="bottom"/>
            <w:gridSpan w:val="4"/>
          </w:tcPr>
          <w:p>
            <w:pPr>
              <w:jc w:val="right"/>
              <w:ind w:right="480"/>
              <w:spacing w:after="0"/>
              <w:rPr>
                <w:sz w:val="20"/>
                <w:szCs w:val="20"/>
                <w:color w:val="auto"/>
              </w:rPr>
            </w:pPr>
            <w:r>
              <w:rPr>
                <w:rFonts w:ascii="Arial" w:cs="Arial" w:eastAsia="Arial" w:hAnsi="Arial"/>
                <w:sz w:val="14"/>
                <w:szCs w:val="14"/>
                <w:color w:val="auto"/>
              </w:rPr>
              <w:t>average rate</w:t>
            </w: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1100" w:type="dxa"/>
            <w:vAlign w:val="bottom"/>
            <w:gridSpan w:val="3"/>
          </w:tcPr>
          <w:p>
            <w:pPr>
              <w:jc w:val="center"/>
              <w:ind w:right="300"/>
              <w:spacing w:after="0" w:line="142" w:lineRule="exact"/>
              <w:rPr>
                <w:sz w:val="20"/>
                <w:szCs w:val="20"/>
                <w:color w:val="auto"/>
              </w:rPr>
            </w:pPr>
            <w:r>
              <w:rPr>
                <w:rFonts w:ascii="Arial" w:cs="Arial" w:eastAsia="Arial" w:hAnsi="Arial"/>
                <w:sz w:val="14"/>
                <w:szCs w:val="14"/>
                <w:color w:val="auto"/>
                <w:w w:val="94"/>
              </w:rPr>
              <w:t>amount</w:t>
            </w:r>
          </w:p>
        </w:tc>
        <w:tc>
          <w:tcPr>
            <w:tcW w:w="840" w:type="dxa"/>
            <w:vAlign w:val="bottom"/>
            <w:gridSpan w:val="2"/>
          </w:tcPr>
          <w:p>
            <w:pPr>
              <w:ind w:left="40"/>
              <w:spacing w:after="0" w:line="142" w:lineRule="exact"/>
              <w:rPr>
                <w:sz w:val="20"/>
                <w:szCs w:val="20"/>
                <w:color w:val="auto"/>
              </w:rPr>
            </w:pPr>
            <w:r>
              <w:rPr>
                <w:rFonts w:ascii="Arial" w:cs="Arial" w:eastAsia="Arial" w:hAnsi="Arial"/>
                <w:sz w:val="14"/>
                <w:szCs w:val="14"/>
                <w:color w:val="auto"/>
              </w:rPr>
              <w:t>maturity</w:t>
            </w:r>
          </w:p>
        </w:tc>
        <w:tc>
          <w:tcPr>
            <w:tcW w:w="76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color w:val="auto"/>
                <w:w w:val="93"/>
              </w:rPr>
              <w:t>Fixed</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Variable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280" w:type="dxa"/>
            <w:vAlign w:val="bottom"/>
            <w:gridSpan w:val="2"/>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(in years)</w:t>
            </w:r>
          </w:p>
        </w:tc>
        <w:tc>
          <w:tcPr>
            <w:tcW w:w="2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2014</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Fair value hedges:</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8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1,400,000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4.42%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color w:val="auto"/>
              </w:rPr>
              <w:t>December 31, 2013</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1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1,400,000</w:t>
            </w:r>
          </w:p>
        </w:tc>
        <w:tc>
          <w:tcPr>
            <w:tcW w:w="2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4.42%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these agreements, the Company receives settlement amounts at a fixed rate and pays at a variable rate.</w:t>
      </w:r>
    </w:p>
    <w:p>
      <w:pPr>
        <w:spacing w:after="0" w:line="225"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166"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Derivative financial instruments used for trading account purposes included interest rate contracts, foreign exchange and other option contracts, foreign exchange forward and spot contracts, and financial futures. Interest rate contracts entered into for trading account purposes had notional values of $17.2 billion and $17.4 billion at September 30, 2014 and December 31, 2013, respectively. The notional amounts of foreign currency and other option and futures contracts entered into for trading account purposes aggregated $1.0 billion and $1.4 billion at September 30, 2014 and December 31, 2013, respectively.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Information about the fair values of derivative instruments in the Company’s consolidated balance sheet and consolidated statement of income follows:</w:t>
      </w:r>
    </w:p>
    <w:p>
      <w:pPr>
        <w:spacing w:after="0" w:line="271"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4"/>
          </w:tcPr>
          <w:p>
            <w:pPr>
              <w:ind w:left="440"/>
              <w:spacing w:after="0"/>
              <w:rPr>
                <w:sz w:val="20"/>
                <w:szCs w:val="20"/>
                <w:color w:val="auto"/>
              </w:rPr>
            </w:pPr>
            <w:r>
              <w:rPr>
                <w:rFonts w:ascii="Arial" w:cs="Arial" w:eastAsia="Arial" w:hAnsi="Arial"/>
                <w:sz w:val="14"/>
                <w:szCs w:val="14"/>
                <w:color w:val="auto"/>
              </w:rPr>
              <w:t>Asset derivatives</w:t>
            </w:r>
          </w:p>
        </w:tc>
        <w:tc>
          <w:tcPr>
            <w:tcW w:w="200" w:type="dxa"/>
            <w:vAlign w:val="bottom"/>
          </w:tcPr>
          <w:p>
            <w:pPr>
              <w:spacing w:after="0"/>
              <w:rPr>
                <w:sz w:val="14"/>
                <w:szCs w:val="14"/>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4"/>
                <w:szCs w:val="14"/>
                <w:color w:val="auto"/>
              </w:rPr>
              <w:t>Liability derivatives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20" w:type="dxa"/>
            <w:vAlign w:val="bottom"/>
            <w:tcBorders>
              <w:top w:val="single" w:sz="8" w:color="auto"/>
              <w:bottom w:val="single" w:sz="8" w:color="auto"/>
            </w:tcBorders>
            <w:gridSpan w:val="3"/>
          </w:tcPr>
          <w:p>
            <w:pPr>
              <w:jc w:val="right"/>
              <w:ind w:right="714"/>
              <w:spacing w:after="0" w:line="142" w:lineRule="exact"/>
              <w:rPr>
                <w:sz w:val="20"/>
                <w:szCs w:val="20"/>
                <w:color w:val="auto"/>
              </w:rPr>
            </w:pPr>
            <w:r>
              <w:rPr>
                <w:rFonts w:ascii="Arial" w:cs="Arial" w:eastAsia="Arial" w:hAnsi="Arial"/>
                <w:sz w:val="14"/>
                <w:szCs w:val="14"/>
                <w:color w:val="auto"/>
              </w:rPr>
              <w:t>Fair value</w:t>
            </w:r>
          </w:p>
        </w:tc>
        <w:tc>
          <w:tcPr>
            <w:tcW w:w="5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980" w:type="dxa"/>
            <w:vAlign w:val="bottom"/>
            <w:tcBorders>
              <w:top w:val="single" w:sz="8" w:color="auto"/>
              <w:bottom w:val="single" w:sz="8" w:color="auto"/>
            </w:tcBorders>
            <w:gridSpan w:val="3"/>
          </w:tcPr>
          <w:p>
            <w:pPr>
              <w:jc w:val="right"/>
              <w:ind w:right="713"/>
              <w:spacing w:after="0" w:line="142" w:lineRule="exact"/>
              <w:rPr>
                <w:sz w:val="20"/>
                <w:szCs w:val="20"/>
                <w:color w:val="auto"/>
              </w:rPr>
            </w:pPr>
            <w:r>
              <w:rPr>
                <w:rFonts w:ascii="Arial" w:cs="Arial" w:eastAsia="Arial" w:hAnsi="Arial"/>
                <w:sz w:val="14"/>
                <w:szCs w:val="14"/>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1360" w:type="dxa"/>
            <w:vAlign w:val="bottom"/>
            <w:gridSpan w:val="3"/>
          </w:tcPr>
          <w:p>
            <w:pPr>
              <w:spacing w:after="0" w:line="123" w:lineRule="exact"/>
              <w:rPr>
                <w:sz w:val="20"/>
                <w:szCs w:val="20"/>
                <w:color w:val="auto"/>
              </w:rPr>
            </w:pPr>
            <w:r>
              <w:rPr>
                <w:rFonts w:ascii="Arial" w:cs="Arial" w:eastAsia="Arial" w:hAnsi="Arial"/>
                <w:sz w:val="14"/>
                <w:szCs w:val="14"/>
                <w:color w:val="auto"/>
              </w:rPr>
              <w:t>September 30,</w:t>
            </w:r>
          </w:p>
        </w:tc>
        <w:tc>
          <w:tcPr>
            <w:tcW w:w="820" w:type="dxa"/>
            <w:vAlign w:val="bottom"/>
          </w:tcPr>
          <w:p>
            <w:pPr>
              <w:jc w:val="right"/>
              <w:spacing w:after="0" w:line="123" w:lineRule="exact"/>
              <w:rPr>
                <w:sz w:val="20"/>
                <w:szCs w:val="20"/>
                <w:color w:val="auto"/>
              </w:rPr>
            </w:pPr>
            <w:r>
              <w:rPr>
                <w:rFonts w:ascii="Arial" w:cs="Arial" w:eastAsia="Arial" w:hAnsi="Arial"/>
                <w:sz w:val="14"/>
                <w:szCs w:val="14"/>
                <w:color w:val="auto"/>
                <w:w w:val="90"/>
              </w:rPr>
              <w:t>December 31,</w:t>
            </w:r>
          </w:p>
        </w:tc>
        <w:tc>
          <w:tcPr>
            <w:tcW w:w="540" w:type="dxa"/>
            <w:vAlign w:val="bottom"/>
          </w:tcPr>
          <w:p>
            <w:pPr>
              <w:spacing w:after="0"/>
              <w:rPr>
                <w:sz w:val="10"/>
                <w:szCs w:val="10"/>
                <w:color w:val="auto"/>
              </w:rPr>
            </w:pPr>
          </w:p>
        </w:tc>
        <w:tc>
          <w:tcPr>
            <w:tcW w:w="1380" w:type="dxa"/>
            <w:vAlign w:val="bottom"/>
            <w:gridSpan w:val="3"/>
          </w:tcPr>
          <w:p>
            <w:pPr>
              <w:spacing w:after="0" w:line="123" w:lineRule="exact"/>
              <w:rPr>
                <w:sz w:val="20"/>
                <w:szCs w:val="20"/>
                <w:color w:val="auto"/>
              </w:rPr>
            </w:pPr>
            <w:r>
              <w:rPr>
                <w:rFonts w:ascii="Arial" w:cs="Arial" w:eastAsia="Arial" w:hAnsi="Arial"/>
                <w:sz w:val="14"/>
                <w:szCs w:val="14"/>
                <w:color w:val="auto"/>
              </w:rPr>
              <w:t>September 30,</w:t>
            </w:r>
          </w:p>
        </w:tc>
        <w:tc>
          <w:tcPr>
            <w:tcW w:w="800" w:type="dxa"/>
            <w:vAlign w:val="bottom"/>
          </w:tcPr>
          <w:p>
            <w:pPr>
              <w:jc w:val="right"/>
              <w:spacing w:after="0" w:line="123" w:lineRule="exact"/>
              <w:rPr>
                <w:sz w:val="20"/>
                <w:szCs w:val="20"/>
                <w:color w:val="auto"/>
              </w:rPr>
            </w:pPr>
            <w:r>
              <w:rPr>
                <w:rFonts w:ascii="Arial" w:cs="Arial" w:eastAsia="Arial" w:hAnsi="Arial"/>
                <w:sz w:val="14"/>
                <w:szCs w:val="14"/>
                <w:color w:val="auto"/>
                <w:w w:val="88"/>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2014</w:t>
            </w: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2013</w:t>
            </w: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2014</w:t>
            </w:r>
          </w:p>
        </w:tc>
        <w:tc>
          <w:tcPr>
            <w:tcW w:w="5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60" w:type="dxa"/>
            <w:vAlign w:val="bottom"/>
            <w:gridSpan w:val="3"/>
          </w:tcPr>
          <w:p>
            <w:pPr>
              <w:ind w:left="680"/>
              <w:spacing w:after="0" w:line="142" w:lineRule="exact"/>
              <w:rPr>
                <w:sz w:val="20"/>
                <w:szCs w:val="20"/>
                <w:color w:val="auto"/>
              </w:rPr>
            </w:pPr>
            <w:r>
              <w:rPr>
                <w:rFonts w:ascii="Arial" w:cs="Arial" w:eastAsia="Arial" w:hAnsi="Arial"/>
                <w:sz w:val="14"/>
                <w:szCs w:val="14"/>
                <w:color w:val="auto"/>
                <w:w w:val="96"/>
              </w:rPr>
              <w:t>(in thousands)</w:t>
            </w: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and qualifying as hedging instruments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Fair value hedges: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 (a)</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76,249</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102,875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1,454</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6,957</w:t>
            </w:r>
          </w:p>
        </w:tc>
        <w:tc>
          <w:tcPr>
            <w:tcW w:w="2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2,438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77,703</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109,832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2,438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w w:val="96"/>
              </w:rPr>
              <w:t>Derivatives not designated and qualifying as hedging instruments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Mortgage-related commitments to originate real estate loans for sale</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16,732</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7,616</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1,387</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6,120</w:t>
            </w:r>
          </w:p>
        </w:tc>
        <w:tc>
          <w:tcPr>
            <w:tcW w:w="2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3,157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Interest rate contracts (b)</w:t>
            </w: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203,779</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274,864</w:t>
            </w:r>
          </w:p>
        </w:tc>
        <w:tc>
          <w:tcPr>
            <w:tcW w:w="2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165,065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234,455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 option and futures contracts (b)</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17,049</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15,831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16,677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238,947</w:t>
            </w:r>
          </w:p>
        </w:tc>
        <w:tc>
          <w:tcPr>
            <w:tcW w:w="5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304,431</w:t>
            </w:r>
          </w:p>
        </w:tc>
        <w:tc>
          <w:tcPr>
            <w:tcW w:w="5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185,139</w:t>
            </w:r>
          </w:p>
        </w:tc>
        <w:tc>
          <w:tcPr>
            <w:tcW w:w="5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253,702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316,650</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414,263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187,577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w:t>
      </w:r>
    </w:p>
    <w:p>
      <w:pPr>
        <w:spacing w:after="0" w:line="143" w:lineRule="exact"/>
        <w:rPr>
          <w:rFonts w:ascii="Arial" w:cs="Arial" w:eastAsia="Arial" w:hAnsi="Arial"/>
          <w:sz w:val="18"/>
          <w:szCs w:val="18"/>
          <w:i w:val="1"/>
          <w:iCs w:val="1"/>
          <w:color w:val="auto"/>
        </w:rPr>
      </w:pPr>
    </w:p>
    <w:p>
      <w:pPr>
        <w:ind w:left="5620" w:hanging="101"/>
        <w:spacing w:after="0"/>
        <w:tabs>
          <w:tab w:leader="none" w:pos="5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Derivative financial instruments, continued</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0" w:type="dxa"/>
            <w:vAlign w:val="bottom"/>
            <w:gridSpan w:val="16"/>
          </w:tcPr>
          <w:p>
            <w:pPr>
              <w:jc w:val="center"/>
              <w:ind w:right="220"/>
              <w:spacing w:after="0"/>
              <w:rPr>
                <w:sz w:val="20"/>
                <w:szCs w:val="20"/>
                <w:color w:val="auto"/>
              </w:rPr>
            </w:pPr>
            <w:r>
              <w:rPr>
                <w:rFonts w:ascii="Arial" w:cs="Arial" w:eastAsia="Arial" w:hAnsi="Arial"/>
                <w:sz w:val="14"/>
                <w:szCs w:val="14"/>
                <w:color w:val="auto"/>
                <w:w w:val="94"/>
              </w:rPr>
              <w:t>Amount of unrealized gain (loss) recognized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960" w:type="dxa"/>
            <w:vAlign w:val="bottom"/>
            <w:tcBorders>
              <w:top w:val="single" w:sz="8" w:color="auto"/>
            </w:tcBorders>
            <w:gridSpan w:val="7"/>
          </w:tcPr>
          <w:p>
            <w:pPr>
              <w:ind w:left="180"/>
              <w:spacing w:after="0" w:line="123" w:lineRule="exact"/>
              <w:rPr>
                <w:sz w:val="20"/>
                <w:szCs w:val="20"/>
                <w:color w:val="auto"/>
              </w:rPr>
            </w:pPr>
            <w:r>
              <w:rPr>
                <w:rFonts w:ascii="Arial" w:cs="Arial" w:eastAsia="Arial" w:hAnsi="Arial"/>
                <w:sz w:val="14"/>
                <w:szCs w:val="14"/>
                <w:color w:val="auto"/>
              </w:rPr>
              <w:t>Three months ended</w:t>
            </w: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5"/>
          </w:tcPr>
          <w:p>
            <w:pPr>
              <w:ind w:left="140"/>
              <w:spacing w:after="0" w:line="123" w:lineRule="exact"/>
              <w:rPr>
                <w:sz w:val="20"/>
                <w:szCs w:val="20"/>
                <w:color w:val="auto"/>
              </w:rPr>
            </w:pPr>
            <w:r>
              <w:rPr>
                <w:rFonts w:ascii="Arial" w:cs="Arial" w:eastAsia="Arial" w:hAnsi="Arial"/>
                <w:sz w:val="14"/>
                <w:szCs w:val="14"/>
                <w:color w:val="auto"/>
              </w:rPr>
              <w:t>Three months ended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7"/>
          </w:tcPr>
          <w:p>
            <w:pPr>
              <w:ind w:left="180"/>
              <w:spacing w:after="0"/>
              <w:rPr>
                <w:sz w:val="20"/>
                <w:szCs w:val="20"/>
                <w:color w:val="auto"/>
              </w:rPr>
            </w:pPr>
            <w:r>
              <w:rPr>
                <w:rFonts w:ascii="Arial" w:cs="Arial" w:eastAsia="Arial" w:hAnsi="Arial"/>
                <w:sz w:val="14"/>
                <w:szCs w:val="14"/>
                <w:color w:val="auto"/>
              </w:rPr>
              <w:t>September 30, 2014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7"/>
          </w:tcPr>
          <w:p>
            <w:pPr>
              <w:ind w:left="140"/>
              <w:spacing w:after="0"/>
              <w:rPr>
                <w:sz w:val="20"/>
                <w:szCs w:val="20"/>
                <w:color w:val="auto"/>
              </w:rPr>
            </w:pPr>
            <w:r>
              <w:rPr>
                <w:rFonts w:ascii="Arial" w:cs="Arial" w:eastAsia="Arial" w:hAnsi="Arial"/>
                <w:sz w:val="14"/>
                <w:szCs w:val="14"/>
                <w:color w:val="auto"/>
              </w:rPr>
              <w:t>September 30, 2013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top w:val="single" w:sz="8" w:color="auto"/>
              <w:bottom w:val="single" w:sz="8" w:color="auto"/>
            </w:tcBorders>
            <w:gridSpan w:val="4"/>
          </w:tcPr>
          <w:p>
            <w:pPr>
              <w:jc w:val="right"/>
              <w:ind w:right="340"/>
              <w:spacing w:after="0" w:line="142" w:lineRule="exact"/>
              <w:rPr>
                <w:sz w:val="20"/>
                <w:szCs w:val="20"/>
                <w:color w:val="auto"/>
              </w:rPr>
            </w:pPr>
            <w:r>
              <w:rPr>
                <w:rFonts w:ascii="Arial" w:cs="Arial" w:eastAsia="Arial" w:hAnsi="Arial"/>
                <w:sz w:val="14"/>
                <w:szCs w:val="14"/>
                <w:color w:val="auto"/>
                <w:w w:val="99"/>
              </w:rPr>
              <w:t>Derivative</w:t>
            </w:r>
          </w:p>
        </w:tc>
        <w:tc>
          <w:tcPr>
            <w:tcW w:w="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3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4"/>
          </w:tcPr>
          <w:p>
            <w:pPr>
              <w:jc w:val="right"/>
              <w:ind w:right="340"/>
              <w:spacing w:after="0" w:line="142" w:lineRule="exact"/>
              <w:rPr>
                <w:sz w:val="20"/>
                <w:szCs w:val="20"/>
                <w:color w:val="auto"/>
              </w:rPr>
            </w:pPr>
            <w:r>
              <w:rPr>
                <w:rFonts w:ascii="Arial" w:cs="Arial" w:eastAsia="Arial" w:hAnsi="Arial"/>
                <w:sz w:val="14"/>
                <w:szCs w:val="14"/>
                <w:color w:val="auto"/>
                <w:w w:val="93"/>
              </w:rPr>
              <w:t>Derivative</w:t>
            </w:r>
          </w:p>
        </w:tc>
        <w:tc>
          <w:tcPr>
            <w:tcW w:w="7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Hedged item</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40" w:type="dxa"/>
            <w:vAlign w:val="bottom"/>
            <w:gridSpan w:val="8"/>
          </w:tcPr>
          <w:p>
            <w:pPr>
              <w:jc w:val="center"/>
              <w:ind w:right="260"/>
              <w:spacing w:after="0" w:line="142" w:lineRule="exact"/>
              <w:rPr>
                <w:sz w:val="20"/>
                <w:szCs w:val="20"/>
                <w:color w:val="auto"/>
              </w:rPr>
            </w:pPr>
            <w:r>
              <w:rPr>
                <w:rFonts w:ascii="Arial" w:cs="Arial" w:eastAsia="Arial" w:hAnsi="Arial"/>
                <w:sz w:val="14"/>
                <w:szCs w:val="14"/>
                <w:color w:val="auto"/>
                <w:w w:val="92"/>
              </w:rPr>
              <w:t>(in thousands)</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54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10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(16,792)</w:t>
            </w:r>
          </w:p>
        </w:tc>
        <w:tc>
          <w:tcPr>
            <w:tcW w:w="11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16,380</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(86)</w:t>
            </w: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5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Interest rate contracts (b)</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2,778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 option and futures contracts (b)</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(781)</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(862)</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(649)</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1,916</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16"/>
          </w:tcPr>
          <w:p>
            <w:pPr>
              <w:jc w:val="center"/>
              <w:ind w:right="240"/>
              <w:spacing w:after="0"/>
              <w:rPr>
                <w:sz w:val="20"/>
                <w:szCs w:val="20"/>
                <w:color w:val="auto"/>
              </w:rPr>
            </w:pPr>
            <w:r>
              <w:rPr>
                <w:rFonts w:ascii="Arial" w:cs="Arial" w:eastAsia="Arial" w:hAnsi="Arial"/>
                <w:sz w:val="14"/>
                <w:szCs w:val="14"/>
                <w:color w:val="auto"/>
                <w:w w:val="93"/>
              </w:rPr>
              <w:t>Amount of unrealized gain (loss) recognized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960" w:type="dxa"/>
            <w:vAlign w:val="bottom"/>
            <w:tcBorders>
              <w:top w:val="single" w:sz="8" w:color="auto"/>
            </w:tcBorders>
            <w:gridSpan w:val="7"/>
          </w:tcPr>
          <w:p>
            <w:pPr>
              <w:ind w:left="160"/>
              <w:spacing w:after="0" w:line="123" w:lineRule="exact"/>
              <w:rPr>
                <w:sz w:val="20"/>
                <w:szCs w:val="20"/>
                <w:color w:val="auto"/>
              </w:rPr>
            </w:pPr>
            <w:r>
              <w:rPr>
                <w:rFonts w:ascii="Arial" w:cs="Arial" w:eastAsia="Arial" w:hAnsi="Arial"/>
                <w:sz w:val="14"/>
                <w:szCs w:val="14"/>
                <w:color w:val="auto"/>
              </w:rPr>
              <w:t>Nine months ended</w:t>
            </w: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6"/>
          </w:tcPr>
          <w:p>
            <w:pPr>
              <w:ind w:left="140"/>
              <w:spacing w:after="0" w:line="123" w:lineRule="exact"/>
              <w:rPr>
                <w:sz w:val="20"/>
                <w:szCs w:val="20"/>
                <w:color w:val="auto"/>
              </w:rPr>
            </w:pPr>
            <w:r>
              <w:rPr>
                <w:rFonts w:ascii="Arial" w:cs="Arial" w:eastAsia="Arial" w:hAnsi="Arial"/>
                <w:sz w:val="14"/>
                <w:szCs w:val="14"/>
                <w:color w:val="auto"/>
              </w:rPr>
              <w:t>Nine months ended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7"/>
          </w:tcPr>
          <w:p>
            <w:pPr>
              <w:ind w:left="140"/>
              <w:spacing w:after="0"/>
              <w:rPr>
                <w:sz w:val="20"/>
                <w:szCs w:val="20"/>
                <w:color w:val="auto"/>
              </w:rPr>
            </w:pPr>
            <w:r>
              <w:rPr>
                <w:rFonts w:ascii="Arial" w:cs="Arial" w:eastAsia="Arial" w:hAnsi="Arial"/>
                <w:sz w:val="14"/>
                <w:szCs w:val="14"/>
                <w:color w:val="auto"/>
              </w:rPr>
              <w:t>September 30, 2014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7"/>
          </w:tcPr>
          <w:p>
            <w:pPr>
              <w:ind w:left="140"/>
              <w:spacing w:after="0"/>
              <w:rPr>
                <w:sz w:val="20"/>
                <w:szCs w:val="20"/>
                <w:color w:val="auto"/>
              </w:rPr>
            </w:pPr>
            <w:r>
              <w:rPr>
                <w:rFonts w:ascii="Arial" w:cs="Arial" w:eastAsia="Arial" w:hAnsi="Arial"/>
                <w:sz w:val="14"/>
                <w:szCs w:val="14"/>
                <w:color w:val="auto"/>
              </w:rPr>
              <w:t>September 30, 2013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020" w:type="dxa"/>
            <w:vAlign w:val="bottom"/>
            <w:tcBorders>
              <w:top w:val="single" w:sz="8" w:color="auto"/>
              <w:bottom w:val="single" w:sz="8" w:color="auto"/>
            </w:tcBorders>
            <w:gridSpan w:val="5"/>
          </w:tcPr>
          <w:p>
            <w:pPr>
              <w:ind w:left="40"/>
              <w:spacing w:after="0" w:line="142" w:lineRule="exact"/>
              <w:rPr>
                <w:sz w:val="20"/>
                <w:szCs w:val="20"/>
                <w:color w:val="auto"/>
              </w:rPr>
            </w:pPr>
            <w:r>
              <w:rPr>
                <w:rFonts w:ascii="Arial" w:cs="Arial" w:eastAsia="Arial" w:hAnsi="Arial"/>
                <w:sz w:val="14"/>
                <w:szCs w:val="14"/>
                <w:color w:val="auto"/>
              </w:rPr>
              <w:t>Derivative</w:t>
            </w:r>
          </w:p>
        </w:tc>
        <w:tc>
          <w:tcPr>
            <w:tcW w:w="7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360" w:type="dxa"/>
            <w:vAlign w:val="bottom"/>
            <w:tcBorders>
              <w:bottom w:val="single" w:sz="8" w:color="auto"/>
            </w:tcBorders>
            <w:gridSpan w:val="2"/>
          </w:tcPr>
          <w:p>
            <w:pPr>
              <w:spacing w:after="0"/>
              <w:rPr>
                <w:sz w:val="12"/>
                <w:szCs w:val="12"/>
                <w:color w:val="auto"/>
              </w:rPr>
            </w:pPr>
          </w:p>
        </w:tc>
        <w:tc>
          <w:tcPr>
            <w:tcW w:w="980" w:type="dxa"/>
            <w:vAlign w:val="bottom"/>
            <w:tcBorders>
              <w:top w:val="single" w:sz="8" w:color="auto"/>
              <w:bottom w:val="single" w:sz="8" w:color="auto"/>
            </w:tcBorders>
            <w:gridSpan w:val="5"/>
          </w:tcPr>
          <w:p>
            <w:pPr>
              <w:ind w:left="20"/>
              <w:spacing w:after="0" w:line="142" w:lineRule="exact"/>
              <w:rPr>
                <w:sz w:val="20"/>
                <w:szCs w:val="20"/>
                <w:color w:val="auto"/>
              </w:rPr>
            </w:pPr>
            <w:r>
              <w:rPr>
                <w:rFonts w:ascii="Arial" w:cs="Arial" w:eastAsia="Arial" w:hAnsi="Arial"/>
                <w:sz w:val="14"/>
                <w:szCs w:val="14"/>
                <w:color w:val="auto"/>
              </w:rPr>
              <w:t>Derivative</w:t>
            </w:r>
          </w:p>
        </w:tc>
        <w:tc>
          <w:tcPr>
            <w:tcW w:w="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w w:val="90"/>
              </w:rPr>
              <w:t>Hedged item</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40" w:type="dxa"/>
            <w:vAlign w:val="bottom"/>
            <w:gridSpan w:val="8"/>
          </w:tcPr>
          <w:p>
            <w:pPr>
              <w:jc w:val="center"/>
              <w:ind w:right="300"/>
              <w:spacing w:after="0" w:line="142" w:lineRule="exact"/>
              <w:rPr>
                <w:sz w:val="20"/>
                <w:szCs w:val="20"/>
                <w:color w:val="auto"/>
              </w:rPr>
            </w:pPr>
            <w:r>
              <w:rPr>
                <w:rFonts w:ascii="Arial" w:cs="Arial" w:eastAsia="Arial" w:hAnsi="Arial"/>
                <w:sz w:val="14"/>
                <w:szCs w:val="14"/>
                <w:color w:val="auto"/>
                <w:w w:val="92"/>
              </w:rPr>
              <w:t>(in thousands)</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54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102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(26,627)</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25,658</w:t>
            </w:r>
          </w:p>
        </w:tc>
        <w:tc>
          <w:tcPr>
            <w:tcW w:w="3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(29,097)</w:t>
            </w: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27,733</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5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Interest rate contracts (b)</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1,214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5,974</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 option and futures contracts (b)</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4"/>
              </w:rPr>
              <w:t>(6,597)</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4"/>
              </w:rPr>
              <w:t>(2,469)</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w w:val="94"/>
              </w:rPr>
              <w:t>(5,383)</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3,505</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other revenues from operations.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trading account and foreign exchange gains.</w:t>
      </w:r>
    </w:p>
    <w:p>
      <w:pPr>
        <w:spacing w:after="0" w:line="14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0960"/>
          </w:cols>
          <w:pgMar w:left="240" w:top="459" w:right="6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16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addition, 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$28 million and $23 million at September 30, 2014 and December 31, 2013, respectively. Changes in unrealized gains and losses are included in mortgage banking revenues and, in general, are realized in subsequent periods as the related loans are sold and commitments satisfied.</w:t>
      </w:r>
    </w:p>
    <w:p>
      <w:pPr>
        <w:spacing w:after="0" w:line="18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does not offset derivative asset and liability positions in its consolidated financial statements. The Company’s exposure to credit risk by entering into derivative contracts is mitigated through master netting agreements and collateral posting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aggregate fair value of derivative financial instruments in a liability position, which are subject to enforceable master netting arrangements,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$149 million and $194 million at September 30, 2014 and December 31, 2013, respectively. After consideration of such netting arrangements, the net liability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positions with counterparties aggregated $89 million and $107 million at September 30, 2014 and December 31, 2013, respectively. The Company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post collateral relating to those positions of $81 million and $95 million at September 30, 2014 and December 31, 2013, respectively. Certain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derivative financial instruments contain provisions that require the Company to maintain specific credit ratings from credit rating agencies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avoid higher collateral posting requirements. If the Company’s debt rating were to fall below specified ratings, the counterparties to the derivative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instruments could demand immediate incremental collateralization on those instruments in a net liability position. The aggregate fair value of all derivative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financial instruments with such credit-risk-related contingent features in a net liability position on September 30, 2014 was $26 million, for which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had posted collateral of $18 million in the normal course of business. If the credit-risk-related contingent features had been triggered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2014, the maximum amount of additional collateral the Company would have been required to post to counterparties was $8 million.</w:t>
      </w:r>
    </w:p>
    <w:p>
      <w:pPr>
        <w:spacing w:after="0" w:line="22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aggregate fair value of derivative financial instruments in an asset position, which are subject to enforceable master netting arrangements, was $134 million and $183 million at September 30, 2014 and December 31, 2013, respectively. After consideration of such netting arrangements, the net asset positions with counterparties aggregated $74 million and $95 million at September 30, 2014 and December 31, 2013, respectively. Counterparties posted collateral relating to those positions of $74 million and $93 million at September 30, 2014 and December 31, 2013, respectively. Trading account interest rate swap agreements entered into with customers are subject to the Company’s credit risk standards and often contain collateral provisions.</w:t>
      </w:r>
    </w:p>
    <w:p>
      <w:pPr>
        <w:spacing w:after="0" w:line="1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additional collateral for contracts in a net liability position. The net fair values of derivative financial instruments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16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cleared through clearinghouses at each of September 30, 2014 and December 31, 2013 were not material. Collateral posted with clearinghouses was $34 million and $14 million at September 30, 2014 and December 31, 2013, respectively, and was predominantly related to initial margin requirements.</w:t>
      </w:r>
    </w:p>
    <w:p>
      <w:pPr>
        <w:spacing w:after="0" w:line="25"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 and asset securitizations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the third quarter of 2013, the Company securitized approximately $1.8 billion of one-to-four family residential real estate loans in guaranteed mortgage securitizations with the Government National Mortgage Association (“Ginnie Mae”). Approximately $1.0 billion of such loans were formerly held in the Company’s loan portfolio, whereas the remaining $811 million of the loans were newly originated. The Company recognized gains of $35 million related to loans previously held for investment, which was recorded in “other revenues from operations,” and gains of $15 million on newly originated loans, which was reflected in “mortgage banking revenues.” In total, the Company securitized approximately $2.8 billion of one-to-four family residential real estate loans in guaranteed mortgage securitizations with Ginnie Mae during the nine months ended September 30, 2013. Approximately $1.4 billion of such loans were formerly held in the Company’s loan portfolio, whereas the remaining $1.4 billion were newly originated. For the nine months ended September 30, 2013, the Company recognized pre-tax gains of $42 million related to loans previously held for investment, which were recorded in “other revenues from operations,” and pre-tax gains of $25 million on newly originated loans, which were reflected in “mortgage banking revenues.” As a result of the securitization structure, the Company does not have effective control over the underlying loans and expects no material credit-related losses on the retained securities as a result of the guarantees by Ginnie Mae. In similar transactions for the nine months ended September 30, 2014, the Company securitized $110 million of one-to-four family residential real estate loans that had been originated for sale in guaranteed mortgage securitizations with Ginnie Mae and retained the resulting securities in its investment portfolio. Pre-tax gains on such transactions were not material. In the third quarter of 2013, the Company securitized and sold approximately $1.4 billion of automobile loans held in its loan portfolio. The Company recognized gains of $21 million related to the sale, which was recorded in “other revenues from operations.” The Company has securitized loans to improve its regulatory capital ratios and strengthen its liquidity and risk profile as a result of changing regulatory liquidity and capital requirements.</w:t>
      </w:r>
    </w:p>
    <w:p>
      <w:pPr>
        <w:spacing w:after="0" w:line="17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accordance with GAAP, the Company determined that it was the primary beneficiary of a residential mortgage loan securitization trust considering its role as servicer and its retained subordinated interests in the trust. As a result, the Company has included the one-to-four family residential mortgage loans that were included in the trust in its consolidated financial statements. At September 30, 2014 and December 31, 2013, the carrying values of the loans in the securitization trust were $105 million and $121 million, respectively. The outstanding principal amount of mortgage-backed securities issued by the qualified special purpose trust that was held by parties unrelated to M&amp;T at September 30, 2014 and December 31, 2013 was $16 million and $18 million, respectively. Because the transaction was non-recourse, the Company’s maximum exposure to loss as a result of its association with the trust at September 30, 2014 is limited to realizing the carrying value of the loans less the amount of the mortgage-backed securities held by the third parties.</w:t>
      </w:r>
    </w:p>
    <w:p>
      <w:pPr>
        <w:spacing w:after="0" w:line="16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September 30,</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 and asset securitizations, continued</w:t>
      </w:r>
    </w:p>
    <w:p>
      <w:pPr>
        <w:spacing w:after="0" w:line="1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2014 and December 31, 2013, the Company included the junior subordinated debentures as “long-term borrowings” in its consolidated balance sheet. The Company has recognized $34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5.</w:t>
      </w:r>
    </w:p>
    <w:p>
      <w:pPr>
        <w:spacing w:after="0" w:line="7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Company has invested as a limited partner in various partnerships that collectively had total assets of approximately $1.3 billion at September 30, 2014 and December 31, 2013, respectively.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$257 million, including $71 million of unfunded commitments, at September 30, 2014 and $236 million, including $45 million of unfunded commitments, at December 31, 2013. The Company has not provided financial or other support to the partnerships that was not contractually required.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w:t>
      </w:r>
    </w:p>
    <w:p>
      <w:pPr>
        <w:spacing w:after="0" w:line="325"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GAAP permits an entity to choose to measure eligible financial instruments and other items at fair value. The Company has not made any fair value elections at September 30, 2014.</w:t>
      </w:r>
    </w:p>
    <w:p>
      <w:pPr>
        <w:spacing w:after="0" w:line="170"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87" w:lineRule="exact"/>
        <w:rPr>
          <w:sz w:val="20"/>
          <w:szCs w:val="20"/>
          <w:color w:val="auto"/>
        </w:rPr>
      </w:pPr>
    </w:p>
    <w:p>
      <w:pPr>
        <w:ind w:left="440" w:hanging="324"/>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1 – Valuation is based on quoted prices in active markets for identical assets and liabilities.</w:t>
      </w:r>
    </w:p>
    <w:p>
      <w:pPr>
        <w:spacing w:after="0" w:line="130" w:lineRule="exact"/>
        <w:rPr>
          <w:rFonts w:ascii="Arial" w:cs="Arial" w:eastAsia="Arial" w:hAnsi="Arial"/>
          <w:sz w:val="18"/>
          <w:szCs w:val="18"/>
          <w:color w:val="auto"/>
        </w:rPr>
      </w:pPr>
    </w:p>
    <w:p>
      <w:pPr>
        <w:ind w:left="440" w:right="40" w:hanging="324"/>
        <w:spacing w:after="0" w:line="277" w:lineRule="auto"/>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75" w:lineRule="exact"/>
        <w:rPr>
          <w:rFonts w:ascii="Arial" w:cs="Arial" w:eastAsia="Arial" w:hAnsi="Arial"/>
          <w:sz w:val="18"/>
          <w:szCs w:val="18"/>
          <w:color w:val="auto"/>
        </w:rPr>
      </w:pPr>
    </w:p>
    <w:p>
      <w:pPr>
        <w:ind w:left="440" w:right="140" w:hanging="324"/>
        <w:spacing w:after="0" w:line="308" w:lineRule="auto"/>
        <w:tabs>
          <w:tab w:leader="none" w:pos="4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47"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Trading account assets and liabilities consist primarily of interest rate swap agreements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Company sold substantially all of its privately issued mortgage-backed securities classified as available for sale during the second quarter of 2013. In prior periods, the Company generally used model-based techniques to value such securities because the Company was significantly restricted in the level of market observable assumptions that could be relied upon. Specifically, market assumptions regarding credit adjusted cash flows and liquidity influences on discount rates were difficult to observe at the individual bond level. Because of the inactivity in the markets and the lack of observable valuation inputs, the Company classified the valuation of privately issued mortgage-backed securities as Level 3.</w:t>
      </w:r>
    </w:p>
    <w:p>
      <w:pPr>
        <w:spacing w:after="0" w:line="17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Included in collateralized debt obligations are securities backed by trust preferred securities issued by financial institutions and other entities. The Company could not obtain pricing indications for many of these securities from its two primary independent pricing sources. The Company, therefore, performed internal modeling to estimate the cash flows and fair value of its portfolio of securities backed by trust preferred securities at September 30, 2014 and December 31, 2013. The modeling techniques included estimating cash flows using bond-specific assumptions about future collateral defaults and related loss severities. The resulting cash flows were then discounted by reference to market yields observed in the single-name trust preferred securities market. In determining a market yield applicable to the estimated cash flows, a margin over LIBOR ranging from 4% to 10%, with a weighted-average of 7%, was used. Significant unobservable inputs used in the determination of estimated fair value of collateralized debt obligations are included in the accompanying table of significant unobservable inputs to Level 3 measurements. At September 30, 2014, the total amortized cost and fair value of securities backed by trust preferred securities issued by financial institutions and other entities were $31 million and $55 million, respectively, and at December 31, 2013 were $42 million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and $63 million, respectively. Privately issued mortgage-backed securities and securities backed by trust preferred securities issued by financial institutions and other entities constituted all of the available-for-sale investment securities classified as Level 3 valuations.</w:t>
      </w:r>
    </w:p>
    <w:p>
      <w:pPr>
        <w:spacing w:after="0" w:line="17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Company ensures an appropriate control framework is in place over the valuation processes and techniques used for significant Level 3 fair value measurements. Internal pricing models used for significant valuation measurements have generally been subjected to validation procedures including testing of mathematical constructs, review of valuation methodology and significant assumptions used.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originated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tables present assets and liabilities at September 30, 2014 and December 31, 2013 measured at estimated fair value on a recurring basis:</w:t>
      </w:r>
    </w:p>
    <w:p>
      <w:pPr>
        <w:spacing w:after="0" w:line="2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color w:val="auto"/>
                <w:w w:val="94"/>
              </w:rPr>
              <w:t>Fair value</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6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88"/>
              </w:rPr>
              <w:t>measurements at</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6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91"/>
              </w:rPr>
              <w:t>September 30,</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2"/>
              <w:spacing w:after="0"/>
              <w:rPr>
                <w:sz w:val="20"/>
                <w:szCs w:val="20"/>
                <w:color w:val="auto"/>
              </w:rPr>
            </w:pPr>
            <w:r>
              <w:rPr>
                <w:rFonts w:ascii="Arial" w:cs="Arial" w:eastAsia="Arial" w:hAnsi="Arial"/>
                <w:sz w:val="14"/>
                <w:szCs w:val="14"/>
                <w:color w:val="auto"/>
                <w:w w:val="89"/>
              </w:rPr>
              <w:t>2014</w:t>
            </w:r>
          </w:p>
        </w:tc>
        <w:tc>
          <w:tcPr>
            <w:tcW w:w="4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w w:val="93"/>
              </w:rPr>
              <w:t>Level 1 (a)</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Level 2 (a)</w:t>
            </w:r>
          </w:p>
        </w:tc>
        <w:tc>
          <w:tcPr>
            <w:tcW w:w="640" w:type="dxa"/>
            <w:vAlign w:val="bottom"/>
            <w:gridSpan w:val="2"/>
          </w:tcPr>
          <w:p>
            <w:pPr>
              <w:ind w:left="6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gridSpan w:val="4"/>
          </w:tcPr>
          <w:p>
            <w:pPr>
              <w:jc w:val="right"/>
              <w:ind w:right="1160"/>
              <w:spacing w:after="0"/>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3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296,913</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50,757</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246,156</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Treasury and federal agencies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166,187</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166,187</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Obligations of states and political subdivisions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9,391</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9,391</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Mortgage-backed securities: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700"/>
              <w:spacing w:after="0"/>
              <w:rPr>
                <w:sz w:val="20"/>
                <w:szCs w:val="20"/>
                <w:color w:val="auto"/>
              </w:rPr>
            </w:pPr>
            <w:r>
              <w:rPr>
                <w:rFonts w:ascii="Arial" w:cs="Arial" w:eastAsia="Arial" w:hAnsi="Arial"/>
                <w:sz w:val="18"/>
                <w:szCs w:val="18"/>
                <w:color w:val="auto"/>
              </w:rPr>
              <w:t>Government issued or guaranteed</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8,894,051</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8,894,051</w:t>
            </w:r>
          </w:p>
        </w:tc>
        <w:tc>
          <w:tcPr>
            <w:tcW w:w="40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Privately issued</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112</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Collateralized debt obligations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54,808</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54,808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debt securities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125,399</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125,399</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Equity securities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134,069</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70,401</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63,668</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9,384,017</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70,401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9,258,696</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54,920</w:t>
            </w:r>
          </w:p>
        </w:tc>
        <w:tc>
          <w:tcPr>
            <w:tcW w:w="0" w:type="dxa"/>
            <w:vAlign w:val="bottom"/>
          </w:tcPr>
          <w:p>
            <w:pPr>
              <w:spacing w:after="0"/>
              <w:rPr>
                <w:sz w:val="1"/>
                <w:szCs w:val="1"/>
                <w:color w:val="auto"/>
              </w:rPr>
            </w:pPr>
          </w:p>
        </w:tc>
      </w:tr>
      <w:tr>
        <w:trPr>
          <w:trHeight w:val="20"/>
        </w:trPr>
        <w:tc>
          <w:tcPr>
            <w:tcW w:w="44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400" w:type="dxa"/>
            <w:vAlign w:val="bottom"/>
            <w:gridSpan w:val="2"/>
          </w:tcPr>
          <w:p>
            <w:pPr>
              <w:spacing w:after="0"/>
              <w:rPr>
                <w:sz w:val="20"/>
                <w:szCs w:val="20"/>
                <w:color w:val="auto"/>
              </w:rPr>
            </w:pPr>
            <w:r>
              <w:rPr>
                <w:rFonts w:ascii="Arial" w:cs="Arial" w:eastAsia="Arial" w:hAnsi="Arial"/>
                <w:sz w:val="18"/>
                <w:szCs w:val="18"/>
                <w:color w:val="auto"/>
              </w:rPr>
              <w:t>Real estate loans held for sale</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625,258</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625,258</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assets (b)</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95,822</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79,090</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16,732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8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10,402,010</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121,158</w:t>
            </w:r>
          </w:p>
        </w:tc>
        <w:tc>
          <w:tcPr>
            <w:tcW w:w="4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10,209,200</w:t>
            </w:r>
          </w:p>
        </w:tc>
        <w:tc>
          <w:tcPr>
            <w:tcW w:w="400" w:type="dxa"/>
            <w:vAlign w:val="bottom"/>
          </w:tcPr>
          <w:p>
            <w:pPr>
              <w:spacing w:after="0"/>
              <w:rPr>
                <w:sz w:val="19"/>
                <w:szCs w:val="19"/>
                <w:color w:val="auto"/>
              </w:rPr>
            </w:pP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3"/>
              </w:rPr>
              <w:t>71,652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liabilities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181,742</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181,742</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 liabilities (b)</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5,835</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5,595</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187,577</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187,337</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0" w:type="dxa"/>
            <w:vAlign w:val="bottom"/>
            <w:vMerge w:val="restart"/>
          </w:tcPr>
          <w:p>
            <w:pPr>
              <w:jc w:val="right"/>
              <w:ind w:right="670"/>
              <w:spacing w:after="0"/>
              <w:rPr>
                <w:sz w:val="20"/>
                <w:szCs w:val="20"/>
                <w:color w:val="auto"/>
              </w:rPr>
            </w:pPr>
            <w:r>
              <w:rPr>
                <w:rFonts w:ascii="Arial" w:cs="Arial" w:eastAsia="Arial" w:hAnsi="Arial"/>
                <w:sz w:val="18"/>
                <w:szCs w:val="18"/>
                <w:color w:val="auto"/>
              </w:rPr>
              <w:t>- 41 -</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Fair value measurements, continued</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color w:val="auto"/>
                <w:w w:val="91"/>
              </w:rPr>
              <w:t>Fair value</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color w:val="auto"/>
              </w:rPr>
              <w:t>measurements at</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90"/>
              </w:rPr>
              <w:t>December 31,</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52"/>
              <w:spacing w:after="0"/>
              <w:rPr>
                <w:sz w:val="20"/>
                <w:szCs w:val="20"/>
                <w:color w:val="auto"/>
              </w:rPr>
            </w:pPr>
            <w:r>
              <w:rPr>
                <w:rFonts w:ascii="Arial" w:cs="Arial" w:eastAsia="Arial" w:hAnsi="Arial"/>
                <w:sz w:val="14"/>
                <w:szCs w:val="14"/>
                <w:color w:val="auto"/>
                <w:w w:val="89"/>
              </w:rPr>
              <w:t>2013</w:t>
            </w:r>
          </w:p>
        </w:tc>
        <w:tc>
          <w:tcPr>
            <w:tcW w:w="4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w w:val="93"/>
              </w:rPr>
              <w:t>Level 1 (a)</w:t>
            </w:r>
          </w:p>
        </w:tc>
        <w:tc>
          <w:tcPr>
            <w:tcW w:w="1180" w:type="dxa"/>
            <w:vAlign w:val="bottom"/>
            <w:gridSpan w:val="2"/>
          </w:tcPr>
          <w:p>
            <w:pPr>
              <w:jc w:val="right"/>
              <w:ind w:right="480"/>
              <w:spacing w:after="0"/>
              <w:rPr>
                <w:sz w:val="20"/>
                <w:szCs w:val="20"/>
                <w:color w:val="auto"/>
              </w:rPr>
            </w:pPr>
            <w:r>
              <w:rPr>
                <w:rFonts w:ascii="Arial" w:cs="Arial" w:eastAsia="Arial" w:hAnsi="Arial"/>
                <w:sz w:val="14"/>
                <w:szCs w:val="14"/>
                <w:color w:val="auto"/>
              </w:rPr>
              <w:t>Level 2 (a)</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220" w:type="dxa"/>
            <w:vAlign w:val="bottom"/>
            <w:tcBorders>
              <w:top w:val="single" w:sz="8" w:color="auto"/>
            </w:tcBorders>
            <w:gridSpan w:val="4"/>
          </w:tcPr>
          <w:p>
            <w:pPr>
              <w:jc w:val="right"/>
              <w:ind w:right="1120"/>
              <w:spacing w:after="0"/>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9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4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376,131</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51,386</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324,745</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Treasury and federal agencies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37,776</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37,776</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Obligations of states and political subdivisions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10,811</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10,811</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Mortgage-backed securities: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700"/>
              <w:spacing w:after="0"/>
              <w:rPr>
                <w:sz w:val="20"/>
                <w:szCs w:val="20"/>
                <w:color w:val="auto"/>
              </w:rPr>
            </w:pPr>
            <w:r>
              <w:rPr>
                <w:rFonts w:ascii="Arial" w:cs="Arial" w:eastAsia="Arial" w:hAnsi="Arial"/>
                <w:sz w:val="18"/>
                <w:szCs w:val="18"/>
                <w:color w:val="auto"/>
              </w:rPr>
              <w:t>Government issued or guaranteed</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4,165,086</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4,165,086</w:t>
            </w:r>
          </w:p>
        </w:tc>
        <w:tc>
          <w:tcPr>
            <w:tcW w:w="4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Privately issued</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Collateralized debt obligations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63,083</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63,083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debt securities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120,085</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120,085</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Equity securities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133,095</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82,450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50,645</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4,531,786</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82,450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4,384,403</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64,933</w:t>
            </w:r>
          </w:p>
        </w:tc>
        <w:tc>
          <w:tcPr>
            <w:tcW w:w="0" w:type="dxa"/>
            <w:vAlign w:val="bottom"/>
          </w:tcPr>
          <w:p>
            <w:pPr>
              <w:spacing w:after="0"/>
              <w:rPr>
                <w:sz w:val="1"/>
                <w:szCs w:val="1"/>
                <w:color w:val="auto"/>
              </w:rPr>
            </w:pPr>
          </w:p>
        </w:tc>
      </w:tr>
      <w:tr>
        <w:trPr>
          <w:trHeight w:val="20"/>
        </w:trPr>
        <w:tc>
          <w:tcPr>
            <w:tcW w:w="50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000" w:type="dxa"/>
            <w:vAlign w:val="bottom"/>
            <w:gridSpan w:val="2"/>
          </w:tcPr>
          <w:p>
            <w:pPr>
              <w:spacing w:after="0"/>
              <w:rPr>
                <w:sz w:val="20"/>
                <w:szCs w:val="20"/>
                <w:color w:val="auto"/>
              </w:rPr>
            </w:pPr>
            <w:r>
              <w:rPr>
                <w:rFonts w:ascii="Arial" w:cs="Arial" w:eastAsia="Arial" w:hAnsi="Arial"/>
                <w:sz w:val="18"/>
                <w:szCs w:val="18"/>
                <w:color w:val="auto"/>
              </w:rPr>
              <w:t>Real estate loans held for sale</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468,650</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468,650</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assets (b)</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123,568</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115,952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5,500,135</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133,836</w:t>
            </w: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5,293,750</w:t>
            </w:r>
          </w:p>
        </w:tc>
        <w:tc>
          <w:tcPr>
            <w:tcW w:w="4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72,549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liabilities</w:t>
            </w:r>
          </w:p>
        </w:tc>
        <w:tc>
          <w:tcPr>
            <w:tcW w:w="14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249,797</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249,797</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liabilities (b)</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4,392</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717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4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254,189</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250,514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520" w:hanging="452"/>
        <w:spacing w:after="0" w:line="258" w:lineRule="auto"/>
        <w:tabs>
          <w:tab w:leader="none" w:pos="4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There were no significant transfers between Level 1 and Level 2 of the fair value hierarchy during the three months and nine months ended September 30, 2014 and 2013.</w:t>
      </w:r>
    </w:p>
    <w:p>
      <w:pPr>
        <w:spacing w:after="0" w:line="1" w:lineRule="exact"/>
        <w:rPr>
          <w:rFonts w:ascii="Arial" w:cs="Arial" w:eastAsia="Arial" w:hAnsi="Arial"/>
          <w:sz w:val="18"/>
          <w:szCs w:val="18"/>
          <w:i w:val="1"/>
          <w:iCs w:val="1"/>
          <w:color w:val="auto"/>
        </w:rPr>
      </w:pPr>
    </w:p>
    <w:p>
      <w:pPr>
        <w:ind w:left="460" w:hanging="452"/>
        <w:spacing w:after="0" w:line="261" w:lineRule="auto"/>
        <w:tabs>
          <w:tab w:leader="none" w:pos="4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16" w:lineRule="exact"/>
        <w:rPr>
          <w:rFonts w:ascii="Arial" w:cs="Arial" w:eastAsia="Arial" w:hAnsi="Arial"/>
          <w:sz w:val="18"/>
          <w:szCs w:val="18"/>
          <w:i w:val="1"/>
          <w:iCs w:val="1"/>
          <w:color w:val="auto"/>
        </w:rPr>
      </w:pPr>
    </w:p>
    <w:p>
      <w:pPr>
        <w:ind w:left="5620" w:hanging="101"/>
        <w:spacing w:after="0"/>
        <w:tabs>
          <w:tab w:leader="none" w:pos="5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0980"/>
          </w:cols>
          <w:pgMar w:left="240" w:top="459" w:right="6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September 30, 2014 were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6"/>
          </w:tcPr>
          <w:p>
            <w:pPr>
              <w:ind w:left="180"/>
              <w:spacing w:after="0"/>
              <w:rPr>
                <w:sz w:val="20"/>
                <w:szCs w:val="20"/>
                <w:color w:val="auto"/>
              </w:rPr>
            </w:pPr>
            <w:r>
              <w:rPr>
                <w:rFonts w:ascii="Arial" w:cs="Arial" w:eastAsia="Arial" w:hAnsi="Arial"/>
                <w:sz w:val="14"/>
                <w:szCs w:val="14"/>
                <w:color w:val="auto"/>
              </w:rPr>
              <w:t>Investment securities available for sale</w:t>
            </w:r>
          </w:p>
        </w:tc>
        <w:tc>
          <w:tcPr>
            <w:tcW w:w="34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23"/>
        </w:trPr>
        <w:tc>
          <w:tcPr>
            <w:tcW w:w="48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460"/>
              <w:spacing w:after="0" w:line="123" w:lineRule="exact"/>
              <w:rPr>
                <w:sz w:val="20"/>
                <w:szCs w:val="20"/>
                <w:color w:val="auto"/>
              </w:rPr>
            </w:pPr>
            <w:r>
              <w:rPr>
                <w:rFonts w:ascii="Arial" w:cs="Arial" w:eastAsia="Arial" w:hAnsi="Arial"/>
                <w:sz w:val="14"/>
                <w:szCs w:val="14"/>
                <w:color w:val="auto"/>
                <w:w w:val="93"/>
              </w:rPr>
              <w:t>Privately issued</w:t>
            </w:r>
          </w:p>
        </w:tc>
        <w:tc>
          <w:tcPr>
            <w:tcW w:w="3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4"/>
              </w:rPr>
              <w:t>Collateralized</w:t>
            </w: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48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91"/>
              </w:rPr>
              <w:t>mortgage-backed</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7"/>
              </w:rPr>
              <w:t>debt</w:t>
            </w:r>
          </w:p>
        </w:tc>
        <w:tc>
          <w:tcPr>
            <w:tcW w:w="340" w:type="dxa"/>
            <w:vAlign w:val="bottom"/>
          </w:tcPr>
          <w:p>
            <w:pPr>
              <w:spacing w:after="0"/>
              <w:rPr>
                <w:sz w:val="12"/>
                <w:szCs w:val="12"/>
                <w:color w:val="auto"/>
              </w:rPr>
            </w:pPr>
          </w:p>
        </w:tc>
        <w:tc>
          <w:tcPr>
            <w:tcW w:w="10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color w:val="auto"/>
                <w:w w:val="91"/>
              </w:rPr>
              <w:t>securities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color w:val="auto"/>
                <w:w w:val="95"/>
              </w:rPr>
              <w:t>obligations</w:t>
            </w:r>
          </w:p>
        </w:tc>
        <w:tc>
          <w:tcPr>
            <w:tcW w:w="340" w:type="dxa"/>
            <w:vAlign w:val="bottom"/>
          </w:tcPr>
          <w:p>
            <w:pPr>
              <w:spacing w:after="0"/>
              <w:rPr>
                <w:sz w:val="14"/>
                <w:szCs w:val="14"/>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4"/>
          </w:tcPr>
          <w:p>
            <w:pPr>
              <w:jc w:val="right"/>
              <w:ind w:right="760"/>
              <w:spacing w:after="0" w:line="142" w:lineRule="exact"/>
              <w:rPr>
                <w:sz w:val="20"/>
                <w:szCs w:val="20"/>
                <w:color w:val="auto"/>
              </w:rPr>
            </w:pPr>
            <w:r>
              <w:rPr>
                <w:rFonts w:ascii="Arial" w:cs="Arial" w:eastAsia="Arial" w:hAnsi="Arial"/>
                <w:sz w:val="14"/>
                <w:szCs w:val="14"/>
                <w:color w:val="auto"/>
              </w:rPr>
              <w:t>(in thousands)</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119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56,200</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22,023</w:t>
            </w:r>
          </w:p>
        </w:tc>
        <w:tc>
          <w:tcPr>
            <w:tcW w:w="0" w:type="dxa"/>
            <w:vAlign w:val="bottom"/>
          </w:tcPr>
          <w:p>
            <w:pPr>
              <w:spacing w:after="0"/>
              <w:rPr>
                <w:sz w:val="1"/>
                <w:szCs w:val="1"/>
                <w:color w:val="auto"/>
              </w:rPr>
            </w:pPr>
          </w:p>
        </w:tc>
      </w:tr>
      <w:tr>
        <w:trPr>
          <w:trHeight w:val="324"/>
        </w:trPr>
        <w:tc>
          <w:tcPr>
            <w:tcW w:w="486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earnings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9,657(b)</w:t>
            </w: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100" w:type="dxa"/>
            <w:vAlign w:val="bottom"/>
          </w:tcPr>
          <w:p>
            <w:pPr>
              <w:spacing w:after="0"/>
              <w:rPr>
                <w:sz w:val="18"/>
                <w:szCs w:val="18"/>
                <w:color w:val="auto"/>
              </w:rPr>
            </w:pPr>
          </w:p>
        </w:tc>
        <w:tc>
          <w:tcPr>
            <w:tcW w:w="13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2,201 (e)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(3,593)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100" w:type="dxa"/>
            <w:vAlign w:val="bottom"/>
          </w:tcPr>
          <w:p>
            <w:pPr>
              <w:spacing w:after="0"/>
              <w:rPr>
                <w:sz w:val="18"/>
                <w:szCs w:val="18"/>
                <w:color w:val="auto"/>
              </w:rPr>
            </w:pPr>
          </w:p>
        </w:tc>
        <w:tc>
          <w:tcPr>
            <w:tcW w:w="13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(15,188)(d)</w:t>
            </w:r>
          </w:p>
        </w:tc>
        <w:tc>
          <w:tcPr>
            <w:tcW w:w="0" w:type="dxa"/>
            <w:vAlign w:val="bottom"/>
          </w:tcPr>
          <w:p>
            <w:pPr>
              <w:spacing w:after="0"/>
              <w:rPr>
                <w:sz w:val="1"/>
                <w:szCs w:val="1"/>
                <w:color w:val="auto"/>
              </w:rPr>
            </w:pPr>
          </w:p>
        </w:tc>
      </w:tr>
      <w:tr>
        <w:trPr>
          <w:trHeight w:val="115"/>
        </w:trPr>
        <w:tc>
          <w:tcPr>
            <w:tcW w:w="48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112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54,808</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16,492</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Changes in unrealized gains (losses) included in earnings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80"/>
              <w:spacing w:after="0"/>
              <w:rPr>
                <w:sz w:val="20"/>
                <w:szCs w:val="20"/>
                <w:color w:val="auto"/>
              </w:rPr>
            </w:pPr>
            <w:r>
              <w:rPr>
                <w:rFonts w:ascii="Arial" w:cs="Arial" w:eastAsia="Arial" w:hAnsi="Arial"/>
                <w:sz w:val="18"/>
                <w:szCs w:val="18"/>
                <w:color w:val="auto"/>
              </w:rPr>
              <w:t>related to assets still held at September 30, 2014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12,421(b)</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September 30, 2013 were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80" w:type="dxa"/>
            <w:vAlign w:val="bottom"/>
            <w:gridSpan w:val="6"/>
          </w:tcPr>
          <w:p>
            <w:pPr>
              <w:jc w:val="right"/>
              <w:ind w:right="840"/>
              <w:spacing w:after="0"/>
              <w:rPr>
                <w:sz w:val="20"/>
                <w:szCs w:val="20"/>
                <w:color w:val="auto"/>
              </w:rPr>
            </w:pPr>
            <w:r>
              <w:rPr>
                <w:rFonts w:ascii="Arial" w:cs="Arial" w:eastAsia="Arial" w:hAnsi="Arial"/>
                <w:sz w:val="14"/>
                <w:szCs w:val="14"/>
                <w:color w:val="auto"/>
                <w:w w:val="96"/>
              </w:rPr>
              <w:t>Investment securities available for sale</w:t>
            </w:r>
          </w:p>
        </w:tc>
        <w:tc>
          <w:tcPr>
            <w:tcW w:w="34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23"/>
        </w:trPr>
        <w:tc>
          <w:tcPr>
            <w:tcW w:w="4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20" w:type="dxa"/>
            <w:vAlign w:val="bottom"/>
            <w:tcBorders>
              <w:top w:val="single" w:sz="8" w:color="auto"/>
            </w:tcBorders>
            <w:gridSpan w:val="3"/>
          </w:tcPr>
          <w:p>
            <w:pPr>
              <w:jc w:val="right"/>
              <w:ind w:right="560"/>
              <w:spacing w:after="0" w:line="123" w:lineRule="exact"/>
              <w:rPr>
                <w:sz w:val="20"/>
                <w:szCs w:val="20"/>
                <w:color w:val="auto"/>
              </w:rPr>
            </w:pPr>
            <w:r>
              <w:rPr>
                <w:rFonts w:ascii="Arial" w:cs="Arial" w:eastAsia="Arial" w:hAnsi="Arial"/>
                <w:sz w:val="14"/>
                <w:szCs w:val="14"/>
                <w:color w:val="auto"/>
                <w:w w:val="95"/>
              </w:rPr>
              <w:t>Privately issued</w:t>
            </w:r>
          </w:p>
        </w:tc>
        <w:tc>
          <w:tcPr>
            <w:tcW w:w="4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w w:val="96"/>
              </w:rPr>
              <w:t>Collateralized</w:t>
            </w: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color w:val="auto"/>
              </w:rPr>
              <w:t>mortgage-backed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debt</w:t>
            </w:r>
          </w:p>
        </w:tc>
        <w:tc>
          <w:tcPr>
            <w:tcW w:w="340" w:type="dxa"/>
            <w:vAlign w:val="bottom"/>
          </w:tcPr>
          <w:p>
            <w:pPr>
              <w:spacing w:after="0"/>
              <w:rPr>
                <w:sz w:val="12"/>
                <w:szCs w:val="12"/>
                <w:color w:val="auto"/>
              </w:rPr>
            </w:pPr>
          </w:p>
        </w:tc>
        <w:tc>
          <w:tcPr>
            <w:tcW w:w="10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4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4"/>
                <w:szCs w:val="14"/>
                <w:color w:val="auto"/>
                <w:w w:val="98"/>
              </w:rPr>
              <w:t>securities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4"/>
                <w:szCs w:val="14"/>
                <w:color w:val="auto"/>
                <w:w w:val="92"/>
              </w:rPr>
              <w:t>obligations</w:t>
            </w:r>
          </w:p>
        </w:tc>
        <w:tc>
          <w:tcPr>
            <w:tcW w:w="340" w:type="dxa"/>
            <w:vAlign w:val="bottom"/>
          </w:tcPr>
          <w:p>
            <w:pPr>
              <w:spacing w:after="0"/>
              <w:rPr>
                <w:sz w:val="14"/>
                <w:szCs w:val="14"/>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4"/>
          </w:tcPr>
          <w:p>
            <w:pPr>
              <w:ind w:left="260"/>
              <w:spacing w:after="0" w:line="142" w:lineRule="exact"/>
              <w:rPr>
                <w:sz w:val="20"/>
                <w:szCs w:val="20"/>
                <w:color w:val="auto"/>
              </w:rPr>
            </w:pPr>
            <w:r>
              <w:rPr>
                <w:rFonts w:ascii="Arial" w:cs="Arial" w:eastAsia="Arial" w:hAnsi="Arial"/>
                <w:sz w:val="14"/>
                <w:szCs w:val="14"/>
                <w:color w:val="auto"/>
              </w:rPr>
              <w:t>(in thousands)</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2013</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5,272</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59,916</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324"/>
        </w:trPr>
        <w:tc>
          <w:tcPr>
            <w:tcW w:w="436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earnings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24,440(b)</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400 (e)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213 (e)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(1,856)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(826)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(18,773)(d)</w:t>
            </w:r>
          </w:p>
        </w:tc>
        <w:tc>
          <w:tcPr>
            <w:tcW w:w="0" w:type="dxa"/>
            <w:vAlign w:val="bottom"/>
          </w:tcPr>
          <w:p>
            <w:pPr>
              <w:spacing w:after="0"/>
              <w:rPr>
                <w:sz w:val="1"/>
                <w:szCs w:val="1"/>
                <w:color w:val="auto"/>
              </w:rPr>
            </w:pPr>
          </w:p>
        </w:tc>
      </w:tr>
      <w:tr>
        <w:trPr>
          <w:trHeight w:val="115"/>
        </w:trPr>
        <w:tc>
          <w:tcPr>
            <w:tcW w:w="4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2013</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3,816</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59,303</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13,075</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w w:val="94"/>
              </w:rPr>
              <w:t>Changes in unrealized gains (losses) included in earnings</w:t>
            </w: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3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related to assets still held at September 30, 2013</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(1,727)(b)</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- 43 -</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nine months ended September 30, 2014 were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6"/>
          </w:tcPr>
          <w:p>
            <w:pPr>
              <w:ind w:left="40"/>
              <w:spacing w:after="0"/>
              <w:rPr>
                <w:sz w:val="20"/>
                <w:szCs w:val="20"/>
                <w:color w:val="auto"/>
              </w:rPr>
            </w:pPr>
            <w:r>
              <w:rPr>
                <w:rFonts w:ascii="Arial" w:cs="Arial" w:eastAsia="Arial" w:hAnsi="Arial"/>
                <w:sz w:val="14"/>
                <w:szCs w:val="14"/>
                <w:color w:val="auto"/>
              </w:rPr>
              <w:t>Investment securities available for sale</w:t>
            </w:r>
          </w:p>
        </w:tc>
        <w:tc>
          <w:tcPr>
            <w:tcW w:w="22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23"/>
        </w:trPr>
        <w:tc>
          <w:tcPr>
            <w:tcW w:w="5320" w:type="dxa"/>
            <w:vAlign w:val="bottom"/>
          </w:tcPr>
          <w:p>
            <w:pPr>
              <w:spacing w:after="0"/>
              <w:rPr>
                <w:sz w:val="10"/>
                <w:szCs w:val="10"/>
                <w:color w:val="auto"/>
              </w:rPr>
            </w:pPr>
          </w:p>
        </w:tc>
        <w:tc>
          <w:tcPr>
            <w:tcW w:w="1420" w:type="dxa"/>
            <w:vAlign w:val="bottom"/>
            <w:tcBorders>
              <w:top w:val="single" w:sz="8" w:color="auto"/>
            </w:tcBorders>
            <w:gridSpan w:val="3"/>
          </w:tcPr>
          <w:p>
            <w:pPr>
              <w:jc w:val="center"/>
              <w:ind w:right="420"/>
              <w:spacing w:after="0" w:line="123" w:lineRule="exact"/>
              <w:rPr>
                <w:sz w:val="20"/>
                <w:szCs w:val="20"/>
                <w:color w:val="auto"/>
              </w:rPr>
            </w:pPr>
            <w:r>
              <w:rPr>
                <w:rFonts w:ascii="Arial" w:cs="Arial" w:eastAsia="Arial" w:hAnsi="Arial"/>
                <w:sz w:val="14"/>
                <w:szCs w:val="14"/>
                <w:color w:val="auto"/>
                <w:w w:val="93"/>
              </w:rPr>
              <w:t>Privately issued</w:t>
            </w:r>
          </w:p>
        </w:tc>
        <w:tc>
          <w:tcPr>
            <w:tcW w:w="2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4"/>
              </w:rPr>
              <w:t>Collateralized</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color w:val="auto"/>
              </w:rPr>
              <w:t>mortgage-backed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7"/>
              </w:rPr>
              <w:t>debt</w:t>
            </w:r>
          </w:p>
        </w:tc>
        <w:tc>
          <w:tcPr>
            <w:tcW w:w="220" w:type="dxa"/>
            <w:vAlign w:val="bottom"/>
          </w:tcPr>
          <w:p>
            <w:pPr>
              <w:spacing w:after="0"/>
              <w:rPr>
                <w:sz w:val="12"/>
                <w:szCs w:val="12"/>
                <w:color w:val="auto"/>
              </w:rPr>
            </w:pPr>
          </w:p>
        </w:tc>
        <w:tc>
          <w:tcPr>
            <w:tcW w:w="10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color w:val="auto"/>
                <w:w w:val="91"/>
              </w:rPr>
              <w:t>securities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color w:val="auto"/>
                <w:w w:val="95"/>
              </w:rPr>
              <w:t>obligations</w:t>
            </w:r>
          </w:p>
        </w:tc>
        <w:tc>
          <w:tcPr>
            <w:tcW w:w="220" w:type="dxa"/>
            <w:vAlign w:val="bottom"/>
          </w:tcPr>
          <w:p>
            <w:pPr>
              <w:spacing w:after="0"/>
              <w:rPr>
                <w:sz w:val="14"/>
                <w:szCs w:val="14"/>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76"/>
        </w:trPr>
        <w:tc>
          <w:tcPr>
            <w:tcW w:w="53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4"/>
          </w:tcPr>
          <w:p>
            <w:pPr>
              <w:jc w:val="right"/>
              <w:ind w:right="640"/>
              <w:spacing w:after="0"/>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1,850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63,083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3,941</w:t>
            </w:r>
          </w:p>
        </w:tc>
        <w:tc>
          <w:tcPr>
            <w:tcW w:w="0" w:type="dxa"/>
            <w:vAlign w:val="bottom"/>
          </w:tcPr>
          <w:p>
            <w:pPr>
              <w:spacing w:after="0"/>
              <w:rPr>
                <w:sz w:val="1"/>
                <w:szCs w:val="1"/>
                <w:color w:val="auto"/>
              </w:rPr>
            </w:pPr>
          </w:p>
        </w:tc>
      </w:tr>
      <w:tr>
        <w:trPr>
          <w:trHeight w:val="324"/>
        </w:trPr>
        <w:tc>
          <w:tcPr>
            <w:tcW w:w="532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earnings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7"/>
              </w:rPr>
              <w:t>63,557 (b)</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120" w:type="dxa"/>
            <w:vAlign w:val="bottom"/>
          </w:tcPr>
          <w:p>
            <w:pPr>
              <w:spacing w:after="0"/>
              <w:rPr>
                <w:sz w:val="18"/>
                <w:szCs w:val="18"/>
                <w:color w:val="auto"/>
              </w:rPr>
            </w:pPr>
          </w:p>
        </w:tc>
        <w:tc>
          <w:tcPr>
            <w:tcW w:w="1300" w:type="dxa"/>
            <w:vAlign w:val="bottom"/>
            <w:gridSpan w:val="2"/>
          </w:tcPr>
          <w:p>
            <w:pPr>
              <w:ind w:left="640"/>
              <w:spacing w:after="0"/>
              <w:rPr>
                <w:sz w:val="20"/>
                <w:szCs w:val="20"/>
                <w:color w:val="auto"/>
              </w:rPr>
            </w:pPr>
            <w:r>
              <w:rPr>
                <w:rFonts w:ascii="Arial" w:cs="Arial" w:eastAsia="Arial" w:hAnsi="Arial"/>
                <w:sz w:val="18"/>
                <w:szCs w:val="18"/>
                <w:color w:val="auto"/>
              </w:rPr>
              <w:t>272 (e)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11,333 (e)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(19,608)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120" w:type="dxa"/>
            <w:vAlign w:val="bottom"/>
          </w:tcPr>
          <w:p>
            <w:pPr>
              <w:spacing w:after="0"/>
              <w:rPr>
                <w:sz w:val="18"/>
                <w:szCs w:val="18"/>
                <w:color w:val="auto"/>
              </w:rPr>
            </w:pPr>
          </w:p>
        </w:tc>
        <w:tc>
          <w:tcPr>
            <w:tcW w:w="13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w w:val="96"/>
              </w:rPr>
              <w:t>(51,006)(d)</w:t>
            </w:r>
          </w:p>
        </w:tc>
        <w:tc>
          <w:tcPr>
            <w:tcW w:w="0" w:type="dxa"/>
            <w:vAlign w:val="bottom"/>
          </w:tcPr>
          <w:p>
            <w:pPr>
              <w:spacing w:after="0"/>
              <w:rPr>
                <w:sz w:val="1"/>
                <w:szCs w:val="1"/>
                <w:color w:val="auto"/>
              </w:rPr>
            </w:pPr>
          </w:p>
        </w:tc>
      </w:tr>
      <w:tr>
        <w:trPr>
          <w:trHeight w:val="115"/>
        </w:trPr>
        <w:tc>
          <w:tcPr>
            <w:tcW w:w="5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112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54,808</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16,492</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w w:val="98"/>
              </w:rPr>
              <w:t>Changes in unrealized gains (losses) included in earnings related to</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assets still held at September 30, 2014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w w:val="97"/>
              </w:rPr>
              <w:t>17,773 (b)</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nine months ended September 30, 2013 were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6"/>
          </w:tcPr>
          <w:p>
            <w:pPr>
              <w:jc w:val="right"/>
              <w:ind w:right="640"/>
              <w:spacing w:after="0"/>
              <w:rPr>
                <w:sz w:val="20"/>
                <w:szCs w:val="20"/>
                <w:color w:val="auto"/>
              </w:rPr>
            </w:pPr>
            <w:r>
              <w:rPr>
                <w:rFonts w:ascii="Arial" w:cs="Arial" w:eastAsia="Arial" w:hAnsi="Arial"/>
                <w:sz w:val="14"/>
                <w:szCs w:val="14"/>
                <w:color w:val="auto"/>
                <w:w w:val="93"/>
              </w:rPr>
              <w:t>Investment securities available for sale</w:t>
            </w:r>
          </w:p>
        </w:tc>
        <w:tc>
          <w:tcPr>
            <w:tcW w:w="220" w:type="dxa"/>
            <w:vAlign w:val="bottom"/>
          </w:tcPr>
          <w:p>
            <w:pPr>
              <w:spacing w:after="0"/>
              <w:rPr>
                <w:sz w:val="14"/>
                <w:szCs w:val="14"/>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23"/>
        </w:trPr>
        <w:tc>
          <w:tcPr>
            <w:tcW w:w="5260" w:type="dxa"/>
            <w:vAlign w:val="bottom"/>
          </w:tcPr>
          <w:p>
            <w:pPr>
              <w:spacing w:after="0"/>
              <w:rPr>
                <w:sz w:val="10"/>
                <w:szCs w:val="10"/>
                <w:color w:val="auto"/>
              </w:rPr>
            </w:pPr>
          </w:p>
        </w:tc>
        <w:tc>
          <w:tcPr>
            <w:tcW w:w="1440" w:type="dxa"/>
            <w:vAlign w:val="bottom"/>
            <w:tcBorders>
              <w:top w:val="single" w:sz="8" w:color="auto"/>
            </w:tcBorders>
            <w:gridSpan w:val="3"/>
          </w:tcPr>
          <w:p>
            <w:pPr>
              <w:jc w:val="right"/>
              <w:ind w:right="460"/>
              <w:spacing w:after="0" w:line="123" w:lineRule="exact"/>
              <w:rPr>
                <w:sz w:val="20"/>
                <w:szCs w:val="20"/>
                <w:color w:val="auto"/>
              </w:rPr>
            </w:pPr>
            <w:r>
              <w:rPr>
                <w:rFonts w:ascii="Arial" w:cs="Arial" w:eastAsia="Arial" w:hAnsi="Arial"/>
                <w:sz w:val="14"/>
                <w:szCs w:val="14"/>
                <w:color w:val="auto"/>
                <w:w w:val="97"/>
              </w:rPr>
              <w:t>Privately issued</w:t>
            </w:r>
          </w:p>
        </w:tc>
        <w:tc>
          <w:tcPr>
            <w:tcW w:w="2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4"/>
              </w:rPr>
              <w:t>Collateralized</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mortgage-backed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7"/>
              </w:rPr>
              <w:t>debt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color w:val="auto"/>
              </w:rPr>
              <w:t>securities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color w:val="auto"/>
                <w:w w:val="95"/>
              </w:rPr>
              <w:t>obligations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4"/>
          </w:tcPr>
          <w:p>
            <w:pPr>
              <w:jc w:val="right"/>
              <w:ind w:right="640"/>
              <w:spacing w:after="0"/>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1,023,886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61,869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47,859</w:t>
            </w:r>
          </w:p>
        </w:tc>
        <w:tc>
          <w:tcPr>
            <w:tcW w:w="0" w:type="dxa"/>
            <w:vAlign w:val="bottom"/>
          </w:tcPr>
          <w:p>
            <w:pPr>
              <w:spacing w:after="0"/>
              <w:rPr>
                <w:sz w:val="1"/>
                <w:szCs w:val="1"/>
                <w:color w:val="auto"/>
              </w:rPr>
            </w:pP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earnings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(56,102)(a)</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83,252(b)</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120" w:type="dxa"/>
            <w:vAlign w:val="bottom"/>
          </w:tcPr>
          <w:p>
            <w:pPr>
              <w:spacing w:after="0"/>
              <w:rPr>
                <w:sz w:val="18"/>
                <w:szCs w:val="18"/>
                <w:color w:val="auto"/>
              </w:rPr>
            </w:pPr>
          </w:p>
        </w:tc>
        <w:tc>
          <w:tcPr>
            <w:tcW w:w="1320" w:type="dxa"/>
            <w:vAlign w:val="bottom"/>
            <w:gridSpan w:val="2"/>
          </w:tcPr>
          <w:p>
            <w:pPr>
              <w:jc w:val="center"/>
              <w:ind w:left="74"/>
              <w:spacing w:after="0"/>
              <w:rPr>
                <w:sz w:val="20"/>
                <w:szCs w:val="20"/>
                <w:color w:val="auto"/>
              </w:rPr>
            </w:pPr>
            <w:r>
              <w:rPr>
                <w:rFonts w:ascii="Arial" w:cs="Arial" w:eastAsia="Arial" w:hAnsi="Arial"/>
                <w:sz w:val="18"/>
                <w:szCs w:val="18"/>
                <w:color w:val="auto"/>
                <w:w w:val="91"/>
              </w:rPr>
              <w:t>116,984 (e)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(324)(e)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(978,608)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Settlements</w:t>
            </w:r>
          </w:p>
        </w:tc>
        <w:tc>
          <w:tcPr>
            <w:tcW w:w="12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(102,344)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(2,242)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Transfers in and/or out of Level 3 (c)</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47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(118,036)(d)</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260" w:type="dxa"/>
            <w:vAlign w:val="bottom"/>
          </w:tcPr>
          <w:p>
            <w:pPr>
              <w:spacing w:after="0"/>
              <w:rPr>
                <w:sz w:val="20"/>
                <w:szCs w:val="20"/>
                <w:color w:val="auto"/>
              </w:rPr>
            </w:pPr>
            <w:r>
              <w:rPr>
                <w:rFonts w:ascii="Arial" w:cs="Arial" w:eastAsia="Arial" w:hAnsi="Arial"/>
                <w:sz w:val="18"/>
                <w:szCs w:val="18"/>
                <w:color w:val="auto"/>
              </w:rPr>
              <w:t>Balance – September 30, 2013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3,816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59,303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13,075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Changes in unrealized gains (losses) included in earnings related to</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still held at September 30, 2013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center"/>
              <w:ind w:left="54"/>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925 (b)</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600"/>
              <w:spacing w:after="0"/>
              <w:rPr>
                <w:sz w:val="20"/>
                <w:szCs w:val="20"/>
                <w:color w:val="auto"/>
              </w:rPr>
            </w:pPr>
            <w:r>
              <w:rPr>
                <w:rFonts w:ascii="Arial" w:cs="Arial" w:eastAsia="Arial" w:hAnsi="Arial"/>
                <w:sz w:val="18"/>
                <w:szCs w:val="18"/>
                <w:color w:val="auto"/>
              </w:rPr>
              <w:t>- 44 -</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9" w:right="5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an OTTI loss or as gain (loss) on bank investment securities in the consolidated statement of income.</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57"/>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32" w:lineRule="exact"/>
        <w:rPr>
          <w:rFonts w:ascii="Arial" w:cs="Arial" w:eastAsia="Arial" w:hAnsi="Arial"/>
          <w:sz w:val="16"/>
          <w:szCs w:val="16"/>
          <w:i w:val="1"/>
          <w:iCs w:val="1"/>
          <w:color w:val="auto"/>
        </w:rPr>
      </w:pPr>
    </w:p>
    <w:p>
      <w:pPr>
        <w:ind w:left="460" w:right="180" w:hanging="452"/>
        <w:spacing w:after="0" w:line="250" w:lineRule="auto"/>
        <w:tabs>
          <w:tab w:leader="none" w:pos="4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policy for transfers between fair value levels is to recognize the transfer as of the actual date of the event or change in circumstances that caused the transfer.</w:t>
      </w:r>
    </w:p>
    <w:p>
      <w:pPr>
        <w:ind w:left="460" w:hanging="452"/>
        <w:spacing w:after="0"/>
        <w:tabs>
          <w:tab w:leader="none" w:pos="4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out of Level 3 consist of interest rate locks transferred to closed loans.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net unrealized gains (losses) on investment securities in the consolidated statement of comprehensive income.</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generally in the range of 20% to 90% at September 30, 2014. As these discounts are not readily observable and are considered significant, the valuations have been classified as Level 3. Loans subject to nonrecurring fair value measurement were $196 million at September 30, 2014 ($112 million and $84 million of which were classified as Level 2 and Level 3, respectively), $222 million at December 31, 2013 ($173 million and $49 million of which were classified as Level 2 and Level 3, respectively) and $247 million at September 30, 2013 ($163 million and $84 million of which were classified as Level 2 and Level 3, respectively). Changes in fair value recognized for partial charge-offs of loans and loan impairment reserves on loans held by the Company on September 30, 2014 were decreases of $23 million and $46 million for the three- and nine-month periods ended September 30, 2014, respectively. Changes in fair value recognized for partial charge-offs of loans and loan impairment reserves on loans held by the Company on September 30, 2013 were decreases of $33 million and $82 million for the three- and nine-month periods ended September 30, 2013, respectively.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marketplace, and the related nonrecurring fair value measurement adjustments have generally been classified as Level 2. Assets taken in foreclosure of defaulted loans subject to nonrecurring fair value measurement were $21 million and $20 million at September 30, 2014 and September 30, 2013, respectively. Changes in fair value recognized for those foreclosed assets held by the Company were not material during the three-month and nine-month periods ended September 30, 2014 and 2013.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unobservable inputs to Level 3 measurements</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tables present quantitative information about significant unobservable inputs used in the fair value measurements for Level 3 assets and liabilities at September 30, 2014 and December 31, 2013.</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vMerge w:val="restart"/>
          </w:tcPr>
          <w:p>
            <w:pPr>
              <w:ind w:left="440"/>
              <w:spacing w:after="0"/>
              <w:rPr>
                <w:sz w:val="20"/>
                <w:szCs w:val="20"/>
                <w:color w:val="auto"/>
              </w:rPr>
            </w:pPr>
            <w:r>
              <w:rPr>
                <w:rFonts w:ascii="Arial" w:cs="Arial" w:eastAsia="Arial" w:hAnsi="Arial"/>
                <w:sz w:val="14"/>
                <w:szCs w:val="14"/>
                <w:color w:val="auto"/>
              </w:rPr>
              <w:t>Valuation</w:t>
            </w:r>
          </w:p>
        </w:tc>
        <w:tc>
          <w:tcPr>
            <w:tcW w:w="160" w:type="dxa"/>
            <w:vAlign w:val="bottom"/>
          </w:tcPr>
          <w:p>
            <w:pPr>
              <w:spacing w:after="0"/>
              <w:rPr>
                <w:sz w:val="14"/>
                <w:szCs w:val="14"/>
                <w:color w:val="auto"/>
              </w:rPr>
            </w:pPr>
          </w:p>
        </w:tc>
        <w:tc>
          <w:tcPr>
            <w:tcW w:w="1320" w:type="dxa"/>
            <w:vAlign w:val="bottom"/>
            <w:gridSpan w:val="2"/>
            <w:vMerge w:val="restart"/>
          </w:tcPr>
          <w:p>
            <w:pPr>
              <w:ind w:left="180"/>
              <w:spacing w:after="0"/>
              <w:rPr>
                <w:sz w:val="20"/>
                <w:szCs w:val="20"/>
                <w:color w:val="auto"/>
              </w:rPr>
            </w:pPr>
            <w:r>
              <w:rPr>
                <w:rFonts w:ascii="Arial" w:cs="Arial" w:eastAsia="Arial" w:hAnsi="Arial"/>
                <w:sz w:val="14"/>
                <w:szCs w:val="14"/>
                <w:color w:val="auto"/>
              </w:rPr>
              <w:t>Unobservable</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Range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Fair value at</w:t>
            </w:r>
          </w:p>
        </w:tc>
        <w:tc>
          <w:tcPr>
            <w:tcW w:w="1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1" w:lineRule="exact"/>
              <w:rPr>
                <w:sz w:val="20"/>
                <w:szCs w:val="20"/>
                <w:color w:val="auto"/>
              </w:rPr>
            </w:pPr>
            <w:r>
              <w:rPr>
                <w:rFonts w:ascii="Arial" w:cs="Arial" w:eastAsia="Arial" w:hAnsi="Arial"/>
                <w:sz w:val="14"/>
                <w:szCs w:val="14"/>
                <w:color w:val="auto"/>
                <w:w w:val="94"/>
              </w:rPr>
              <w:t>(weighted-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color w:val="auto"/>
              </w:rPr>
              <w:t>September 30, 2014</w:t>
            </w:r>
          </w:p>
        </w:tc>
        <w:tc>
          <w:tcPr>
            <w:tcW w:w="1420" w:type="dxa"/>
            <w:vAlign w:val="bottom"/>
          </w:tcPr>
          <w:p>
            <w:pPr>
              <w:ind w:left="420"/>
              <w:spacing w:after="0"/>
              <w:rPr>
                <w:sz w:val="20"/>
                <w:szCs w:val="20"/>
                <w:color w:val="auto"/>
              </w:rPr>
            </w:pPr>
            <w:r>
              <w:rPr>
                <w:rFonts w:ascii="Arial" w:cs="Arial" w:eastAsia="Arial" w:hAnsi="Arial"/>
                <w:sz w:val="14"/>
                <w:szCs w:val="14"/>
                <w:color w:val="auto"/>
              </w:rPr>
              <w:t>technique</w:t>
            </w:r>
          </w:p>
        </w:tc>
        <w:tc>
          <w:tcPr>
            <w:tcW w:w="16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color w:val="auto"/>
              </w:rPr>
              <w:t>input/assumptions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color w:val="auto"/>
                <w:w w:val="96"/>
              </w:rPr>
              <w:t>(in thousands)</w:t>
            </w:r>
          </w:p>
        </w:tc>
        <w:tc>
          <w:tcPr>
            <w:tcW w:w="24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Recurring fair value measurements</w:t>
            </w:r>
          </w:p>
        </w:tc>
        <w:tc>
          <w:tcPr>
            <w:tcW w:w="2400" w:type="dxa"/>
            <w:vAlign w:val="bottom"/>
            <w:tcBorders>
              <w:bottom w:val="single" w:sz="8" w:color="CCEEFF"/>
            </w:tcBorders>
            <w:gridSpan w:val="3"/>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4940" w:type="dxa"/>
            <w:vAlign w:val="bottom"/>
            <w:gridSpan w:val="5"/>
          </w:tcPr>
          <w:p>
            <w:pPr>
              <w:spacing w:after="0"/>
              <w:rPr>
                <w:sz w:val="20"/>
                <w:szCs w:val="20"/>
                <w:color w:val="auto"/>
              </w:rPr>
            </w:pPr>
            <w:r>
              <w:rPr>
                <w:rFonts w:ascii="Arial" w:cs="Arial" w:eastAsia="Arial" w:hAnsi="Arial"/>
                <w:sz w:val="18"/>
                <w:szCs w:val="18"/>
                <w:color w:val="auto"/>
              </w:rPr>
              <w:t>Privately issued mortgage–backed securities</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Two independent</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gridSpan w:val="5"/>
          </w:tcPr>
          <w:p>
            <w:pPr>
              <w:ind w:left="482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1420" w:type="dxa"/>
            <w:vAlign w:val="bottom"/>
          </w:tcPr>
          <w:p>
            <w:pPr>
              <w:ind w:left="180"/>
              <w:spacing w:after="0"/>
              <w:rPr>
                <w:sz w:val="20"/>
                <w:szCs w:val="20"/>
                <w:color w:val="auto"/>
              </w:rPr>
            </w:pPr>
            <w:r>
              <w:rPr>
                <w:rFonts w:ascii="Arial" w:cs="Arial" w:eastAsia="Arial" w:hAnsi="Arial"/>
                <w:sz w:val="18"/>
                <w:szCs w:val="18"/>
                <w:color w:val="auto"/>
              </w:rPr>
              <w:t>pricing quotes</w:t>
            </w:r>
          </w:p>
        </w:tc>
        <w:tc>
          <w:tcPr>
            <w:tcW w:w="160" w:type="dxa"/>
            <w:vAlign w:val="bottom"/>
          </w:tcPr>
          <w:p>
            <w:pPr>
              <w:spacing w:after="0"/>
              <w:rPr>
                <w:sz w:val="20"/>
                <w:szCs w:val="20"/>
                <w:color w:val="auto"/>
              </w:rPr>
            </w:pP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Collateralized debt obligations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Discounted cash</w:t>
            </w:r>
          </w:p>
        </w:tc>
        <w:tc>
          <w:tcPr>
            <w:tcW w:w="148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Probability of</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54,808</w:t>
            </w:r>
          </w:p>
        </w:tc>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flow</w:t>
            </w: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default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14%-57% (37%)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Loss severity</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940" w:type="dxa"/>
            <w:vAlign w:val="bottom"/>
            <w:gridSpan w:val="5"/>
          </w:tcPr>
          <w:p>
            <w:pPr>
              <w:spacing w:after="0"/>
              <w:rPr>
                <w:sz w:val="20"/>
                <w:szCs w:val="20"/>
                <w:color w:val="auto"/>
              </w:rPr>
            </w:pPr>
            <w:r>
              <w:rPr>
                <w:rFonts w:ascii="Arial" w:cs="Arial" w:eastAsia="Arial" w:hAnsi="Arial"/>
                <w:sz w:val="18"/>
                <w:szCs w:val="18"/>
                <w:color w:val="auto"/>
              </w:rPr>
              <w:t>Net other assets (liabilities)(a)</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Discounted cash</w:t>
            </w: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rPr>
              <w:t>Commitment</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16,492</w:t>
            </w:r>
          </w:p>
        </w:tc>
        <w:tc>
          <w:tcPr>
            <w:tcW w:w="1420" w:type="dxa"/>
            <w:vAlign w:val="bottom"/>
          </w:tcPr>
          <w:p>
            <w:pPr>
              <w:ind w:left="180"/>
              <w:spacing w:after="0"/>
              <w:rPr>
                <w:sz w:val="20"/>
                <w:szCs w:val="20"/>
                <w:color w:val="auto"/>
              </w:rPr>
            </w:pPr>
            <w:r>
              <w:rPr>
                <w:rFonts w:ascii="Arial" w:cs="Arial" w:eastAsia="Arial" w:hAnsi="Arial"/>
                <w:sz w:val="18"/>
                <w:szCs w:val="18"/>
                <w:color w:val="auto"/>
              </w:rPr>
              <w:t>flow</w:t>
            </w:r>
          </w:p>
        </w:tc>
        <w:tc>
          <w:tcPr>
            <w:tcW w:w="16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color w:val="auto"/>
              </w:rPr>
              <w:t>expirations</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0%-95% (20%)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vMerge w:val="restart"/>
          </w:tcPr>
          <w:p>
            <w:pPr>
              <w:ind w:left="440"/>
              <w:spacing w:after="0"/>
              <w:rPr>
                <w:sz w:val="20"/>
                <w:szCs w:val="20"/>
                <w:color w:val="auto"/>
              </w:rPr>
            </w:pPr>
            <w:r>
              <w:rPr>
                <w:rFonts w:ascii="Arial" w:cs="Arial" w:eastAsia="Arial" w:hAnsi="Arial"/>
                <w:sz w:val="14"/>
                <w:szCs w:val="14"/>
                <w:color w:val="auto"/>
              </w:rPr>
              <w:t>Valuation</w:t>
            </w:r>
          </w:p>
        </w:tc>
        <w:tc>
          <w:tcPr>
            <w:tcW w:w="160" w:type="dxa"/>
            <w:vAlign w:val="bottom"/>
          </w:tcPr>
          <w:p>
            <w:pPr>
              <w:spacing w:after="0"/>
              <w:rPr>
                <w:sz w:val="24"/>
                <w:szCs w:val="24"/>
                <w:color w:val="auto"/>
              </w:rPr>
            </w:pPr>
          </w:p>
        </w:tc>
        <w:tc>
          <w:tcPr>
            <w:tcW w:w="1320" w:type="dxa"/>
            <w:vAlign w:val="bottom"/>
            <w:gridSpan w:val="2"/>
            <w:vMerge w:val="restart"/>
          </w:tcPr>
          <w:p>
            <w:pPr>
              <w:ind w:left="180"/>
              <w:spacing w:after="0"/>
              <w:rPr>
                <w:sz w:val="20"/>
                <w:szCs w:val="20"/>
                <w:color w:val="auto"/>
              </w:rPr>
            </w:pPr>
            <w:r>
              <w:rPr>
                <w:rFonts w:ascii="Arial" w:cs="Arial" w:eastAsia="Arial" w:hAnsi="Arial"/>
                <w:sz w:val="14"/>
                <w:szCs w:val="14"/>
                <w:color w:val="auto"/>
              </w:rPr>
              <w:t>Unobservable</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Range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ind w:left="80"/>
              <w:spacing w:after="0" w:line="141" w:lineRule="exact"/>
              <w:rPr>
                <w:sz w:val="20"/>
                <w:szCs w:val="20"/>
                <w:color w:val="auto"/>
              </w:rPr>
            </w:pPr>
            <w:r>
              <w:rPr>
                <w:rFonts w:ascii="Arial" w:cs="Arial" w:eastAsia="Arial" w:hAnsi="Arial"/>
                <w:sz w:val="14"/>
                <w:szCs w:val="14"/>
                <w:color w:val="auto"/>
              </w:rPr>
              <w:t>Fair value at</w:t>
            </w:r>
          </w:p>
        </w:tc>
        <w:tc>
          <w:tcPr>
            <w:tcW w:w="1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1" w:lineRule="exact"/>
              <w:rPr>
                <w:sz w:val="20"/>
                <w:szCs w:val="20"/>
                <w:color w:val="auto"/>
              </w:rPr>
            </w:pPr>
            <w:r>
              <w:rPr>
                <w:rFonts w:ascii="Arial" w:cs="Arial" w:eastAsia="Arial" w:hAnsi="Arial"/>
                <w:sz w:val="14"/>
                <w:szCs w:val="14"/>
                <w:color w:val="auto"/>
                <w:w w:val="94"/>
              </w:rPr>
              <w:t>(weighted-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60" w:type="dxa"/>
            <w:vAlign w:val="bottom"/>
            <w:gridSpan w:val="4"/>
          </w:tcPr>
          <w:p>
            <w:pPr>
              <w:ind w:left="40"/>
              <w:spacing w:after="0"/>
              <w:rPr>
                <w:sz w:val="20"/>
                <w:szCs w:val="20"/>
                <w:color w:val="auto"/>
              </w:rPr>
            </w:pPr>
            <w:r>
              <w:rPr>
                <w:rFonts w:ascii="Arial" w:cs="Arial" w:eastAsia="Arial" w:hAnsi="Arial"/>
                <w:sz w:val="14"/>
                <w:szCs w:val="14"/>
                <w:color w:val="auto"/>
              </w:rPr>
              <w:t>December 31, 2013</w:t>
            </w:r>
          </w:p>
        </w:tc>
        <w:tc>
          <w:tcPr>
            <w:tcW w:w="1420" w:type="dxa"/>
            <w:vAlign w:val="bottom"/>
          </w:tcPr>
          <w:p>
            <w:pPr>
              <w:ind w:left="420"/>
              <w:spacing w:after="0"/>
              <w:rPr>
                <w:sz w:val="20"/>
                <w:szCs w:val="20"/>
                <w:color w:val="auto"/>
              </w:rPr>
            </w:pPr>
            <w:r>
              <w:rPr>
                <w:rFonts w:ascii="Arial" w:cs="Arial" w:eastAsia="Arial" w:hAnsi="Arial"/>
                <w:sz w:val="14"/>
                <w:szCs w:val="14"/>
                <w:color w:val="auto"/>
              </w:rPr>
              <w:t>technique</w:t>
            </w:r>
          </w:p>
        </w:tc>
        <w:tc>
          <w:tcPr>
            <w:tcW w:w="16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color w:val="auto"/>
              </w:rPr>
              <w:t>input/assumptions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color w:val="auto"/>
                <w:w w:val="94"/>
              </w:rPr>
              <w:t>(in thousands)</w:t>
            </w:r>
          </w:p>
        </w:tc>
        <w:tc>
          <w:tcPr>
            <w:tcW w:w="24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Recurring fair value measurements</w:t>
            </w:r>
          </w:p>
        </w:tc>
        <w:tc>
          <w:tcPr>
            <w:tcW w:w="2400" w:type="dxa"/>
            <w:vAlign w:val="bottom"/>
            <w:tcBorders>
              <w:bottom w:val="single" w:sz="8" w:color="CCEEFF"/>
            </w:tcBorders>
            <w:gridSpan w:val="3"/>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4940" w:type="dxa"/>
            <w:vAlign w:val="bottom"/>
            <w:gridSpan w:val="5"/>
          </w:tcPr>
          <w:p>
            <w:pPr>
              <w:spacing w:after="0"/>
              <w:rPr>
                <w:sz w:val="20"/>
                <w:szCs w:val="20"/>
                <w:color w:val="auto"/>
              </w:rPr>
            </w:pPr>
            <w:r>
              <w:rPr>
                <w:rFonts w:ascii="Arial" w:cs="Arial" w:eastAsia="Arial" w:hAnsi="Arial"/>
                <w:sz w:val="18"/>
                <w:szCs w:val="18"/>
                <w:color w:val="auto"/>
              </w:rPr>
              <w:t>Privately issued mortgage–backed securities</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Two independent</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gridSpan w:val="5"/>
          </w:tcPr>
          <w:p>
            <w:pPr>
              <w:ind w:left="47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1,850</w:t>
            </w:r>
          </w:p>
        </w:tc>
        <w:tc>
          <w:tcPr>
            <w:tcW w:w="240" w:type="dxa"/>
            <w:vAlign w:val="bottom"/>
          </w:tcPr>
          <w:p>
            <w:pPr>
              <w:spacing w:after="0"/>
              <w:rPr>
                <w:sz w:val="20"/>
                <w:szCs w:val="20"/>
                <w:color w:val="auto"/>
              </w:rPr>
            </w:pPr>
          </w:p>
        </w:tc>
        <w:tc>
          <w:tcPr>
            <w:tcW w:w="1420" w:type="dxa"/>
            <w:vAlign w:val="bottom"/>
          </w:tcPr>
          <w:p>
            <w:pPr>
              <w:ind w:left="180"/>
              <w:spacing w:after="0"/>
              <w:rPr>
                <w:sz w:val="20"/>
                <w:szCs w:val="20"/>
                <w:color w:val="auto"/>
              </w:rPr>
            </w:pPr>
            <w:r>
              <w:rPr>
                <w:rFonts w:ascii="Arial" w:cs="Arial" w:eastAsia="Arial" w:hAnsi="Arial"/>
                <w:sz w:val="18"/>
                <w:szCs w:val="18"/>
                <w:color w:val="auto"/>
              </w:rPr>
              <w:t>pricing quotes</w:t>
            </w:r>
          </w:p>
        </w:tc>
        <w:tc>
          <w:tcPr>
            <w:tcW w:w="160" w:type="dxa"/>
            <w:vAlign w:val="bottom"/>
          </w:tcPr>
          <w:p>
            <w:pPr>
              <w:spacing w:after="0"/>
              <w:rPr>
                <w:sz w:val="20"/>
                <w:szCs w:val="20"/>
                <w:color w:val="auto"/>
              </w:rPr>
            </w:pP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60" w:type="dxa"/>
            <w:vAlign w:val="bottom"/>
            <w:gridSpan w:val="2"/>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80" w:type="dxa"/>
            <w:vAlign w:val="bottom"/>
            <w:gridSpan w:val="3"/>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Collateralized debt obligations</w:t>
            </w:r>
          </w:p>
        </w:tc>
        <w:tc>
          <w:tcPr>
            <w:tcW w:w="160" w:type="dxa"/>
            <w:vAlign w:val="bottom"/>
            <w:gridSpan w:val="2"/>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Discounted cash</w:t>
            </w:r>
          </w:p>
        </w:tc>
        <w:tc>
          <w:tcPr>
            <w:tcW w:w="148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Probability of</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63,083</w:t>
            </w:r>
          </w:p>
        </w:tc>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flow</w:t>
            </w: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default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17%-55% (39%)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Loss severity</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940" w:type="dxa"/>
            <w:vAlign w:val="bottom"/>
            <w:gridSpan w:val="5"/>
          </w:tcPr>
          <w:p>
            <w:pPr>
              <w:spacing w:after="0"/>
              <w:rPr>
                <w:sz w:val="20"/>
                <w:szCs w:val="20"/>
                <w:color w:val="auto"/>
              </w:rPr>
            </w:pPr>
            <w:r>
              <w:rPr>
                <w:rFonts w:ascii="Arial" w:cs="Arial" w:eastAsia="Arial" w:hAnsi="Arial"/>
                <w:sz w:val="18"/>
                <w:szCs w:val="18"/>
                <w:color w:val="auto"/>
              </w:rPr>
              <w:t>Net other assets (liabilities)(a)</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Discounted cash</w:t>
            </w: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rPr>
              <w:t>Commitment</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3,941</w:t>
            </w:r>
          </w:p>
        </w:tc>
        <w:tc>
          <w:tcPr>
            <w:tcW w:w="240" w:type="dxa"/>
            <w:vAlign w:val="bottom"/>
          </w:tcPr>
          <w:p>
            <w:pPr>
              <w:spacing w:after="0"/>
              <w:rPr>
                <w:sz w:val="20"/>
                <w:szCs w:val="20"/>
                <w:color w:val="auto"/>
              </w:rPr>
            </w:pPr>
          </w:p>
        </w:tc>
        <w:tc>
          <w:tcPr>
            <w:tcW w:w="1420" w:type="dxa"/>
            <w:vAlign w:val="bottom"/>
          </w:tcPr>
          <w:p>
            <w:pPr>
              <w:ind w:left="180"/>
              <w:spacing w:after="0"/>
              <w:rPr>
                <w:sz w:val="20"/>
                <w:szCs w:val="20"/>
                <w:color w:val="auto"/>
              </w:rPr>
            </w:pPr>
            <w:r>
              <w:rPr>
                <w:rFonts w:ascii="Arial" w:cs="Arial" w:eastAsia="Arial" w:hAnsi="Arial"/>
                <w:sz w:val="18"/>
                <w:szCs w:val="18"/>
                <w:color w:val="auto"/>
              </w:rPr>
              <w:t>flow</w:t>
            </w:r>
          </w:p>
        </w:tc>
        <w:tc>
          <w:tcPr>
            <w:tcW w:w="16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color w:val="auto"/>
              </w:rPr>
              <w:t>expirations</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0%-90% (20%)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157" w:lineRule="exact"/>
        <w:rPr>
          <w:rFonts w:ascii="Arial" w:cs="Arial" w:eastAsia="Arial" w:hAnsi="Arial"/>
          <w:sz w:val="18"/>
          <w:szCs w:val="18"/>
          <w:i w:val="1"/>
          <w:iCs w:val="1"/>
          <w:color w:val="auto"/>
        </w:rPr>
      </w:pPr>
    </w:p>
    <w:p>
      <w:pPr>
        <w:ind w:left="5620" w:hanging="101"/>
        <w:spacing w:after="0"/>
        <w:tabs>
          <w:tab w:leader="none" w:pos="5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46 -</w:t>
      </w:r>
    </w:p>
    <w:p>
      <w:pPr>
        <w:sectPr>
          <w:pgSz w:w="11900" w:h="16838" w:orient="portrait"/>
          <w:cols w:equalWidth="0" w:num="1">
            <w:col w:w="11320"/>
          </w:cols>
          <w:pgMar w:left="24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fair value measurements to changes in unobservable inputs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An increase (decrease) in the probability of default and loss severity for collateralized debt securities would generally result in a lower (higher) fair value measurement.</w:t>
      </w:r>
    </w:p>
    <w:p>
      <w:pPr>
        <w:spacing w:after="0" w:line="170"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An increase (decrease) in the estimate of expirations for commitments to originate real-estate loans would generally result in a lower (higher) fair value measurement. Estimated commitment expirations are derived considering loan type, changes in interest rates and remaining length of time until closing.</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and estimated fair value for financial instrument assets (liabilities) are presented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color w:val="auto"/>
                <w:w w:val="91"/>
              </w:rPr>
              <w:t>September 30, 2014</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620"/>
              <w:spacing w:after="0" w:line="123" w:lineRule="exact"/>
              <w:rPr>
                <w:sz w:val="20"/>
                <w:szCs w:val="20"/>
                <w:color w:val="auto"/>
              </w:rPr>
            </w:pPr>
            <w:r>
              <w:rPr>
                <w:rFonts w:ascii="Arial" w:cs="Arial" w:eastAsia="Arial" w:hAnsi="Arial"/>
                <w:sz w:val="14"/>
                <w:szCs w:val="14"/>
                <w:color w:val="auto"/>
              </w:rPr>
              <w:t>Carrying</w:t>
            </w:r>
          </w:p>
        </w:tc>
        <w:tc>
          <w:tcPr>
            <w:tcW w:w="100" w:type="dxa"/>
            <w:vAlign w:val="bottom"/>
          </w:tcPr>
          <w:p>
            <w:pPr>
              <w:spacing w:after="0"/>
              <w:rPr>
                <w:sz w:val="10"/>
                <w:szCs w:val="10"/>
                <w:color w:val="auto"/>
              </w:rPr>
            </w:pPr>
          </w:p>
        </w:tc>
        <w:tc>
          <w:tcPr>
            <w:tcW w:w="1000" w:type="dxa"/>
            <w:vAlign w:val="bottom"/>
            <w:gridSpan w:val="2"/>
          </w:tcPr>
          <w:p>
            <w:pPr>
              <w:jc w:val="right"/>
              <w:ind w:right="320"/>
              <w:spacing w:after="0" w:line="123" w:lineRule="exact"/>
              <w:rPr>
                <w:sz w:val="20"/>
                <w:szCs w:val="20"/>
                <w:color w:val="auto"/>
              </w:rPr>
            </w:pPr>
            <w:r>
              <w:rPr>
                <w:rFonts w:ascii="Arial" w:cs="Arial" w:eastAsia="Arial" w:hAnsi="Arial"/>
                <w:sz w:val="14"/>
                <w:szCs w:val="14"/>
                <w:color w:val="auto"/>
              </w:rPr>
              <w:t>Estimated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color w:val="auto"/>
              </w:rPr>
              <w:t>fair value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color w:val="auto"/>
              </w:rPr>
              <w:t>Level 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color w:val="auto"/>
              </w:rPr>
              <w:t>Level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center"/>
              <w:ind w:right="60"/>
              <w:spacing w:after="0" w:line="142" w:lineRule="exact"/>
              <w:rPr>
                <w:sz w:val="20"/>
                <w:szCs w:val="20"/>
                <w:color w:val="auto"/>
              </w:rPr>
            </w:pPr>
            <w:r>
              <w:rPr>
                <w:rFonts w:ascii="Arial" w:cs="Arial" w:eastAsia="Arial" w:hAnsi="Arial"/>
                <w:sz w:val="14"/>
                <w:szCs w:val="14"/>
                <w:color w:val="auto"/>
                <w:w w:val="92"/>
              </w:rPr>
              <w:t>(in thousands)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1,523,643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1,523,643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1,444,153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79,490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7,676,064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7,676,064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7,676,064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296,913</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296,913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50,757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246,156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13,348,368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13,333,944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70,401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13,051,825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Loans and leases: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Commercial loans and leases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19,112,009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18,838,297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18,838,297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700"/>
              <w:spacing w:after="0"/>
              <w:rPr>
                <w:sz w:val="20"/>
                <w:szCs w:val="20"/>
                <w:color w:val="auto"/>
              </w:rPr>
            </w:pPr>
            <w:r>
              <w:rPr>
                <w:rFonts w:ascii="Arial" w:cs="Arial" w:eastAsia="Arial" w:hAnsi="Arial"/>
                <w:sz w:val="18"/>
                <w:szCs w:val="18"/>
                <w:color w:val="auto"/>
              </w:rPr>
              <w:t>Commercial real estate loans</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26,942,847</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26,831,373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158,938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26,672,435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real estate loans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8,663,408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8,686,180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5,389,134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3,297,046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700"/>
              <w:spacing w:after="0"/>
              <w:rPr>
                <w:sz w:val="20"/>
                <w:szCs w:val="20"/>
                <w:color w:val="auto"/>
              </w:rPr>
            </w:pPr>
            <w:r>
              <w:rPr>
                <w:rFonts w:ascii="Arial" w:cs="Arial" w:eastAsia="Arial" w:hAnsi="Arial"/>
                <w:sz w:val="18"/>
                <w:szCs w:val="18"/>
                <w:color w:val="auto"/>
              </w:rPr>
              <w:t>Consumer loans</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10,854,095</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10,763,554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10,763,554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(918,633)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1060"/>
              <w:spacing w:after="0"/>
              <w:rPr>
                <w:sz w:val="20"/>
                <w:szCs w:val="20"/>
                <w:color w:val="auto"/>
              </w:rPr>
            </w:pPr>
            <w:r>
              <w:rPr>
                <w:rFonts w:ascii="Arial" w:cs="Arial" w:eastAsia="Arial" w:hAnsi="Arial"/>
                <w:sz w:val="18"/>
                <w:szCs w:val="18"/>
                <w:color w:val="auto"/>
              </w:rPr>
              <w:t>Loans and leases, net</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64,653,726</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65,119,404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5,548,072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59,571,332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243,779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243,779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243,779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10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(27,440,524)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(27,440,524)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(27,440,524)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Savings deposits and NOW accounts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(43,488,444)</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(43,488,444)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(43,488,444)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(3,170,998)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(3,192,395)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(3,192,395)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(241,536)</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(241,536)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(241,536)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(164,609)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(164,609)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(164,609)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(9,061,391)</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(9,214,644)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(9,214,644)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(74,278)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(74,278)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(74,278)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Trading account liabilities</w:t>
            </w:r>
          </w:p>
        </w:tc>
        <w:tc>
          <w:tcPr>
            <w:tcW w:w="10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(181,742)</w:t>
            </w: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(181,742)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(181,742)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Commitments to originate real estate loans for 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16,492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16,492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to sell real estate loans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Other credit-related commitments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(114,405)</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(114,405)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(114,405)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Interest rate swap agreements used for interest rate risk</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management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76,249</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76,249</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76,249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- 47 -</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Fair value measurements, 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color w:val="auto"/>
                <w:w w:val="92"/>
              </w:rPr>
              <w:t>December 31, 2013</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620"/>
              <w:spacing w:after="0" w:line="123" w:lineRule="exact"/>
              <w:rPr>
                <w:sz w:val="20"/>
                <w:szCs w:val="20"/>
                <w:color w:val="auto"/>
              </w:rPr>
            </w:pPr>
            <w:r>
              <w:rPr>
                <w:rFonts w:ascii="Arial" w:cs="Arial" w:eastAsia="Arial" w:hAnsi="Arial"/>
                <w:sz w:val="14"/>
                <w:szCs w:val="14"/>
                <w:color w:val="auto"/>
              </w:rPr>
              <w:t>Carrying</w:t>
            </w:r>
          </w:p>
        </w:tc>
        <w:tc>
          <w:tcPr>
            <w:tcW w:w="100" w:type="dxa"/>
            <w:vAlign w:val="bottom"/>
          </w:tcPr>
          <w:p>
            <w:pPr>
              <w:spacing w:after="0"/>
              <w:rPr>
                <w:sz w:val="10"/>
                <w:szCs w:val="10"/>
                <w:color w:val="auto"/>
              </w:rPr>
            </w:pPr>
          </w:p>
        </w:tc>
        <w:tc>
          <w:tcPr>
            <w:tcW w:w="1000" w:type="dxa"/>
            <w:vAlign w:val="bottom"/>
            <w:gridSpan w:val="2"/>
          </w:tcPr>
          <w:p>
            <w:pPr>
              <w:jc w:val="right"/>
              <w:ind w:right="320"/>
              <w:spacing w:after="0" w:line="123" w:lineRule="exact"/>
              <w:rPr>
                <w:sz w:val="20"/>
                <w:szCs w:val="20"/>
                <w:color w:val="auto"/>
              </w:rPr>
            </w:pPr>
            <w:r>
              <w:rPr>
                <w:rFonts w:ascii="Arial" w:cs="Arial" w:eastAsia="Arial" w:hAnsi="Arial"/>
                <w:sz w:val="14"/>
                <w:szCs w:val="14"/>
                <w:color w:val="auto"/>
              </w:rPr>
              <w:t>Estimated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color w:val="auto"/>
              </w:rPr>
              <w:t>fair value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Level 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color w:val="auto"/>
              </w:rPr>
              <w:t>Level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4"/>
          </w:tcPr>
          <w:p>
            <w:pPr>
              <w:jc w:val="center"/>
              <w:ind w:right="40"/>
              <w:spacing w:after="0" w:line="142" w:lineRule="exact"/>
              <w:rPr>
                <w:sz w:val="20"/>
                <w:szCs w:val="20"/>
                <w:color w:val="auto"/>
              </w:rPr>
            </w:pPr>
            <w:r>
              <w:rPr>
                <w:rFonts w:ascii="Arial" w:cs="Arial" w:eastAsia="Arial" w:hAnsi="Arial"/>
                <w:sz w:val="14"/>
                <w:szCs w:val="14"/>
                <w:color w:val="auto"/>
                <w:w w:val="92"/>
              </w:rPr>
              <w:t>(in thousands)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1,672,934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1,672,934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1,596,877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76,057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1,651,138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1,651,138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1,651,138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376,131</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376,131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51,386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324,745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8,796,497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8,690,494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82,450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8,384,106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Loans and leases: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Commercial loans and leases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18,705,216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18,457,288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18,457,288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700"/>
              <w:spacing w:after="0"/>
              <w:rPr>
                <w:sz w:val="20"/>
                <w:szCs w:val="20"/>
                <w:color w:val="auto"/>
              </w:rPr>
            </w:pPr>
            <w:r>
              <w:rPr>
                <w:rFonts w:ascii="Arial" w:cs="Arial" w:eastAsia="Arial" w:hAnsi="Arial"/>
                <w:sz w:val="18"/>
                <w:szCs w:val="18"/>
                <w:color w:val="auto"/>
              </w:rPr>
              <w:t>Commercial real estate loans</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26,148,208</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26,018,195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67,505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25,950,690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real estate loans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8,928,221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8,867,872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5,432,207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3,435,665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700"/>
              <w:spacing w:after="0"/>
              <w:rPr>
                <w:sz w:val="20"/>
                <w:szCs w:val="20"/>
                <w:color w:val="auto"/>
              </w:rPr>
            </w:pPr>
            <w:r>
              <w:rPr>
                <w:rFonts w:ascii="Arial" w:cs="Arial" w:eastAsia="Arial" w:hAnsi="Arial"/>
                <w:sz w:val="18"/>
                <w:szCs w:val="18"/>
                <w:color w:val="auto"/>
              </w:rPr>
              <w:t>Consumer loans</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10,291,514</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10,201,087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10,201,087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(916,676)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1060"/>
              <w:spacing w:after="0"/>
              <w:rPr>
                <w:sz w:val="20"/>
                <w:szCs w:val="20"/>
                <w:color w:val="auto"/>
              </w:rPr>
            </w:pPr>
            <w:r>
              <w:rPr>
                <w:rFonts w:ascii="Arial" w:cs="Arial" w:eastAsia="Arial" w:hAnsi="Arial"/>
                <w:sz w:val="18"/>
                <w:szCs w:val="18"/>
                <w:color w:val="auto"/>
              </w:rPr>
              <w:t>Loans and leases, net</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63,156,483</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63,544,442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5,499,712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58,044,730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222,558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222,558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10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(24,661,007)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(24,661,007)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(24,661,007)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Savings deposits and NOW accounts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(38,611,021)</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(38,611,021)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(38,611,021)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(3,523,838)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(3,542,789)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(3,542,789)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(322,746)</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(322,746)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(322,746)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(260,455)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(260,455)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(260,455)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(5,108,870)</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(5,244,902)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(5,244,902)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(43,419)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Trading account liabilities</w:t>
            </w:r>
          </w:p>
        </w:tc>
        <w:tc>
          <w:tcPr>
            <w:tcW w:w="10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(249,797)</w:t>
            </w: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(249,797)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(249,797)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Commitments to originate real estate loans for 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3,941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3,941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to sell real estate loans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12,360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Other credit-related commitments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(118,886)</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(118,886)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(118,886)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Interest rate swap agreements used for interest rate risk</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management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102,875</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102,875</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The following assumptions, methods and calculations were used in determining the estimated fair value of financial instruments not measured at fair value in the consolidated balance sheet.</w:t>
      </w:r>
    </w:p>
    <w:p>
      <w:pPr>
        <w:spacing w:after="0" w:line="2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Cash and cash equivalents, interest-bearing deposits at banks, deposits at Cayman Islands office, short-term borrowings, accrued interest receivable and accrued interest payable</w:t>
      </w:r>
    </w:p>
    <w:p>
      <w:pPr>
        <w:spacing w:after="0" w:line="62"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Due to the nature of cash and cash equivalents and the near maturity of interest-bearing deposits at banks, deposits at Cayman Islands office, short-term borrowings, accrued interest receivable and accrued interest payable, the Company estimated that the carrying amount of such instruments approximated estimated fair value.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general, discount rates used to calculate values for loan products were based on the Company’s pricing at the respective period end.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17"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Pursuant to GAAP, the estimated fair value ascribed to noninterest-bearing deposits, savings deposits and NOW accounts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described in note 13,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16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jc w:val="both"/>
        <w:ind w:right="40" w:firstLine="456"/>
        <w:spacing w:after="0" w:line="302" w:lineRule="auto"/>
        <w:rPr>
          <w:sz w:val="20"/>
          <w:szCs w:val="20"/>
          <w:color w:val="auto"/>
        </w:rPr>
      </w:pPr>
      <w:r>
        <w:rPr>
          <w:rFonts w:ascii="Arial" w:cs="Arial" w:eastAsia="Arial" w:hAnsi="Arial"/>
          <w:sz w:val="16"/>
          <w:szCs w:val="16"/>
          <w:color w:val="auto"/>
        </w:rPr>
        <w:t>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299"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Arial" w:cs="Arial" w:eastAsia="Arial" w:hAnsi="Arial"/>
                <w:sz w:val="14"/>
                <w:szCs w:val="14"/>
                <w:color w:val="auto"/>
                <w:w w:val="91"/>
              </w:rPr>
              <w:t>September 30,</w:t>
            </w:r>
          </w:p>
        </w:tc>
        <w:tc>
          <w:tcPr>
            <w:tcW w:w="1180" w:type="dxa"/>
            <w:vAlign w:val="bottom"/>
            <w:gridSpan w:val="2"/>
          </w:tcPr>
          <w:p>
            <w:pPr>
              <w:ind w:left="2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480" w:type="dxa"/>
            <w:vAlign w:val="bottom"/>
            <w:gridSpan w:val="2"/>
          </w:tcPr>
          <w:p>
            <w:pPr>
              <w:jc w:val="right"/>
              <w:ind w:right="468"/>
              <w:spacing w:after="0"/>
              <w:rPr>
                <w:sz w:val="20"/>
                <w:szCs w:val="20"/>
                <w:color w:val="auto"/>
              </w:rPr>
            </w:pPr>
            <w:r>
              <w:rPr>
                <w:rFonts w:ascii="Arial" w:cs="Arial" w:eastAsia="Arial" w:hAnsi="Arial"/>
                <w:sz w:val="14"/>
                <w:szCs w:val="14"/>
                <w:color w:val="auto"/>
              </w:rPr>
              <w:t>2014</w:t>
            </w:r>
          </w:p>
        </w:tc>
        <w:tc>
          <w:tcPr>
            <w:tcW w:w="1080" w:type="dxa"/>
            <w:vAlign w:val="bottom"/>
          </w:tcPr>
          <w:p>
            <w:pPr>
              <w:jc w:val="right"/>
              <w:ind w:right="213"/>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0" w:type="dxa"/>
            <w:vAlign w:val="bottom"/>
            <w:tcBorders>
              <w:top w:val="single" w:sz="8" w:color="auto"/>
            </w:tcBorders>
            <w:gridSpan w:val="2"/>
          </w:tcPr>
          <w:p>
            <w:pPr>
              <w:jc w:val="right"/>
              <w:ind w:right="61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Home equity lines of credit</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$ 6,213,108</w:t>
            </w:r>
          </w:p>
        </w:tc>
        <w:tc>
          <w:tcPr>
            <w:tcW w:w="1080" w:type="dxa"/>
            <w:vAlign w:val="bottom"/>
          </w:tcPr>
          <w:p>
            <w:pPr>
              <w:jc w:val="right"/>
              <w:spacing w:after="0"/>
              <w:rPr>
                <w:sz w:val="20"/>
                <w:szCs w:val="20"/>
                <w:color w:val="auto"/>
              </w:rPr>
            </w:pPr>
            <w:r>
              <w:rPr>
                <w:rFonts w:ascii="Arial" w:cs="Arial" w:eastAsia="Arial" w:hAnsi="Arial"/>
                <w:sz w:val="18"/>
                <w:szCs w:val="18"/>
                <w:color w:val="auto"/>
              </w:rPr>
              <w:t>6,218,823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 loans to be sold</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141,446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Other commercial real estate and construction</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5,224,757</w:t>
            </w:r>
          </w:p>
        </w:tc>
        <w:tc>
          <w:tcPr>
            <w:tcW w:w="1080" w:type="dxa"/>
            <w:vAlign w:val="bottom"/>
          </w:tcPr>
          <w:p>
            <w:pPr>
              <w:jc w:val="right"/>
              <w:spacing w:after="0"/>
              <w:rPr>
                <w:sz w:val="20"/>
                <w:szCs w:val="20"/>
                <w:color w:val="auto"/>
              </w:rPr>
            </w:pPr>
            <w:r>
              <w:rPr>
                <w:rFonts w:ascii="Arial" w:cs="Arial" w:eastAsia="Arial" w:hAnsi="Arial"/>
                <w:sz w:val="18"/>
                <w:szCs w:val="18"/>
                <w:color w:val="auto"/>
              </w:rPr>
              <w:t>3,919,545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real estate loans to be sold</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557,326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Other residential real estate</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473,697</w:t>
            </w:r>
          </w:p>
        </w:tc>
        <w:tc>
          <w:tcPr>
            <w:tcW w:w="1080" w:type="dxa"/>
            <w:vAlign w:val="bottom"/>
          </w:tcPr>
          <w:p>
            <w:pPr>
              <w:jc w:val="right"/>
              <w:spacing w:after="0"/>
              <w:rPr>
                <w:sz w:val="20"/>
                <w:szCs w:val="20"/>
                <w:color w:val="auto"/>
              </w:rPr>
            </w:pPr>
            <w:r>
              <w:rPr>
                <w:rFonts w:ascii="Arial" w:cs="Arial" w:eastAsia="Arial" w:hAnsi="Arial"/>
                <w:sz w:val="18"/>
                <w:szCs w:val="18"/>
                <w:color w:val="auto"/>
              </w:rPr>
              <w:t>384,617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other</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11,037,757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10,419,545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020" w:type="dxa"/>
            <w:vAlign w:val="bottom"/>
            <w:gridSpan w:val="2"/>
          </w:tcPr>
          <w:p>
            <w:pPr>
              <w:spacing w:after="0"/>
              <w:rPr>
                <w:sz w:val="20"/>
                <w:szCs w:val="20"/>
                <w:color w:val="auto"/>
              </w:rPr>
            </w:pPr>
            <w:r>
              <w:rPr>
                <w:rFonts w:ascii="Arial" w:cs="Arial" w:eastAsia="Arial" w:hAnsi="Arial"/>
                <w:sz w:val="18"/>
                <w:szCs w:val="18"/>
                <w:color w:val="auto"/>
              </w:rPr>
              <w:t>Standby letters of credit</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3,524,483</w:t>
            </w:r>
          </w:p>
        </w:tc>
        <w:tc>
          <w:tcPr>
            <w:tcW w:w="1080" w:type="dxa"/>
            <w:vAlign w:val="bottom"/>
          </w:tcPr>
          <w:p>
            <w:pPr>
              <w:jc w:val="right"/>
              <w:spacing w:after="0"/>
              <w:rPr>
                <w:sz w:val="20"/>
                <w:szCs w:val="20"/>
                <w:color w:val="auto"/>
              </w:rPr>
            </w:pPr>
            <w:r>
              <w:rPr>
                <w:rFonts w:ascii="Arial" w:cs="Arial" w:eastAsia="Arial" w:hAnsi="Arial"/>
                <w:sz w:val="18"/>
                <w:szCs w:val="18"/>
                <w:color w:val="auto"/>
              </w:rPr>
              <w:t>3,600,528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52,329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020" w:type="dxa"/>
            <w:vAlign w:val="bottom"/>
            <w:gridSpan w:val="2"/>
          </w:tcPr>
          <w:p>
            <w:pPr>
              <w:spacing w:after="0"/>
              <w:rPr>
                <w:sz w:val="20"/>
                <w:szCs w:val="20"/>
                <w:color w:val="auto"/>
              </w:rPr>
            </w:pPr>
            <w:r>
              <w:rPr>
                <w:rFonts w:ascii="Arial" w:cs="Arial" w:eastAsia="Arial" w:hAnsi="Arial"/>
                <w:sz w:val="18"/>
                <w:szCs w:val="18"/>
                <w:color w:val="auto"/>
              </w:rPr>
              <w:t>Financial guarantees and indemnification contracts</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2,518,989</w:t>
            </w:r>
          </w:p>
        </w:tc>
        <w:tc>
          <w:tcPr>
            <w:tcW w:w="1080" w:type="dxa"/>
            <w:vAlign w:val="bottom"/>
          </w:tcPr>
          <w:p>
            <w:pPr>
              <w:jc w:val="right"/>
              <w:spacing w:after="0"/>
              <w:rPr>
                <w:sz w:val="20"/>
                <w:szCs w:val="20"/>
                <w:color w:val="auto"/>
              </w:rPr>
            </w:pPr>
            <w:r>
              <w:rPr>
                <w:rFonts w:ascii="Arial" w:cs="Arial" w:eastAsia="Arial" w:hAnsi="Arial"/>
                <w:sz w:val="18"/>
                <w:szCs w:val="18"/>
                <w:color w:val="auto"/>
              </w:rPr>
              <w:t>2,457,633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1,127,641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320"/>
          </w:cols>
          <w:pgMar w:left="24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16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$2.3 billion at each of September 30, 2014 and December 31, 2013.</w:t>
      </w:r>
    </w:p>
    <w:p>
      <w:pPr>
        <w:spacing w:after="0" w:line="15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70"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18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Company has commitments under long-term operating leases and an agreement with the Baltimore Ravens of the National Football League whereby the Company obtained the naming rights to a football stadium in Baltimore, Maryland through 2027.</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Company reinsures credit life and accident and health insurance purchased by consumer loan customers. The Company also enters into reinsurance contracts with third party insurance companies who insure against the risk of a mortgage borrower’s payment default in connection with certain mortgage loans originated by the Company. When providing reinsurance coverage, the Company receives a premium in exchange for accepting a portion of the insurer’s risk of loss. The outstanding loan principal balances reinsured by the Company were approximately $12 million at September 30, 2014. Management believes that any reinsurance losses that may be payable by the Company will not be material to the Company’s consolidated financial position.</w:t>
      </w:r>
    </w:p>
    <w:p>
      <w:pPr>
        <w:spacing w:after="0" w:line="158"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September 30, 2014, management believes that any further liability arising out of the Company’s obligation to loan purchasers is not material to the Company’s consolidated financial position.</w:t>
      </w:r>
    </w:p>
    <w:p>
      <w:pPr>
        <w:spacing w:after="0" w:line="17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M&amp;T and its subsidiaries are subject in the normal course of business to various pending and threatened legal proceedings in which claims for monetary damages are asserted. On an on-going basis management, after consultation with legal counsel, assesses the Company’s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162"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326"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18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financial information of the Company’s segments was compiled utilizing the accounting policies described in note 22 to the Company’s consolidated financial statements as of and for the year ended December 31, 2013.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As also described in note 22 to the Company’s 2013 consolidated financial statements,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 does, however, assign such intangible assets to business units for purposes of testing for impairment.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about the Company’s segments is presented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color w:val="auto"/>
              </w:rPr>
              <w:t>Three months ended September 30</w:t>
            </w: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2014</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2013</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jc w:val="right"/>
              <w:ind w:right="380"/>
              <w:spacing w:after="0" w:line="123" w:lineRule="exact"/>
              <w:rPr>
                <w:sz w:val="20"/>
                <w:szCs w:val="20"/>
                <w:color w:val="auto"/>
              </w:rPr>
            </w:pPr>
            <w:r>
              <w:rPr>
                <w:rFonts w:ascii="Arial" w:cs="Arial" w:eastAsia="Arial" w:hAnsi="Arial"/>
                <w:sz w:val="14"/>
                <w:szCs w:val="14"/>
                <w:color w:val="auto"/>
              </w:rPr>
              <w:t>Inter-</w:t>
            </w:r>
          </w:p>
        </w:tc>
        <w:tc>
          <w:tcPr>
            <w:tcW w:w="64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7"/>
              </w:rPr>
              <w:t>Inter-</w:t>
            </w:r>
          </w:p>
        </w:tc>
        <w:tc>
          <w:tcPr>
            <w:tcW w:w="660" w:type="dxa"/>
            <w:vAlign w:val="bottom"/>
          </w:tcPr>
          <w:p>
            <w:pPr>
              <w:jc w:val="center"/>
              <w:spacing w:after="0" w:line="123" w:lineRule="exact"/>
              <w:rPr>
                <w:sz w:val="20"/>
                <w:szCs w:val="20"/>
                <w:color w:val="auto"/>
              </w:rPr>
            </w:pPr>
            <w:r>
              <w:rPr>
                <w:rFonts w:ascii="Arial" w:cs="Arial" w:eastAsia="Arial" w:hAnsi="Arial"/>
                <w:sz w:val="14"/>
                <w:szCs w:val="14"/>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Total</w:t>
            </w:r>
          </w:p>
        </w:tc>
        <w:tc>
          <w:tcPr>
            <w:tcW w:w="8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segment</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income</w:t>
            </w: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Total</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segment</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income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color w:val="auto"/>
                <w:w w:val="90"/>
              </w:rPr>
              <w:t>revenues(a)</w:t>
            </w:r>
          </w:p>
        </w:tc>
        <w:tc>
          <w:tcPr>
            <w:tcW w:w="840" w:type="dxa"/>
            <w:vAlign w:val="bottom"/>
            <w:gridSpan w:val="2"/>
          </w:tcPr>
          <w:p>
            <w:pPr>
              <w:ind w:left="60"/>
              <w:spacing w:after="0"/>
              <w:rPr>
                <w:sz w:val="20"/>
                <w:szCs w:val="20"/>
                <w:color w:val="auto"/>
              </w:rPr>
            </w:pPr>
            <w:r>
              <w:rPr>
                <w:rFonts w:ascii="Arial" w:cs="Arial" w:eastAsia="Arial" w:hAnsi="Arial"/>
                <w:sz w:val="14"/>
                <w:szCs w:val="14"/>
                <w:color w:val="auto"/>
              </w:rPr>
              <w:t>revenues</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(loss)</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w w:val="93"/>
              </w:rPr>
              <w:t>revenues(a)</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revenues</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(loss)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gridSpan w:val="4"/>
          </w:tcPr>
          <w:p>
            <w:pPr>
              <w:jc w:val="right"/>
              <w:ind w:right="700"/>
              <w:spacing w:after="0"/>
              <w:rPr>
                <w:sz w:val="20"/>
                <w:szCs w:val="20"/>
                <w:color w:val="auto"/>
              </w:rPr>
            </w:pPr>
            <w:r>
              <w:rPr>
                <w:rFonts w:ascii="Arial" w:cs="Arial" w:eastAsia="Arial" w:hAnsi="Arial"/>
                <w:sz w:val="14"/>
                <w:szCs w:val="14"/>
                <w:color w:val="auto"/>
              </w:rPr>
              <w:t>(in thousands)</w:t>
            </w:r>
          </w:p>
        </w:tc>
        <w:tc>
          <w:tcPr>
            <w:tcW w:w="6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3840" w:type="dxa"/>
            <w:vAlign w:val="bottom"/>
          </w:tcPr>
          <w:p>
            <w:pPr>
              <w:spacing w:after="0"/>
              <w:rPr>
                <w:sz w:val="6"/>
                <w:szCs w:val="6"/>
                <w:color w:val="auto"/>
              </w:rPr>
            </w:pPr>
          </w:p>
        </w:tc>
        <w:tc>
          <w:tcPr>
            <w:tcW w:w="22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107,410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30,905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107,887</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26,552</w:t>
            </w:r>
          </w:p>
        </w:tc>
        <w:tc>
          <w:tcPr>
            <w:tcW w:w="0" w:type="dxa"/>
            <w:vAlign w:val="bottom"/>
          </w:tcPr>
          <w:p>
            <w:pPr>
              <w:spacing w:after="0"/>
              <w:rPr>
                <w:sz w:val="1"/>
                <w:szCs w:val="1"/>
                <w:color w:val="auto"/>
              </w:rPr>
            </w:pPr>
          </w:p>
        </w:tc>
      </w:tr>
      <w:tr>
        <w:trPr>
          <w:trHeight w:val="324"/>
        </w:trPr>
        <w:tc>
          <w:tcPr>
            <w:tcW w:w="386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249,124</w:t>
            </w:r>
          </w:p>
        </w:tc>
        <w:tc>
          <w:tcPr>
            <w:tcW w:w="2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1,281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101,740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257,317</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1,383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97,221</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167,383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78,581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171,094</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79,450</w:t>
            </w:r>
          </w:p>
        </w:tc>
        <w:tc>
          <w:tcPr>
            <w:tcW w:w="0" w:type="dxa"/>
            <w:vAlign w:val="bottom"/>
          </w:tcPr>
          <w:p>
            <w:pPr>
              <w:spacing w:after="0"/>
              <w:rPr>
                <w:sz w:val="1"/>
                <w:szCs w:val="1"/>
                <w:color w:val="auto"/>
              </w:rPr>
            </w:pPr>
          </w:p>
        </w:tc>
      </w:tr>
      <w:tr>
        <w:trPr>
          <w:trHeight w:val="324"/>
        </w:trPr>
        <w:tc>
          <w:tcPr>
            <w:tcW w:w="386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17,881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(5,478)</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8,279</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44,040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(19,584)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25,182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110,237</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12,875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25,021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92,505</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15,241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12,731</w:t>
            </w:r>
          </w:p>
        </w:tc>
        <w:tc>
          <w:tcPr>
            <w:tcW w:w="0" w:type="dxa"/>
            <w:vAlign w:val="bottom"/>
          </w:tcPr>
          <w:p>
            <w:pPr>
              <w:spacing w:after="0"/>
              <w:rPr>
                <w:sz w:val="1"/>
                <w:szCs w:val="1"/>
                <w:color w:val="auto"/>
              </w:rPr>
            </w:pPr>
          </w:p>
        </w:tc>
      </w:tr>
      <w:tr>
        <w:trPr>
          <w:trHeight w:val="324"/>
        </w:trPr>
        <w:tc>
          <w:tcPr>
            <w:tcW w:w="386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274,117</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3,735</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32,901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314,273</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3,351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53,965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194,018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(13,937)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163,380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
        </w:trPr>
        <w:tc>
          <w:tcPr>
            <w:tcW w:w="386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1,120,170</w:t>
            </w:r>
          </w:p>
        </w:tc>
        <w:tc>
          <w:tcPr>
            <w:tcW w:w="20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275,344</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1,150,496</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294,479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60" w:type="dxa"/>
            <w:vAlign w:val="bottom"/>
            <w:vMerge w:val="restart"/>
          </w:tcPr>
          <w:p>
            <w:pPr>
              <w:jc w:val="right"/>
              <w:ind w:right="130"/>
              <w:spacing w:after="0"/>
              <w:rPr>
                <w:sz w:val="20"/>
                <w:szCs w:val="20"/>
                <w:color w:val="auto"/>
              </w:rPr>
            </w:pPr>
            <w:r>
              <w:rPr>
                <w:rFonts w:ascii="Arial" w:cs="Arial" w:eastAsia="Arial" w:hAnsi="Arial"/>
                <w:sz w:val="18"/>
                <w:szCs w:val="18"/>
                <w:color w:val="auto"/>
              </w:rPr>
              <w:t>- 52 -</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Segment information, 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11"/>
          </w:tcPr>
          <w:p>
            <w:pPr>
              <w:jc w:val="center"/>
              <w:ind w:right="740"/>
              <w:spacing w:after="0"/>
              <w:rPr>
                <w:sz w:val="20"/>
                <w:szCs w:val="20"/>
                <w:color w:val="auto"/>
              </w:rPr>
            </w:pPr>
            <w:r>
              <w:rPr>
                <w:rFonts w:ascii="Arial" w:cs="Arial" w:eastAsia="Arial" w:hAnsi="Arial"/>
                <w:sz w:val="14"/>
                <w:szCs w:val="14"/>
                <w:color w:val="auto"/>
                <w:w w:val="90"/>
              </w:rPr>
              <w:t>Nine months ended September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4"/>
          </w:tcPr>
          <w:p>
            <w:pPr>
              <w:jc w:val="right"/>
              <w:ind w:right="175"/>
              <w:spacing w:after="0" w:line="142" w:lineRule="exact"/>
              <w:rPr>
                <w:sz w:val="20"/>
                <w:szCs w:val="20"/>
                <w:color w:val="auto"/>
              </w:rPr>
            </w:pPr>
            <w:r>
              <w:rPr>
                <w:rFonts w:ascii="Arial" w:cs="Arial" w:eastAsia="Arial" w:hAnsi="Arial"/>
                <w:sz w:val="14"/>
                <w:szCs w:val="14"/>
                <w:color w:val="auto"/>
              </w:rPr>
              <w:t>2014</w:t>
            </w: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44"/>
              <w:spacing w:after="0" w:line="142" w:lineRule="exact"/>
              <w:rPr>
                <w:sz w:val="20"/>
                <w:szCs w:val="20"/>
                <w:color w:val="auto"/>
              </w:rPr>
            </w:pPr>
            <w:r>
              <w:rPr>
                <w:rFonts w:ascii="Arial" w:cs="Arial" w:eastAsia="Arial" w:hAnsi="Arial"/>
                <w:sz w:val="14"/>
                <w:szCs w:val="14"/>
                <w:color w:val="auto"/>
              </w:rPr>
              <w:t>2013</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5"/>
          </w:tcPr>
          <w:p>
            <w:pPr>
              <w:jc w:val="center"/>
              <w:ind w:right="208"/>
              <w:spacing w:after="0" w:line="123" w:lineRule="exact"/>
              <w:rPr>
                <w:sz w:val="20"/>
                <w:szCs w:val="20"/>
                <w:color w:val="auto"/>
              </w:rPr>
            </w:pPr>
            <w:r>
              <w:rPr>
                <w:rFonts w:ascii="Arial" w:cs="Arial" w:eastAsia="Arial" w:hAnsi="Arial"/>
                <w:sz w:val="14"/>
                <w:szCs w:val="14"/>
                <w:color w:val="auto"/>
                <w:w w:val="97"/>
              </w:rPr>
              <w:t>Inter-</w:t>
            </w:r>
          </w:p>
        </w:tc>
        <w:tc>
          <w:tcPr>
            <w:tcW w:w="60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center"/>
              <w:ind w:right="220"/>
              <w:spacing w:after="0" w:line="123" w:lineRule="exact"/>
              <w:rPr>
                <w:sz w:val="20"/>
                <w:szCs w:val="20"/>
                <w:color w:val="auto"/>
              </w:rPr>
            </w:pPr>
            <w:r>
              <w:rPr>
                <w:rFonts w:ascii="Arial" w:cs="Arial" w:eastAsia="Arial" w:hAnsi="Arial"/>
                <w:sz w:val="14"/>
                <w:szCs w:val="14"/>
                <w:color w:val="auto"/>
                <w:w w:val="91"/>
              </w:rPr>
              <w:t>Inter-</w:t>
            </w:r>
          </w:p>
        </w:tc>
        <w:tc>
          <w:tcPr>
            <w:tcW w:w="64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Total</w:t>
            </w:r>
          </w:p>
        </w:tc>
        <w:tc>
          <w:tcPr>
            <w:tcW w:w="880" w:type="dxa"/>
            <w:vAlign w:val="bottom"/>
            <w:gridSpan w:val="5"/>
          </w:tcPr>
          <w:p>
            <w:pPr>
              <w:jc w:val="center"/>
              <w:ind w:right="208"/>
              <w:spacing w:after="0" w:line="149" w:lineRule="exact"/>
              <w:rPr>
                <w:sz w:val="20"/>
                <w:szCs w:val="20"/>
                <w:color w:val="auto"/>
              </w:rPr>
            </w:pPr>
            <w:r>
              <w:rPr>
                <w:rFonts w:ascii="Arial" w:cs="Arial" w:eastAsia="Arial" w:hAnsi="Arial"/>
                <w:sz w:val="14"/>
                <w:szCs w:val="14"/>
                <w:color w:val="auto"/>
                <w:w w:val="89"/>
              </w:rPr>
              <w:t>segment</w:t>
            </w:r>
          </w:p>
        </w:tc>
        <w:tc>
          <w:tcPr>
            <w:tcW w:w="8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2"/>
              </w:rPr>
              <w:t>income</w:t>
            </w:r>
          </w:p>
        </w:tc>
        <w:tc>
          <w:tcPr>
            <w:tcW w:w="240" w:type="dxa"/>
            <w:vAlign w:val="bottom"/>
          </w:tcPr>
          <w:p>
            <w:pPr>
              <w:spacing w:after="0"/>
              <w:rPr>
                <w:sz w:val="12"/>
                <w:szCs w:val="12"/>
                <w:color w:val="auto"/>
              </w:rPr>
            </w:pPr>
          </w:p>
        </w:tc>
        <w:tc>
          <w:tcPr>
            <w:tcW w:w="560" w:type="dxa"/>
            <w:vAlign w:val="bottom"/>
            <w:gridSpan w:val="2"/>
          </w:tcPr>
          <w:p>
            <w:pPr>
              <w:jc w:val="center"/>
              <w:ind w:right="188"/>
              <w:spacing w:after="0" w:line="149" w:lineRule="exact"/>
              <w:rPr>
                <w:sz w:val="20"/>
                <w:szCs w:val="20"/>
                <w:color w:val="auto"/>
              </w:rPr>
            </w:pPr>
            <w:r>
              <w:rPr>
                <w:rFonts w:ascii="Arial" w:cs="Arial" w:eastAsia="Arial" w:hAnsi="Arial"/>
                <w:sz w:val="14"/>
                <w:szCs w:val="14"/>
                <w:color w:val="auto"/>
                <w:w w:val="96"/>
              </w:rPr>
              <w:t>Total</w:t>
            </w:r>
          </w:p>
        </w:tc>
        <w:tc>
          <w:tcPr>
            <w:tcW w:w="1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segment</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income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4"/>
                <w:szCs w:val="14"/>
                <w:color w:val="auto"/>
                <w:w w:val="99"/>
              </w:rPr>
              <w:t>revenues(a)</w:t>
            </w:r>
          </w:p>
        </w:tc>
        <w:tc>
          <w:tcPr>
            <w:tcW w:w="880" w:type="dxa"/>
            <w:vAlign w:val="bottom"/>
            <w:gridSpan w:val="5"/>
          </w:tcPr>
          <w:p>
            <w:pPr>
              <w:jc w:val="center"/>
              <w:ind w:right="208"/>
              <w:spacing w:after="0"/>
              <w:rPr>
                <w:sz w:val="20"/>
                <w:szCs w:val="20"/>
                <w:color w:val="auto"/>
              </w:rPr>
            </w:pPr>
            <w:r>
              <w:rPr>
                <w:rFonts w:ascii="Arial" w:cs="Arial" w:eastAsia="Arial" w:hAnsi="Arial"/>
                <w:sz w:val="14"/>
                <w:szCs w:val="14"/>
                <w:color w:val="auto"/>
                <w:w w:val="90"/>
              </w:rPr>
              <w:t>revenues</w:t>
            </w:r>
          </w:p>
        </w:tc>
        <w:tc>
          <w:tcPr>
            <w:tcW w:w="820" w:type="dxa"/>
            <w:vAlign w:val="bottom"/>
            <w:gridSpan w:val="3"/>
          </w:tcPr>
          <w:p>
            <w:pPr>
              <w:jc w:val="center"/>
              <w:ind w:right="260"/>
              <w:spacing w:after="0"/>
              <w:rPr>
                <w:sz w:val="20"/>
                <w:szCs w:val="20"/>
                <w:color w:val="auto"/>
              </w:rPr>
            </w:pPr>
            <w:r>
              <w:rPr>
                <w:rFonts w:ascii="Arial" w:cs="Arial" w:eastAsia="Arial" w:hAnsi="Arial"/>
                <w:sz w:val="14"/>
                <w:szCs w:val="14"/>
                <w:color w:val="auto"/>
                <w:w w:val="93"/>
              </w:rPr>
              <w:t>(loss)</w:t>
            </w:r>
          </w:p>
        </w:tc>
        <w:tc>
          <w:tcPr>
            <w:tcW w:w="800" w:type="dxa"/>
            <w:vAlign w:val="bottom"/>
            <w:gridSpan w:val="3"/>
          </w:tcPr>
          <w:p>
            <w:pPr>
              <w:jc w:val="center"/>
              <w:spacing w:after="0"/>
              <w:rPr>
                <w:sz w:val="20"/>
                <w:szCs w:val="20"/>
                <w:color w:val="auto"/>
              </w:rPr>
            </w:pPr>
            <w:r>
              <w:rPr>
                <w:rFonts w:ascii="Arial" w:cs="Arial" w:eastAsia="Arial" w:hAnsi="Arial"/>
                <w:sz w:val="14"/>
                <w:szCs w:val="14"/>
                <w:color w:val="auto"/>
                <w:w w:val="88"/>
              </w:rPr>
              <w:t>revenues(a)</w:t>
            </w:r>
          </w:p>
        </w:tc>
        <w:tc>
          <w:tcPr>
            <w:tcW w:w="1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revenues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(loss)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6"/>
          </w:tcPr>
          <w:p>
            <w:pPr>
              <w:jc w:val="center"/>
              <w:ind w:right="168"/>
              <w:spacing w:after="0"/>
              <w:rPr>
                <w:sz w:val="20"/>
                <w:szCs w:val="20"/>
                <w:color w:val="auto"/>
              </w:rPr>
            </w:pPr>
            <w:r>
              <w:rPr>
                <w:rFonts w:ascii="Arial" w:cs="Arial" w:eastAsia="Arial" w:hAnsi="Arial"/>
                <w:sz w:val="14"/>
                <w:szCs w:val="14"/>
                <w:color w:val="auto"/>
                <w:w w:val="92"/>
              </w:rPr>
              <w:t>(in thousands)</w:t>
            </w: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900" w:type="dxa"/>
            <w:vAlign w:val="bottom"/>
          </w:tcPr>
          <w:p>
            <w:pPr>
              <w:spacing w:after="0"/>
              <w:rPr>
                <w:sz w:val="6"/>
                <w:szCs w:val="6"/>
                <w:color w:val="auto"/>
              </w:rPr>
            </w:pPr>
          </w:p>
        </w:tc>
        <w:tc>
          <w:tcPr>
            <w:tcW w:w="5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gridSpan w:val="2"/>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314,397</w:t>
            </w:r>
          </w:p>
        </w:tc>
        <w:tc>
          <w:tcPr>
            <w:tcW w:w="880" w:type="dxa"/>
            <w:vAlign w:val="bottom"/>
            <w:tcBorders>
              <w:right w:val="single" w:sz="8" w:color="CCEEFF"/>
            </w:tcBorders>
            <w:gridSpan w:val="5"/>
            <w:shd w:val="clear" w:color="auto" w:fill="CCEEFF"/>
          </w:tcPr>
          <w:p>
            <w:pPr>
              <w:jc w:val="right"/>
              <w:ind w:right="188"/>
              <w:spacing w:after="0"/>
              <w:rPr>
                <w:sz w:val="20"/>
                <w:szCs w:val="20"/>
                <w:color w:val="auto"/>
              </w:rPr>
            </w:pPr>
            <w:r>
              <w:rPr>
                <w:rFonts w:ascii="Arial" w:cs="Arial" w:eastAsia="Arial" w:hAnsi="Arial"/>
                <w:sz w:val="18"/>
                <w:szCs w:val="18"/>
                <w:color w:val="auto"/>
              </w:rPr>
              <w:t>3,359</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87,263</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319,791</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22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89,675</w:t>
            </w:r>
          </w:p>
        </w:tc>
        <w:tc>
          <w:tcPr>
            <w:tcW w:w="0" w:type="dxa"/>
            <w:vAlign w:val="bottom"/>
          </w:tcPr>
          <w:p>
            <w:pPr>
              <w:spacing w:after="0"/>
              <w:rPr>
                <w:sz w:val="1"/>
                <w:szCs w:val="1"/>
                <w:color w:val="auto"/>
              </w:rPr>
            </w:pPr>
          </w:p>
        </w:tc>
      </w:tr>
      <w:tr>
        <w:trPr>
          <w:trHeight w:val="324"/>
        </w:trPr>
        <w:tc>
          <w:tcPr>
            <w:tcW w:w="6120" w:type="dxa"/>
            <w:vAlign w:val="bottom"/>
            <w:gridSpan w:val="3"/>
          </w:tcPr>
          <w:p>
            <w:pPr>
              <w:spacing w:after="0"/>
              <w:rPr>
                <w:sz w:val="20"/>
                <w:szCs w:val="20"/>
                <w:color w:val="auto"/>
              </w:rPr>
            </w:pPr>
            <w:r>
              <w:rPr>
                <w:rFonts w:ascii="Arial" w:cs="Arial" w:eastAsia="Arial" w:hAnsi="Arial"/>
                <w:sz w:val="18"/>
                <w:szCs w:val="18"/>
                <w:color w:val="auto"/>
              </w:rPr>
              <w:t>Commercial Banking</w:t>
            </w: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750,206</w:t>
            </w:r>
          </w:p>
        </w:tc>
        <w:tc>
          <w:tcPr>
            <w:tcW w:w="880" w:type="dxa"/>
            <w:vAlign w:val="bottom"/>
            <w:gridSpan w:val="5"/>
          </w:tcPr>
          <w:p>
            <w:pPr>
              <w:jc w:val="right"/>
              <w:ind w:right="188"/>
              <w:spacing w:after="0"/>
              <w:rPr>
                <w:sz w:val="20"/>
                <w:szCs w:val="20"/>
                <w:color w:val="auto"/>
              </w:rPr>
            </w:pPr>
            <w:r>
              <w:rPr>
                <w:rFonts w:ascii="Arial" w:cs="Arial" w:eastAsia="Arial" w:hAnsi="Arial"/>
                <w:sz w:val="18"/>
                <w:szCs w:val="18"/>
                <w:color w:val="auto"/>
              </w:rPr>
              <w:t>3,834</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w w:val="89"/>
              </w:rPr>
              <w:t>306,863</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760,074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4,048</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291,828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490,655</w:t>
            </w:r>
          </w:p>
        </w:tc>
        <w:tc>
          <w:tcPr>
            <w:tcW w:w="880" w:type="dxa"/>
            <w:vAlign w:val="bottom"/>
            <w:tcBorders>
              <w:right w:val="single" w:sz="8" w:color="CCEEFF"/>
            </w:tcBorders>
            <w:gridSpan w:val="5"/>
            <w:shd w:val="clear" w:color="auto" w:fill="CCEEFF"/>
          </w:tcPr>
          <w:p>
            <w:pPr>
              <w:jc w:val="right"/>
              <w:ind w:right="188"/>
              <w:spacing w:after="0"/>
              <w:rPr>
                <w:sz w:val="20"/>
                <w:szCs w:val="20"/>
                <w:color w:val="auto"/>
              </w:rPr>
            </w:pPr>
            <w:r>
              <w:rPr>
                <w:rFonts w:ascii="Arial" w:cs="Arial" w:eastAsia="Arial" w:hAnsi="Arial"/>
                <w:sz w:val="18"/>
                <w:szCs w:val="18"/>
                <w:color w:val="auto"/>
              </w:rPr>
              <w:t>1,315</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230,668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524,160</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22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245,826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120" w:type="dxa"/>
            <w:vAlign w:val="bottom"/>
            <w:gridSpan w:val="3"/>
          </w:tcPr>
          <w:p>
            <w:pPr>
              <w:spacing w:after="0"/>
              <w:rPr>
                <w:sz w:val="20"/>
                <w:szCs w:val="20"/>
                <w:color w:val="auto"/>
              </w:rPr>
            </w:pPr>
            <w:r>
              <w:rPr>
                <w:rFonts w:ascii="Arial" w:cs="Arial" w:eastAsia="Arial" w:hAnsi="Arial"/>
                <w:sz w:val="18"/>
                <w:szCs w:val="18"/>
                <w:color w:val="auto"/>
              </w:rPr>
              <w:t>Discretionary Portfolio</w:t>
            </w: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72,450</w:t>
            </w:r>
          </w:p>
        </w:tc>
        <w:tc>
          <w:tcPr>
            <w:tcW w:w="880" w:type="dxa"/>
            <w:vAlign w:val="bottom"/>
            <w:gridSpan w:val="5"/>
          </w:tcPr>
          <w:p>
            <w:pPr>
              <w:jc w:val="right"/>
              <w:ind w:right="128"/>
              <w:spacing w:after="0"/>
              <w:rPr>
                <w:sz w:val="20"/>
                <w:szCs w:val="20"/>
                <w:color w:val="auto"/>
              </w:rPr>
            </w:pPr>
            <w:r>
              <w:rPr>
                <w:rFonts w:ascii="Arial" w:cs="Arial" w:eastAsia="Arial" w:hAnsi="Arial"/>
                <w:sz w:val="18"/>
                <w:szCs w:val="18"/>
                <w:color w:val="auto"/>
                <w:w w:val="98"/>
              </w:rPr>
              <w:t>(15,799)</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34,538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41,972</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(38,200)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18,992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315,576</w:t>
            </w:r>
          </w:p>
        </w:tc>
        <w:tc>
          <w:tcPr>
            <w:tcW w:w="880" w:type="dxa"/>
            <w:vAlign w:val="bottom"/>
            <w:tcBorders>
              <w:right w:val="single" w:sz="8" w:color="CCEEFF"/>
            </w:tcBorders>
            <w:gridSpan w:val="5"/>
            <w:shd w:val="clear" w:color="auto" w:fill="CCEEFF"/>
          </w:tcPr>
          <w:p>
            <w:pPr>
              <w:jc w:val="right"/>
              <w:ind w:right="188"/>
              <w:spacing w:after="0"/>
              <w:rPr>
                <w:sz w:val="20"/>
                <w:szCs w:val="20"/>
                <w:color w:val="auto"/>
              </w:rPr>
            </w:pPr>
            <w:r>
              <w:rPr>
                <w:rFonts w:ascii="Arial" w:cs="Arial" w:eastAsia="Arial" w:hAnsi="Arial"/>
                <w:sz w:val="18"/>
                <w:szCs w:val="18"/>
                <w:color w:val="auto"/>
              </w:rPr>
              <w:t>34,395</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72,144</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324,168</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55,528</w:t>
            </w:r>
          </w:p>
        </w:tc>
        <w:tc>
          <w:tcPr>
            <w:tcW w:w="22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81,235</w:t>
            </w:r>
          </w:p>
        </w:tc>
        <w:tc>
          <w:tcPr>
            <w:tcW w:w="0" w:type="dxa"/>
            <w:vAlign w:val="bottom"/>
          </w:tcPr>
          <w:p>
            <w:pPr>
              <w:spacing w:after="0"/>
              <w:rPr>
                <w:sz w:val="1"/>
                <w:szCs w:val="1"/>
                <w:color w:val="auto"/>
              </w:rPr>
            </w:pPr>
          </w:p>
        </w:tc>
      </w:tr>
      <w:tr>
        <w:trPr>
          <w:trHeight w:val="324"/>
        </w:trPr>
        <w:tc>
          <w:tcPr>
            <w:tcW w:w="6120" w:type="dxa"/>
            <w:vAlign w:val="bottom"/>
            <w:gridSpan w:val="3"/>
          </w:tcPr>
          <w:p>
            <w:pPr>
              <w:spacing w:after="0"/>
              <w:rPr>
                <w:sz w:val="20"/>
                <w:szCs w:val="20"/>
                <w:color w:val="auto"/>
              </w:rPr>
            </w:pPr>
            <w:r>
              <w:rPr>
                <w:rFonts w:ascii="Arial" w:cs="Arial" w:eastAsia="Arial" w:hAnsi="Arial"/>
                <w:sz w:val="18"/>
                <w:szCs w:val="18"/>
                <w:color w:val="auto"/>
              </w:rPr>
              <w:t>Retail Banking</w:t>
            </w: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804,499</w:t>
            </w:r>
          </w:p>
        </w:tc>
        <w:tc>
          <w:tcPr>
            <w:tcW w:w="880" w:type="dxa"/>
            <w:vAlign w:val="bottom"/>
            <w:gridSpan w:val="5"/>
          </w:tcPr>
          <w:p>
            <w:pPr>
              <w:jc w:val="right"/>
              <w:ind w:right="188"/>
              <w:spacing w:after="0"/>
              <w:rPr>
                <w:sz w:val="20"/>
                <w:szCs w:val="20"/>
                <w:color w:val="auto"/>
              </w:rPr>
            </w:pPr>
            <w:r>
              <w:rPr>
                <w:rFonts w:ascii="Arial" w:cs="Arial" w:eastAsia="Arial" w:hAnsi="Arial"/>
                <w:sz w:val="18"/>
                <w:szCs w:val="18"/>
                <w:color w:val="auto"/>
              </w:rPr>
              <w:t>11,137</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94,646</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898,295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10,206</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157,815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574,453</w:t>
            </w:r>
          </w:p>
        </w:tc>
        <w:tc>
          <w:tcPr>
            <w:tcW w:w="880" w:type="dxa"/>
            <w:vAlign w:val="bottom"/>
            <w:tcBorders>
              <w:right w:val="single" w:sz="8" w:color="CCEEFF"/>
            </w:tcBorders>
            <w:gridSpan w:val="5"/>
            <w:shd w:val="clear" w:color="auto" w:fill="CCEEFF"/>
          </w:tcPr>
          <w:p>
            <w:pPr>
              <w:jc w:val="right"/>
              <w:ind w:right="128"/>
              <w:spacing w:after="0"/>
              <w:rPr>
                <w:sz w:val="20"/>
                <w:szCs w:val="20"/>
                <w:color w:val="auto"/>
              </w:rPr>
            </w:pPr>
            <w:r>
              <w:rPr>
                <w:rFonts w:ascii="Arial" w:cs="Arial" w:eastAsia="Arial" w:hAnsi="Arial"/>
                <w:sz w:val="18"/>
                <w:szCs w:val="18"/>
                <w:color w:val="auto"/>
                <w:w w:val="98"/>
              </w:rPr>
              <w:t>(38,241)</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(37,425)</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557,244</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(37,837)</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31,687</w:t>
            </w: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1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3,322,236</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3"/>
          </w:tcPr>
          <w:p>
            <w:pPr>
              <w:jc w:val="right"/>
              <w:ind w:right="288"/>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w w:val="89"/>
              </w:rPr>
              <w:t>788,697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3,425,704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917,058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jc w:val="center"/>
              <w:ind w:left="35"/>
              <w:spacing w:after="0"/>
              <w:rPr>
                <w:sz w:val="20"/>
                <w:szCs w:val="20"/>
                <w:color w:val="auto"/>
              </w:rPr>
            </w:pPr>
            <w:r>
              <w:rPr>
                <w:rFonts w:ascii="Arial" w:cs="Arial" w:eastAsia="Arial" w:hAnsi="Arial"/>
                <w:sz w:val="14"/>
                <w:szCs w:val="14"/>
                <w:color w:val="auto"/>
                <w:w w:val="89"/>
              </w:rPr>
              <w:t>Average total assets</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5"/>
          </w:tcPr>
          <w:p>
            <w:pPr>
              <w:jc w:val="right"/>
              <w:ind w:right="40"/>
              <w:spacing w:after="0" w:line="123" w:lineRule="exact"/>
              <w:rPr>
                <w:sz w:val="20"/>
                <w:szCs w:val="20"/>
                <w:color w:val="auto"/>
              </w:rPr>
            </w:pPr>
            <w:r>
              <w:rPr>
                <w:rFonts w:ascii="Arial" w:cs="Arial" w:eastAsia="Arial" w:hAnsi="Arial"/>
                <w:sz w:val="14"/>
                <w:szCs w:val="14"/>
                <w:color w:val="auto"/>
              </w:rPr>
              <w:t>Nine months ended</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jc w:val="center"/>
              <w:ind w:right="4"/>
              <w:spacing w:after="0" w:line="123" w:lineRule="exact"/>
              <w:rPr>
                <w:sz w:val="20"/>
                <w:szCs w:val="20"/>
                <w:color w:val="auto"/>
              </w:rPr>
            </w:pPr>
            <w:r>
              <w:rPr>
                <w:rFonts w:ascii="Arial" w:cs="Arial" w:eastAsia="Arial" w:hAnsi="Arial"/>
                <w:sz w:val="14"/>
                <w:szCs w:val="14"/>
                <w:color w:val="auto"/>
                <w:w w:val="88"/>
              </w:rPr>
              <w:t>Year ended</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4"/>
                <w:szCs w:val="14"/>
                <w:color w:val="auto"/>
                <w:w w:val="97"/>
              </w:rPr>
              <w:t>September 30</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4"/>
          </w:tcPr>
          <w:p>
            <w:pPr>
              <w:jc w:val="center"/>
              <w:ind w:right="280"/>
              <w:spacing w:after="0"/>
              <w:rPr>
                <w:sz w:val="20"/>
                <w:szCs w:val="20"/>
                <w:color w:val="auto"/>
              </w:rPr>
            </w:pPr>
            <w:r>
              <w:rPr>
                <w:rFonts w:ascii="Arial" w:cs="Arial" w:eastAsia="Arial" w:hAnsi="Arial"/>
                <w:sz w:val="14"/>
                <w:szCs w:val="14"/>
                <w:color w:val="auto"/>
                <w:w w:val="90"/>
              </w:rPr>
              <w:t>December 31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2014</w:t>
            </w:r>
          </w:p>
        </w:tc>
        <w:tc>
          <w:tcPr>
            <w:tcW w:w="106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4"/>
                <w:szCs w:val="14"/>
                <w:color w:val="auto"/>
              </w:rPr>
              <w:t>2013</w:t>
            </w: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4"/>
              <w:spacing w:after="0"/>
              <w:rPr>
                <w:sz w:val="20"/>
                <w:szCs w:val="20"/>
                <w:color w:val="auto"/>
              </w:rPr>
            </w:pPr>
            <w:r>
              <w:rPr>
                <w:rFonts w:ascii="Arial" w:cs="Arial" w:eastAsia="Arial" w:hAnsi="Arial"/>
                <w:sz w:val="14"/>
                <w:szCs w:val="14"/>
                <w:color w:val="auto"/>
                <w:w w:val="89"/>
              </w:rPr>
              <w:t>2013</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gridSpan w:val="5"/>
          </w:tcPr>
          <w:p>
            <w:pPr>
              <w:jc w:val="center"/>
              <w:ind w:right="288"/>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gridSpan w:val="2"/>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gridSpan w:val="3"/>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center"/>
              <w:ind w:left="176"/>
              <w:spacing w:after="0"/>
              <w:rPr>
                <w:sz w:val="20"/>
                <w:szCs w:val="20"/>
                <w:color w:val="auto"/>
              </w:rPr>
            </w:pPr>
            <w:r>
              <w:rPr>
                <w:rFonts w:ascii="Arial" w:cs="Arial" w:eastAsia="Arial" w:hAnsi="Arial"/>
                <w:sz w:val="18"/>
                <w:szCs w:val="18"/>
                <w:color w:val="auto"/>
                <w:w w:val="99"/>
              </w:rPr>
              <w:t>$</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1600" w:type="dxa"/>
            <w:vAlign w:val="bottom"/>
            <w:tcBorders>
              <w:right w:val="single" w:sz="8" w:color="CCEEFF"/>
            </w:tcBorders>
            <w:gridSpan w:val="5"/>
            <w:shd w:val="clear" w:color="auto" w:fill="CCEEFF"/>
          </w:tcPr>
          <w:p>
            <w:pPr>
              <w:jc w:val="right"/>
              <w:ind w:right="468"/>
              <w:spacing w:after="0"/>
              <w:rPr>
                <w:sz w:val="20"/>
                <w:szCs w:val="20"/>
                <w:color w:val="auto"/>
              </w:rPr>
            </w:pPr>
            <w:r>
              <w:rPr>
                <w:rFonts w:ascii="Arial" w:cs="Arial" w:eastAsia="Arial" w:hAnsi="Arial"/>
                <w:sz w:val="18"/>
                <w:szCs w:val="18"/>
                <w:color w:val="auto"/>
              </w:rPr>
              <w:t>5,041</w:t>
            </w:r>
          </w:p>
        </w:tc>
        <w:tc>
          <w:tcPr>
            <w:tcW w:w="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220" w:type="dxa"/>
            <w:vAlign w:val="bottom"/>
            <w:tcBorders>
              <w:left w:val="single" w:sz="8" w:color="CCEEFF"/>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Commercial Banking</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22,805</w:t>
            </w:r>
          </w:p>
        </w:tc>
        <w:tc>
          <w:tcPr>
            <w:tcW w:w="1600" w:type="dxa"/>
            <w:vAlign w:val="bottom"/>
            <w:gridSpan w:val="5"/>
          </w:tcPr>
          <w:p>
            <w:pPr>
              <w:jc w:val="right"/>
              <w:ind w:right="468"/>
              <w:spacing w:after="0"/>
              <w:rPr>
                <w:sz w:val="20"/>
                <w:szCs w:val="20"/>
                <w:color w:val="auto"/>
              </w:rPr>
            </w:pPr>
            <w:r>
              <w:rPr>
                <w:rFonts w:ascii="Arial" w:cs="Arial" w:eastAsia="Arial" w:hAnsi="Arial"/>
                <w:sz w:val="18"/>
                <w:szCs w:val="18"/>
                <w:color w:val="auto"/>
              </w:rPr>
              <w:t>21,554</w:t>
            </w: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21,655</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16,941</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17,112</w:t>
            </w:r>
          </w:p>
        </w:tc>
        <w:tc>
          <w:tcPr>
            <w:tcW w:w="5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17,150</w:t>
            </w:r>
          </w:p>
        </w:tc>
        <w:tc>
          <w:tcPr>
            <w:tcW w:w="220" w:type="dxa"/>
            <w:vAlign w:val="bottom"/>
            <w:tcBorders>
              <w:left w:val="single" w:sz="8" w:color="CCEEFF"/>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20,306</w:t>
            </w:r>
          </w:p>
        </w:tc>
        <w:tc>
          <w:tcPr>
            <w:tcW w:w="1600" w:type="dxa"/>
            <w:vAlign w:val="bottom"/>
            <w:gridSpan w:val="5"/>
          </w:tcPr>
          <w:p>
            <w:pPr>
              <w:jc w:val="right"/>
              <w:ind w:right="468"/>
              <w:spacing w:after="0"/>
              <w:rPr>
                <w:sz w:val="20"/>
                <w:szCs w:val="20"/>
                <w:color w:val="auto"/>
              </w:rPr>
            </w:pPr>
            <w:r>
              <w:rPr>
                <w:rFonts w:ascii="Arial" w:cs="Arial" w:eastAsia="Arial" w:hAnsi="Arial"/>
                <w:sz w:val="18"/>
                <w:szCs w:val="18"/>
                <w:color w:val="auto"/>
              </w:rPr>
              <w:t>16,224</w:t>
            </w: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16,480</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600" w:type="dxa"/>
            <w:vAlign w:val="bottom"/>
            <w:tcBorders>
              <w:right w:val="single" w:sz="8" w:color="CCEEFF"/>
            </w:tcBorders>
            <w:gridSpan w:val="5"/>
            <w:shd w:val="clear" w:color="auto" w:fill="CCEEFF"/>
          </w:tcPr>
          <w:p>
            <w:pPr>
              <w:jc w:val="right"/>
              <w:ind w:right="468"/>
              <w:spacing w:after="0"/>
              <w:rPr>
                <w:sz w:val="20"/>
                <w:szCs w:val="20"/>
                <w:color w:val="auto"/>
              </w:rPr>
            </w:pPr>
            <w:r>
              <w:rPr>
                <w:rFonts w:ascii="Arial" w:cs="Arial" w:eastAsia="Arial" w:hAnsi="Arial"/>
                <w:sz w:val="18"/>
                <w:szCs w:val="18"/>
                <w:color w:val="auto"/>
              </w:rPr>
              <w:t>2,783</w:t>
            </w:r>
          </w:p>
        </w:tc>
        <w:tc>
          <w:tcPr>
            <w:tcW w:w="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220" w:type="dxa"/>
            <w:vAlign w:val="bottom"/>
            <w:tcBorders>
              <w:left w:val="single" w:sz="8" w:color="CCEEFF"/>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Retail Banking</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10,348</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11,304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10,997</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11,003</w:t>
            </w:r>
          </w:p>
        </w:tc>
        <w:tc>
          <w:tcPr>
            <w:tcW w:w="1600" w:type="dxa"/>
            <w:vAlign w:val="bottom"/>
            <w:tcBorders>
              <w:right w:val="single" w:sz="8" w:color="CCEEFF"/>
            </w:tcBorders>
            <w:gridSpan w:val="5"/>
            <w:shd w:val="clear" w:color="auto" w:fill="CCEEFF"/>
          </w:tcPr>
          <w:p>
            <w:pPr>
              <w:jc w:val="right"/>
              <w:ind w:right="468"/>
              <w:spacing w:after="0"/>
              <w:rPr>
                <w:sz w:val="20"/>
                <w:szCs w:val="20"/>
                <w:color w:val="auto"/>
              </w:rPr>
            </w:pPr>
            <w:r>
              <w:rPr>
                <w:rFonts w:ascii="Arial" w:cs="Arial" w:eastAsia="Arial" w:hAnsi="Arial"/>
                <w:sz w:val="18"/>
                <w:szCs w:val="18"/>
                <w:color w:val="auto"/>
              </w:rPr>
              <w:t>9,082</w:t>
            </w:r>
          </w:p>
        </w:tc>
        <w:tc>
          <w:tcPr>
            <w:tcW w:w="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9,442</w:t>
            </w:r>
          </w:p>
        </w:tc>
        <w:tc>
          <w:tcPr>
            <w:tcW w:w="220" w:type="dxa"/>
            <w:vAlign w:val="bottom"/>
            <w:tcBorders>
              <w:left w:val="single" w:sz="8" w:color="CCEEFF"/>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89,952</w:t>
            </w:r>
          </w:p>
        </w:tc>
        <w:tc>
          <w:tcPr>
            <w:tcW w:w="500" w:type="dxa"/>
            <w:vAlign w:val="bottom"/>
          </w:tcPr>
          <w:p>
            <w:pPr>
              <w:spacing w:after="0"/>
              <w:rPr>
                <w:sz w:val="19"/>
                <w:szCs w:val="19"/>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83,100</w:t>
            </w:r>
          </w:p>
        </w:tc>
        <w:tc>
          <w:tcPr>
            <w:tcW w:w="5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gridSpan w:val="2"/>
          </w:tcPr>
          <w:p>
            <w:pPr>
              <w:jc w:val="center"/>
              <w:ind w:left="113"/>
              <w:spacing w:after="0"/>
              <w:rPr>
                <w:sz w:val="20"/>
                <w:szCs w:val="20"/>
                <w:color w:val="auto"/>
              </w:rPr>
            </w:pPr>
            <w:r>
              <w:rPr>
                <w:rFonts w:ascii="Arial" w:cs="Arial" w:eastAsia="Arial" w:hAnsi="Arial"/>
                <w:sz w:val="18"/>
                <w:szCs w:val="18"/>
                <w:color w:val="auto"/>
                <w:w w:val="87"/>
              </w:rPr>
              <w:t>83,662</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00" w:hanging="452"/>
        <w:spacing w:after="0" w:line="272" w:lineRule="auto"/>
        <w:tabs>
          <w:tab w:leader="none" w:pos="460" w:val="left"/>
        </w:tabs>
        <w:numPr>
          <w:ilvl w:val="0"/>
          <w:numId w:val="67"/>
        </w:numPr>
        <w:rPr>
          <w:rFonts w:ascii="Arial" w:cs="Arial" w:eastAsia="Arial" w:hAnsi="Arial"/>
          <w:sz w:val="17"/>
          <w:szCs w:val="17"/>
          <w:i w:val="1"/>
          <w:iCs w:val="1"/>
          <w:color w:val="auto"/>
        </w:rPr>
      </w:pPr>
      <w:r>
        <w:rPr>
          <w:rFonts w:ascii="Arial" w:cs="Arial" w:eastAsia="Arial" w:hAnsi="Arial"/>
          <w:sz w:val="17"/>
          <w:szCs w:val="17"/>
          <w:i w:val="1"/>
          <w:iCs w:val="1"/>
          <w:color w:val="auto"/>
        </w:rPr>
        <w:t>Total revenues are comprised of net interest income and other income. Net interest income is the difference between taxable-equivalent interest earned on assets and interest paid on liabilities by a segment and a funding charge (credit) based on the Company’s internal funds transfer pricing allocation methodology. Segments are charged a cost to fund any assets (e.g. loans) and are paid a funding credit for any funds provided (e.g. deposits). The taxable-equivalent adjustment aggregated $5,841,000 and $6,105,000 for the three-month periods ended September 30, 2014 and 2013, respectively, and $17,635,000 and $18,772,000 for the nine-month periods ended September 30, 2014 and 2013,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110" w:lineRule="exact"/>
        <w:rPr>
          <w:rFonts w:ascii="Arial" w:cs="Arial" w:eastAsia="Arial" w:hAnsi="Arial"/>
          <w:sz w:val="17"/>
          <w:szCs w:val="17"/>
          <w:i w:val="1"/>
          <w:iCs w:val="1"/>
          <w:color w:val="auto"/>
        </w:rPr>
      </w:pPr>
    </w:p>
    <w:p>
      <w:pPr>
        <w:ind w:left="5620" w:hanging="101"/>
        <w:spacing w:after="0"/>
        <w:tabs>
          <w:tab w:leader="none" w:pos="56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53 -</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Relationship with Bayview Lending Group LLC and Bayview Financial Holdings, L.P.</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M&amp;T holds a 20% minority interest in Bayview Lending Group LLC (“BLG”), a privately-held commercial mortgage company. M&amp;T recognizes income or loss from BLG using the equity method of accounting. The carrying value of that investment was $51 million at September 30, 2014.</w:t>
      </w:r>
    </w:p>
    <w:p>
      <w:pPr>
        <w:spacing w:after="0" w:line="14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$5.0 billion and $5.5 billion at September 30, 2014 and December 31, 2013, respectively. Revenues from those servicing rights were $6 million and $7 million during the three months ended September 30, 2014 and 2013, respectively, and $20 million and $23 million for the nine months ended September 30, 2014 and 2013, respectively. The Company sub-services residential real estate loans for Bayview Financial having outstanding principal balances totaling $43.2 billion and $45.6 billion at September 30, 2014 and December 31, 2013, respectively. Revenues earned for sub-servicing loans for Bayview Financial were $29 million and $8 million for the three-month periods ended September 30, 2014 and 2013, respectively, and $82 million and $12 million for the nine-month periods ended September 30, 2014 and 2013, respectively. In addition, the Company held $207 million and $220 million of mortgage-backed securities in its held-to-maturity portfolio at September 30, 2014 and December 31, 2013, respectively, that were securitized by Bayview Financial.</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1340"/>
          </w:cols>
          <w:pgMar w:left="240" w:top="459" w:right="3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Net income for M&amp;T Bank Corporation (“M&amp;T”) in the third quarter of 2014 was $275 million or $1.91 of diluted earnings per common share, compared with $294 million or $2.11 of diluted earnings per common share in the year-earlier quarter. During the second quarter of 2014, net income totaled $284 million or $1.98 of diluted earnings per common share. Basic earnings per common share were $1.92 in the recent quarter, compared with $2.13 in the third quarter of 2013 and $1.99 in the second quarter of 2014. For the first nine months of 2014, net income was $789 million or $5.50 of diluted earnings per common share, compared with $917 million or $6.64 of diluted earnings per common share during the similar period of 2013. Basic earnings per common share were $5.54 and $6.69 for the first nine months of 2014 and 2013, respectively.</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annualized rate of return on average total assets for M&amp;T and its consolidated subsidiaries (“the Company”) in the recent quarter was 1.17%, compared with 1.39% in the third quarter of 2013 and 1.27% in the second quarter of 2014. The annualized rate of return on average common shareholders’ equity was 9.18% in the third quarter of 2014, compared with 11.06% and 9.79% in the year-earlier quarter and in 2014’s second quarter, respectively. During the nine-month period ended September 30, 2014, the annualized rates of return on average assets and average common shareholders’ equity were 1.17% and 9.07%, respectively, compared with 1.48% and 11.98%, respectively, in the first nine months of 2013.</w:t>
      </w:r>
    </w:p>
    <w:p>
      <w:pPr>
        <w:spacing w:after="0" w:line="17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Reflected in the results for the third quarter of 2013 were after-tax gains from loan securitization transactions of $34 million ($56 million pre-tax), or $.26 per diluted common share. During that quarter, the Company securitized approximately $1.0 billion of one-to-four family residential real estate loans previously held in the Company’s loan portfolio into guaranteed mortgage-backed securities with the Government National Mortgage Association (“Ginnie Mae”) and recognized gains of $35 million. The Company retained the substantial majority of those securities in its investment securities portfolio. In addition, the Company securitized and sold in September 2013 approximately $1.4 billion of automobile loans held in its loan portfolio, resulting in a gain of $21 million.</w:t>
      </w:r>
    </w:p>
    <w:p>
      <w:pPr>
        <w:spacing w:after="0" w:line="19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addition to the securitization gains realized in the third quarter of 2013, results for the nine-month period ended September 30, 2013 included certain other noteworthy items. During the second quarter of 2013, the Company sold the majority of its privately issued mortgage-backed securities that had been held in the available-for-sale investment securities portfolio for an after-tax loss of $28 million ($46 million pre-tax), or $.22 per diluted common share. The Company’s holdings of Visa and MasterCard shares were also sold during that quarter for an after-tax gain of $62 million ($103 million pre-tax), or $.48 per diluted common share. Finally, during 2013’s second quarter the Company reversed an accrual for a contingent compensation obligation assumed in the May 2011 acquisition of Wilmington Trust Corporation that expired, resulting in a $26 million reduction of “other expense – other costs of operations” having an after-tax impact of $15 million, or $.12 of diluted earnings per common share. The gains on securitization transactions in 2013’s third quarter and the noteworthy items in the second quarter of 2013 increased net income by $83 million, or $.64 per diluted common share, in the first nine months of 2013. There were no similar significant noteworthy items reflected in the Company’s results in the three-month and nine-month periods ended September 30, 2014.</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August 27, 2012, M&amp;T announced that it had entered into a definitive agreement with Hudson City Bancorp, Inc. (“Hudson City”) headquartered in Paramus, New Jersey, under which Hudson City would be acquired by M&amp;T. Pursuant to the terms of the agreement, Hudson City common shareholders would receive consideration for each common share of Hudson City in an amount valued at .08403 of an M&amp;T share in the form of either M&amp;T common stock or cash, based on the election of each Hudson City shareholder, subject to proration as specified in the merger agreement (which provides for an aggregate split of total consideration of 60% common stock of M&amp;T and 40% cash). The estimated purchase price considering the closing price of M&amp;T’s common stock of $123.29 on September 30, 2014 was $5.4 billion.</w:t>
      </w:r>
    </w:p>
    <w:p>
      <w:pPr>
        <w:spacing w:after="0" w:line="19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of September 30, 2014, Hudson City had $37.2 billion of assets, including $22.4 billion of loans and $8.4 billion of investment securities, and $32.3 billion of liabilities, including $20.0 billion of deposits. The merger has received the approval of the common shareholders of M&amp;T and Hudson City. However, the merger is subject to a number of other conditions, including regulatory approvals.</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June 17, 2013, M&amp;T and M&amp;T Bank, the principal bank subsidiary of M&amp;T, entered into a written agreement with the Federal Reserve Bank of New York. Under the terms of the agreement, M&amp;T and M&amp;T Bank are required to submit to the Federal Reserve Bank of New York a revised compliance risk management program designed to ensure compliance with the Bank Secrecy Act and anti-money-laundering laws and regulations (“BSA/AML”) and to take certain other steps to enhance their compliance practices. The Company commenced a major initiative, including the hiring of outside consulting firms, intended to fully address those regulator concerns. M&amp;T and M&amp;T Bank continue to make progress towards completing this initiative. In view of the timeframe required to implement this initiative, demonstrate its efficacy to the satisfaction of the regulators and otherwise meet any other regulatory requirements that may be imposed in connection with these matters, M&amp;T and Hudson City extended the date after which either party may elect to terminate the merger agreement if the merger has not yet been completed to December 31, 2014. Nevertheless, M&amp;T’s pending acquisition of Hudson City remains subject to regulatory approval, including approval by the Federal Reserve, and certain other closing conditions and, as a result, there can be no assurances that the merger will be completed by that date.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Legislative Developments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discussed in M&amp;T’s Form 10-K for the year ended December 31, 2013, the Dodd-Frank Wall Street Reform and Consumer Protection Act (“Dodd-Frank Act”) that was signed into law on July 21, 2010 has and will continue to significantly change the bank regulatory structure and affect the lending, deposit, investment, trading and operating activities of financial institutions and their holding companies, and the system of regulatory oversight of the Company. The Dodd-Frank Act requires various federal agencies to adopt a broad range of new implementing rules and regulations, and to prepare numerous studies and reports for Congress, many of which are not yet completed or implemented. The Dodd-Frank Act could have a material adverse impact on the financial services industry as a whole, as well as on M&amp;T’s business, results of operations, financial condition and liquidity.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discussion of the provisions of the Dodd-Frank Act is included in Part I, Item 1 of M&amp;T’s Form 10-K for the year ended December 31, 2013.</w:t>
      </w:r>
    </w:p>
    <w:p>
      <w:pPr>
        <w:spacing w:after="0" w:line="237"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On July 31, 2013, the U.S. District Court for the District of Columbia issued an order granting summary judgment to the plaintiffs in a case challenging certain provisions of the Federal Reserve’s rule concerning electronic debit card transaction fees and network exclusivity arrangements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“Current Rule”) that were adopted to implement Section 1075 of the Dodd-Frank Act – the so-called “Durbin Amendment.” The Court held that, in adopting the Current Rule, the Federal Reserve violated the Durbin Amendment’s provisions concerning which costs are allowed to be taken into account for purposes of setting fees that are “reasonable and proportional to the costs incurred by the issuer” and therefore the Current Rule’s maximum permissible fees were too high. In addition, the Court held that the Current Rule’s network non-exclusivity provisions concerning unaffiliated payment networks for debit cards also violated the Durbin Amendment. The Court vacated the Current Rule. The Court’s judgment was stayed in September 2013 pending appeal by the Federal Reserve. In March 2014, a panel of the United States Court of Appeals for the District of Columbia overturned the U.S. District Court’s ruling almost in its entirety, remanding to the Federal Reserve Board for further consideration or explanation of the issue of its treatment of transactions-monitoring costs.</w:t>
      </w:r>
    </w:p>
    <w:p>
      <w:pPr>
        <w:spacing w:after="0" w:line="16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In July 2013, the Federal Reserve Board, the Office of the Comptroller of the Currency and the Federal Deposit Insurance Corporation approved final rules (the “New Capital Rules”) establishing a new comprehensive capital framework for U.S. banking organizations. The New Capital Rules generally implement the Basel Committee on Banking Supervision’s (the “Basel Committee”) December 2010 final capital framework referred to as “Basel III” for strengthening international capital standards. The New Capital Rules substantially revise the risk-based capital requirements applicable to bank holding companies and their depository institution subsidiaries, including M&amp;T and M&amp;T Bank, as compared to the current U.S. general risk-based capital rules.</w:t>
      </w:r>
    </w:p>
    <w:p>
      <w:pPr>
        <w:spacing w:after="0" w:line="15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New Capital Rules preclude certain hybrid securities, such as trust preferred securities, from inclusion in bank holding companies’ Tier 1 capital, subject to phase-out in the case of bank holding companies, such as M&amp;T, that had $15 billion or more in total consolidated assets as of December 31, 2009. As a result, beginning in 2015 25% of M&amp;T’s trust preferred securities will be includable in Tier 1 capital, and in 2016 and thereafter, none of M&amp;T’s trust preferred securities will be includable in Tier 1 capital. Trust preferred securities no longer included in M&amp;T’s Tier 1 capital may nonetheless be included as a component of Tier 2 capital on a permanent basis without phase-out and irrespective of whether such securities otherwise meet the revised definition of Tier 2 capital set forth in the New Capital Rules. In the first quarter of 2014, M&amp;T redeemed $350 million of 8.50% junior subordinated debentures associated with the trust preferred capital securities of M&amp;T Capital Trust IV and issued a like amount of 6.45% preferred stock that qualifies as Tier 1 regulatory capital. A detailed discussion of the New Capital Rules is included in Part I, Item 1 of M&amp;T’s Form 10-K for the year ended December 31, 2013 under the heading “Capital Requirements.”</w:t>
      </w:r>
    </w:p>
    <w:p>
      <w:pPr>
        <w:spacing w:after="0" w:line="19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Management believes that the Company will be able to comply with the revised capital adequacy requirements upon their implementation. More specifically, management estimates that the Company’s ratio of Common Equity Tier 1 (“CET1”) to risk-weighted assets under the New Capital Rules (and as defined therein) on a fully phased-in basis was approximately 9.50% as of September 30, 2014, reflecting a good faith estimate of the computation of CET1 and the Company’s risk-weighted assets under the methodologies set forth in the New Capital Rules.</w:t>
      </w:r>
    </w:p>
    <w:p>
      <w:pPr>
        <w:spacing w:after="0" w:line="17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On December 10, 2013, the Federal Reserve Board, the Office of the Comptroller of the Currency, the Federal Deposit Insurance Corporation and the Securities and Exchange Commission adopted the final version of the Volcker Rule, which was mandated under Dodd-Frank. The Volcker Rule is intended to reduce risks posed to banking entities from proprietary trading activities and investments in or relationships with covered funds. Banking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- 57 -</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entities are generally prohibited from engaging in proprietary trading. The Company does not believe that it engages in any significant amount of “proprietary trading” as defined in the Volcker Rule and that any impact would be minimal. In addition, a review of the Company’s investments was undertaken to determine if any meet the Volcker Rule’s definition of “covered funds.” Based on that review, the Company believes that any impact related to investments considered to be covered funds would not have a significant effect on the Company’s financial condition or its results of operations. Nevertheless, the Company may be required to divest certain investments subject to the Volcker Rule by mid-2015.</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September 3, 2014, the Federal Reserve Board and other banking regulators adopted final rules implementing a U.S. version of the Basel Committee’s Liquidity Coverage Ratio requirement (“LCR”). The LCR, including the modified version applicable to bank holding companies, such as M&amp;T, with $50 billion or more in total consolidated assets that are not “advanced approaches” institutions, requires a banking organization to maintain an amount of unencumbered “high-quality liquid assets” equal to the amount of its total net cash outflows over a 30-day stress period. Only specific classes of assets qualify under the rule as high-quality assets (the numerator of the ratio), with riskier classes of assets subject to haircuts and caps. The total net cash outflow amount (the denominator of the ratio) is determined under the rule by applying outflow and inflow rates, which reflect certain standardized stressed assumptions, against the balances of the banking organization’s funding sources, obligations, transactions and assets over the 30-day stress period. Inflows that can be included to offset outflows are limited to 75% of outflows (which effectively means that banking organizations must hold high-quality liquid assets equal to 25% of outflows even if outflows perfectly match inflows over the stress period). The total net cash outflow amount for the modified LCR applicable to M&amp;T is capped at 70% of the outflow rate that applies to the full LCR.</w:t>
      </w:r>
    </w:p>
    <w:p>
      <w:pPr>
        <w:spacing w:after="0" w:line="17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initial compliance date for the modified LCR will be January 2016, with the requirement fully phased-in by January 2017. In anticipation of the adoption of the LCR, the Company has added Ginnie Mae and Federal National Mortgage Association (“Fannie Mae”) mortgage-backed securities to its investment portfolio during 2013 and 2014 that will qualify as high-quality liquid assets under the LCR rule through purchase and securitization transactions. The LCR is a minimum requirement, and the Federal Reserve Board can impose additional liquidity requirements as a supervisory matter.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and expenses associated with merging acquired operations into the Company, since such items are considered by management to be “nonoperating” in nature. As a result of business combinations and other acquisitions, the Company had intangible assets consisting of goodwill and core deposit and other intangible assets totaling $3.6 billion at each of September 30, 2014, September 30, 2013 and December 31, 2013. Included in such intangible assets was goodwill of $3.5 billion at each of those dates. Amortization of core deposit and other intangible assets, after tax effect, totaled $4 million ($.03 per diluted common share) during the third quarter of 2014, compared with $6 million ($.05 per diluted common share) during the year-earlier quarter and $6 million ($.04 per diluted common share) during the second quarter of 2014. For the nine-month periods ended September 30, 2014 and 2013, amortization of core deposit and other intangible assets, after tax effect, totaled $16 million ($.12 per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diluted common share) and $22 million ($.17 per diluted share), respectively. The after-tax impact of merger-related expenses in the nine-month period ended September 30, 2013 was $8 million ($12 million pre-tax). There were no merger-related expenses during the third quarter of 2013 or in the first nine months of 2014. The merger-related expenses in 2013 were associated with M&amp;T’s pending acquisition of Hudson City. Although “net operating income” as defined by M&amp;T is not a GAAP measure, M&amp;T’s management believes that this information helps investors understand the effect of acquisition activity in reported results.</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Net operating income was $280 million in the recent quarter, compared with $301 million in the third quarter of 2013. Diluted net operating earnings per common share for the third quarter of 2014 were $1.94, compared with $2.16 in the year-earlier quarter. Net operating income and diluted net operating earnings per common share were $290 million and $2.02, respectively, in the second quarter of 2014. For the first nine months of 2014, net operating income and diluted net operating earnings per common share were $805 million and $5.62, respectively, compared with $947 million and $6.87, respectively, in the corresponding 2013 period.</w:t>
      </w:r>
    </w:p>
    <w:p>
      <w:pPr>
        <w:spacing w:after="0" w:line="18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Net operating income in the recent quarter expressed as an annualized rate of return on average tangible assets was 1.24%, compared with 1.48% in the year-earlier quarter and 1.35% in the second quarter of 2014. Net operating income represented an annualized return on average tangible common equity of 13.80% in the recently completed quarter, compared with 17.64% in the third quarter of 2013 and 14.92% in 2014’s second quarter. For the first nine months of 2014, net operating income represented an annualized return on average tangible assets and average tangible common shareholders’ equity of 1.25% and 13.84%, respectively, compared with 1.59% and 19.66%, respectively, in the similar period of 2013.</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Reconciliations of GAAP amounts with corresponding non-GAAP amounts are provided in table 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Taxable-equivalent net interest income totaled $675 million in the third quarter of 2014, compared with $679 million in the year-earlier quarter. That modest decrease reflected a 38 basis point (hundredths of one percent) narrowing of the Company’s net interest margin, or taxable-equivalent net interest income expressed as an annualized percentage of average earning assets, to 3.23% in the recent quarter offset, in part, by an $8.1 billion, or 11%, increase in average earning assets, including $5.8 billion of average investment securities balances. Taxable-equivalent net interest income was also $675 million in the second quarter of 2014. A 17 basis point decline of the net interest margin in the recent quarter from 3.40% in the linked quarter was offset by a $3.2 billion increase in average earning assets, including a $1.8 billion rise in average investment securities. In each quarterly comparison, the decline in the net interest margin was attributable to increased lower-yielding balances of investment securities and deposits held at the Federal Reserve Bank of New York combined with downward pressure on yields earned on loans. The growth in investment securities resulted from actions taken by M&amp;T in response to new regulatory liquidity requirements that were recently finalized and will become effective in January 2016.</w:t>
      </w:r>
    </w:p>
    <w:p>
      <w:pPr>
        <w:spacing w:after="0" w:line="182"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For the first three quarters of 2014, taxable-equivalent net interest income was $2.01 billion, down 1% from $2.03 billion in the similar period of 2013. That decline was attributable to a 30 basis point narrowing of the net interest margin to 3.38% in 2014 from 3.68% in 2013 that reflected lower yields on average loans outstanding, predominantly offset by higher average earning assets, which rose $5.9 billion or 8% to $79.6 billion in the first nine months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- 59 -</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of 2014. Contributing to the growth in average earning assets were higher balances of investment securities and interest-bearing deposits at the Federal Reserve Bank of New York, partially offset by lower average balances of loans outstanding.</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Average loans and leases totaled $64.8 billion in the recent quarter, compared with $64.9 billion in the third quarter of 2013. Commercial loans and leases averaged $18.9 billion in the third quarter of 2014, up $1.1 billion or 6% from $17.8 billion in the year-earlier quarter. Average commercial real estate loans averaged $26.5 billion in the recent quarter, compared with $26.1 billion in the third quarter of 2013. Average residential real estate loans outstanding declined $1.0 billion or 10% to $8.6 billion in 2014’s third quarter from $9.6 billion in the year-earlier quarter. Included in that portfolio were loans originated for sale, which averaged $424 million in the recently completed quarter, compared with $1.1 billion in the third quarter of 2013. Excluding loans held for sale, average residential real estate loans decreased $336 million from the third quarter of 2013 to the third quarter of 2014. That decrease was largely due to securitization activity during the third quarter of 2013. During the second quarter of 2013, the Company securitized approximately $296 million of residential real estate loans and during the third quarter of 2013 approximately $1.0 billion of residential real estate loans were securitized. The residential real estate loans were guaranteed by the Federal Housing Administration (“FHA”) and a substantial majority of the resulting Ginnie Mae mortgage-backed investment securities were retained by the Company in the investment securities portfolio. Consumer loans averaged $10.8 billion in the recent quarter, $542 million or 5% lower than $11.3 billion in the third quarter of 2013. That decline was predominantly due to lower average balances of automobile loans. In September 2013, the Company securitized and sold approximately $1.4 billion of automobile loans held in its loan portfolio. The Company securitized loans to improve its regulatory capital ratios and strengthen its liquidity and risk profile, including the ability to pledge any of the retained assets, as a result of changing regulatory requirements.</w:t>
      </w:r>
    </w:p>
    <w:p>
      <w:pPr>
        <w:spacing w:after="0" w:line="1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Average loan balances in the recent quarter rose $420 million, or 1%, from the second quarter of 2014. Average commercial real estate loans increased $348 million, or 1%, from 2014’s second quarter, average balances of consumer loans rose $275 million, or 3%, while average outstanding commercial loan and lease balances declined $89 million and average residential real estate loans decreased $113 million, or 1%. The accompanying table summarizes quarterly changes in the major components of the loan and lease portfolio.</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0" w:type="dxa"/>
            <w:vAlign w:val="bottom"/>
            <w:gridSpan w:val="4"/>
          </w:tcPr>
          <w:p>
            <w:pPr>
              <w:jc w:val="right"/>
              <w:ind w:right="450"/>
              <w:spacing w:after="0"/>
              <w:rPr>
                <w:sz w:val="20"/>
                <w:szCs w:val="20"/>
                <w:color w:val="auto"/>
              </w:rPr>
            </w:pPr>
            <w:r>
              <w:rPr>
                <w:rFonts w:ascii="Arial" w:cs="Arial" w:eastAsia="Arial" w:hAnsi="Arial"/>
                <w:sz w:val="14"/>
                <w:szCs w:val="14"/>
                <w:color w:val="auto"/>
              </w:rPr>
              <w:t>Percent increase</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0" w:type="dxa"/>
            <w:vAlign w:val="bottom"/>
            <w:gridSpan w:val="4"/>
          </w:tcPr>
          <w:p>
            <w:pPr>
              <w:jc w:val="right"/>
              <w:ind w:right="470"/>
              <w:spacing w:after="0" w:line="149" w:lineRule="exact"/>
              <w:rPr>
                <w:sz w:val="20"/>
                <w:szCs w:val="20"/>
                <w:color w:val="auto"/>
              </w:rPr>
            </w:pPr>
            <w:r>
              <w:rPr>
                <w:rFonts w:ascii="Arial" w:cs="Arial" w:eastAsia="Arial" w:hAnsi="Arial"/>
                <w:sz w:val="14"/>
                <w:szCs w:val="14"/>
                <w:color w:val="auto"/>
              </w:rPr>
              <w:t>(decrease) from</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1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3rd Qtr.</w:t>
            </w:r>
          </w:p>
        </w:tc>
        <w:tc>
          <w:tcPr>
            <w:tcW w:w="1120" w:type="dxa"/>
            <w:vAlign w:val="bottom"/>
            <w:gridSpan w:val="2"/>
          </w:tcPr>
          <w:p>
            <w:pPr>
              <w:jc w:val="right"/>
              <w:ind w:right="590"/>
              <w:spacing w:after="0" w:line="149" w:lineRule="exact"/>
              <w:rPr>
                <w:sz w:val="20"/>
                <w:szCs w:val="20"/>
                <w:color w:val="auto"/>
              </w:rPr>
            </w:pPr>
            <w:r>
              <w:rPr>
                <w:rFonts w:ascii="Arial" w:cs="Arial" w:eastAsia="Arial" w:hAnsi="Arial"/>
                <w:sz w:val="14"/>
                <w:szCs w:val="14"/>
                <w:color w:val="auto"/>
                <w:w w:val="88"/>
              </w:rPr>
              <w:t>3rd Qtr.</w:t>
            </w:r>
          </w:p>
        </w:tc>
        <w:tc>
          <w:tcPr>
            <w:tcW w:w="680" w:type="dxa"/>
            <w:vAlign w:val="bottom"/>
            <w:gridSpan w:val="2"/>
          </w:tcPr>
          <w:p>
            <w:pPr>
              <w:jc w:val="right"/>
              <w:ind w:right="110"/>
              <w:spacing w:after="0" w:line="149" w:lineRule="exact"/>
              <w:rPr>
                <w:sz w:val="20"/>
                <w:szCs w:val="20"/>
                <w:color w:val="auto"/>
              </w:rPr>
            </w:pPr>
            <w:r>
              <w:rPr>
                <w:rFonts w:ascii="Arial" w:cs="Arial" w:eastAsia="Arial" w:hAnsi="Arial"/>
                <w:sz w:val="14"/>
                <w:szCs w:val="14"/>
                <w:color w:val="auto"/>
                <w:w w:val="90"/>
              </w:rPr>
              <w:t>2nd Qtr.</w:t>
            </w:r>
          </w:p>
        </w:tc>
        <w:tc>
          <w:tcPr>
            <w:tcW w:w="0" w:type="dxa"/>
            <w:vAlign w:val="bottom"/>
          </w:tcPr>
          <w:p>
            <w:pPr>
              <w:spacing w:after="0"/>
              <w:rPr>
                <w:sz w:val="1"/>
                <w:szCs w:val="1"/>
                <w:color w:val="auto"/>
              </w:rPr>
            </w:pPr>
          </w:p>
        </w:tc>
      </w:tr>
      <w:tr>
        <w:trPr>
          <w:trHeight w:val="167"/>
        </w:trPr>
        <w:tc>
          <w:tcPr>
            <w:tcW w:w="66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2014</w:t>
            </w:r>
          </w:p>
        </w:tc>
        <w:tc>
          <w:tcPr>
            <w:tcW w:w="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2013</w:t>
            </w:r>
          </w:p>
        </w:tc>
        <w:tc>
          <w:tcPr>
            <w:tcW w:w="6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$18,889</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26,487</w:t>
            </w:r>
          </w:p>
        </w:tc>
        <w:tc>
          <w:tcPr>
            <w:tcW w:w="560" w:type="dxa"/>
            <w:vAlign w:val="bottom"/>
          </w:tcPr>
          <w:p>
            <w:pPr>
              <w:spacing w:after="0"/>
              <w:rPr>
                <w:sz w:val="18"/>
                <w:szCs w:val="18"/>
                <w:color w:val="auto"/>
              </w:rPr>
            </w:pPr>
          </w:p>
        </w:tc>
        <w:tc>
          <w:tcPr>
            <w:tcW w:w="1120" w:type="dxa"/>
            <w:vAlign w:val="bottom"/>
            <w:gridSpan w:val="2"/>
          </w:tcPr>
          <w:p>
            <w:pPr>
              <w:jc w:val="right"/>
              <w:ind w:right="570"/>
              <w:spacing w:after="0"/>
              <w:rPr>
                <w:sz w:val="20"/>
                <w:szCs w:val="20"/>
                <w:color w:val="auto"/>
              </w:rPr>
            </w:pPr>
            <w:r>
              <w:rPr>
                <w:rFonts w:ascii="Arial" w:cs="Arial" w:eastAsia="Arial" w:hAnsi="Arial"/>
                <w:sz w:val="18"/>
                <w:szCs w:val="18"/>
                <w:color w:val="auto"/>
              </w:rPr>
              <w:t>1</w:t>
            </w:r>
          </w:p>
        </w:tc>
        <w:tc>
          <w:tcPr>
            <w:tcW w:w="68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8,634</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(10)</w:t>
            </w:r>
          </w:p>
        </w:tc>
        <w:tc>
          <w:tcPr>
            <w:tcW w:w="6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Consumer</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Automobile</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1,768</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(25)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Home equity lines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5,751</w:t>
            </w:r>
          </w:p>
        </w:tc>
        <w:tc>
          <w:tcPr>
            <w:tcW w:w="560" w:type="dxa"/>
            <w:vAlign w:val="bottom"/>
          </w:tcPr>
          <w:p>
            <w:pPr>
              <w:spacing w:after="0"/>
              <w:rPr>
                <w:sz w:val="18"/>
                <w:szCs w:val="18"/>
                <w:color w:val="auto"/>
              </w:rPr>
            </w:pPr>
          </w:p>
        </w:tc>
        <w:tc>
          <w:tcPr>
            <w:tcW w:w="112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equity loans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(22)</w:t>
            </w:r>
          </w:p>
        </w:tc>
        <w:tc>
          <w:tcPr>
            <w:tcW w:w="6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600" w:type="dxa"/>
            <w:vAlign w:val="bottom"/>
          </w:tcPr>
          <w:p>
            <w:pPr>
              <w:ind w:left="36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consumer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10,753</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(5)</w:t>
            </w:r>
          </w:p>
        </w:tc>
        <w:tc>
          <w:tcPr>
            <w:tcW w:w="6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1080"/>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vMerge w:val="restart"/>
          </w:tcPr>
          <w:p>
            <w:pPr>
              <w:jc w:val="right"/>
              <w:ind w:right="430"/>
              <w:spacing w:after="0"/>
              <w:rPr>
                <w:sz w:val="20"/>
                <w:szCs w:val="20"/>
                <w:color w:val="auto"/>
              </w:rPr>
            </w:pPr>
            <w:r>
              <w:rPr>
                <w:rFonts w:ascii="Arial" w:cs="Arial" w:eastAsia="Arial" w:hAnsi="Arial"/>
                <w:sz w:val="18"/>
                <w:szCs w:val="18"/>
                <w:color w:val="auto"/>
                <w:w w:val="74"/>
              </w:rPr>
              <w:t>%</w:t>
            </w: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64,763</w:t>
            </w:r>
          </w:p>
        </w:tc>
        <w:tc>
          <w:tcPr>
            <w:tcW w:w="2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4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66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For the first nine months of 2014, average loans and leases aggregated $64.3 billion, down $1.3 billion or 2% from $65.6 billion in the corresponding 2013 period. The most significant factors contributing to that decline were the 2013 loan securitizations noted earlier.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- 60 -</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investment securities portfolio averaged $12.8 billion in the recent quarter, up $5.8 billion or 83% from $7.0 billion in the third quarter of 2013 and $1.8 billion or 17% above the $11.0 billion averaged in the second quarter of 2014. For the first nine months of 2014 and 2013, investment securities averaged $11.0 billion and $6.0 billion, respectively. Each of those increases reflects the net effect of purchases, securitization transactions and sales during 2013 and purchases during the first nine months of 2014, partially offset by maturities and pay-downs of mortgage-backed securities. Beginning in the second quarter of 2013, the Company undertook certain actions to improve its regulatory capital and liquidity positions in response to evolving regulatory requirements. As a result, in the second quarter of 2013 approximately $1.0 billion of privately issued mortgage-backed securities held in the available-for-sale portfolio were sold, as were the Company’s holdings of Visa and MasterCard common stock. In the second and third quarters of 2013, the Company securitized approximately $1.3 billion of residential real estate loans guaranteed by the FHA that were held in its loan portfolio. A substantial majority of the Ginnie Mae securities resulting from those securitizations were retained by the Company. During the second quarter of 2013, the Company also began originating FHA residential real estate loans for purposes of securitizing such loans into Ginnie Mae mortgage-backed securities to be retained in the Company’s investment securities portfolio. Approximately $1.6 billion of such loans were originated and securitized during 2013. Finally, beginning in May 2013 the Company purchased approximately $1.9 billion of Ginnie Mae securities and $250 million of Fannie Mae securities that were added to the investment securities portfolio during 2013, and another $4.6 billion of Fannie Mae securities and $571 million of Ginnie Mae securities were purchased during the first nine months of 2014. The Company has increased its holdings of investment securities in response to changing regulatory requirements.</w:t>
      </w:r>
    </w:p>
    <w:p>
      <w:pPr>
        <w:spacing w:after="0" w:line="172"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investment securities portfolio is largely comprised of residential mortgage-backed securities, debt securities issued by municipalities, trust preferred securities issued by certain financial institutions, and shorter-term U.S. Treasury and federal agency notes. When purchasing investment securities, the Company considers its liquidity position and its overall interest-rate risk profile as well as the adequacy of expected returns relative to the risks assumed, including prepayments. In managing its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in connection with a business combination.</w:t>
      </w:r>
    </w:p>
    <w:p>
      <w:pPr>
        <w:spacing w:after="0" w:line="178"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The Company regularly reviews its investment securities for declines in value below amortized cost that might be characterized as “other than temporary.” Nevertheless, there were no other-than-temporary impairment charges recognized during the first nine months of 2014 or the second and third quarters of 2013. During the first quarter of 2013, the Company recognized other-than-temporary impairment charges of $10 million. Those impairment charges related to certain privately issued mortgage-backed securities. Persistently high unemployment, loan delinquencies and foreclosures that led to a backlog of homes held for sale by financial institutions and others were significant factors contributing to the recognition of the other-than-temporary impairment charges related to those securities. Substantially all of the privately issued mortgage-backed securities held in the available-for-sale investment securities portfolio were sold late in the second quarter of 2013. The impairment charge in the initial quarter of 2013 related to a subset of those securities. Additional information about the investment securities portfolio is included in notes 3 and 12 of Notes to Financial Statements.</w:t>
      </w:r>
    </w:p>
    <w:p>
      <w:pPr>
        <w:spacing w:after="0" w:line="166" w:lineRule="exact"/>
        <w:rPr>
          <w:sz w:val="20"/>
          <w:szCs w:val="20"/>
          <w:color w:val="auto"/>
        </w:rPr>
      </w:pPr>
    </w:p>
    <w:p>
      <w:pPr>
        <w:jc w:val="center"/>
        <w:ind w:left="540" w:right="160"/>
        <w:spacing w:after="0" w:line="449" w:lineRule="auto"/>
        <w:rPr>
          <w:sz w:val="20"/>
          <w:szCs w:val="20"/>
          <w:color w:val="auto"/>
        </w:rPr>
      </w:pPr>
      <w:r>
        <w:rPr>
          <w:rFonts w:ascii="Arial" w:cs="Arial" w:eastAsia="Arial" w:hAnsi="Arial"/>
          <w:sz w:val="18"/>
          <w:szCs w:val="18"/>
          <w:color w:val="auto"/>
        </w:rPr>
        <w:t>Other earning assets include interest-earning deposits at the Federal Reserve Bank of New York and other banks, trading account assets, federal funds - 61 -</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sold and agreements to resell securities. Those other earning assets in the aggregate averaged $5.2 billion in the recent quarter, compared with $2.8 billion and $4.3 billion in the third quarter of 2013 and the second quarter of 2014, respectively. Interest-bearing deposits at banks averaged $5.1 billion in the third quarter of 2014, compared with $2.6 billion in the year-earlier quarter and $4.1 billion in 2014’s second quarter. For the nine-month periods ended September 30, 2014 and 2013, average balances of other earning assets were $4.3 billion and $2.1 billion, respectively, including $4.1 billion and $1.9 billion, respectively, of interest-bearing deposits at banks. The higher level of average interest-bearing deposits at banks in the second and third quarters of 2014 and in the nine-month period ended September 30, 2014 as compared with the 2013 periods was due, in part, to liquidity provided through long-term borrowings from the Federal Home Loan Bank (“FHLB”) of New York and M&amp;T Bank’s Bank Note Program to meet changing regulatory liquidity requirements. The amounts of investment securities and other earning assets held by the Company are influenced by such factors as demand for loans, which generally yield more than investment securities and other earning assets, ongoing repayments, the levels of deposits, and management of balance sheet size and resulting capital ratios.</w:t>
      </w:r>
    </w:p>
    <w:p>
      <w:pPr>
        <w:spacing w:after="0" w:line="17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a result of the changes described herein, average earning assets aggregated $82.8 billion in the third quarter of 2014, compared with $74.7 billion in the year-earlier quarter and $79.6 billion in the second quarter of 2014. Average earning assets totaled $79.6 billion and $73.7 billion during the nine-month periods ended September 30, 2014 and 2013, respectively.</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Core deposits averaged $69.1 billion in the third quarter of 2014, up 8% from $64.1 billion in the year-earlier quarter and 2% higher than $67.8 billion in the second quarter of 2014. The growth in core deposits since the third quarter of 2013 was due, in part, to higher deposits of trust customers and to the lack of attractive alternative investments available to the Company’s customers resulting from lower interest rates and from the economic environment in the U.S. The low interest rate environment has resulted in a shift in customer savings trends, as average time deposits have continued to decline, while average noninterest-bearing deposits and savings deposits have generally increased. The following table summarizes quarterly changes in the components of average core deposits. For the nine-month periods ended September 30, 2014 and 2013, core deposits averaged $67.5 billion and $63.2 billion,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gridSpan w:val="4"/>
          </w:tcPr>
          <w:p>
            <w:pPr>
              <w:jc w:val="right"/>
              <w:ind w:right="540"/>
              <w:spacing w:after="0"/>
              <w:rPr>
                <w:sz w:val="20"/>
                <w:szCs w:val="20"/>
                <w:color w:val="auto"/>
              </w:rPr>
            </w:pPr>
            <w:r>
              <w:rPr>
                <w:rFonts w:ascii="Arial" w:cs="Arial" w:eastAsia="Arial" w:hAnsi="Arial"/>
                <w:sz w:val="14"/>
                <w:szCs w:val="14"/>
                <w:color w:val="auto"/>
              </w:rPr>
              <w:t>Percent increase</w:t>
            </w:r>
          </w:p>
        </w:tc>
      </w:tr>
      <w:tr>
        <w:trPr>
          <w:trHeight w:val="149"/>
        </w:trPr>
        <w:tc>
          <w:tcPr>
            <w:tcW w:w="4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20" w:type="dxa"/>
            <w:vAlign w:val="bottom"/>
            <w:gridSpan w:val="4"/>
          </w:tcPr>
          <w:p>
            <w:pPr>
              <w:jc w:val="right"/>
              <w:ind w:right="560"/>
              <w:spacing w:after="0" w:line="149" w:lineRule="exact"/>
              <w:rPr>
                <w:sz w:val="20"/>
                <w:szCs w:val="20"/>
                <w:color w:val="auto"/>
              </w:rPr>
            </w:pPr>
            <w:r>
              <w:rPr>
                <w:rFonts w:ascii="Arial" w:cs="Arial" w:eastAsia="Arial" w:hAnsi="Arial"/>
                <w:sz w:val="14"/>
                <w:szCs w:val="14"/>
                <w:color w:val="auto"/>
              </w:rPr>
              <w:t>(decrease) from</w:t>
            </w:r>
          </w:p>
        </w:tc>
      </w:tr>
      <w:tr>
        <w:trPr>
          <w:trHeight w:val="149"/>
        </w:trPr>
        <w:tc>
          <w:tcPr>
            <w:tcW w:w="4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3rd Qtr.</w:t>
            </w:r>
          </w:p>
        </w:tc>
        <w:tc>
          <w:tcPr>
            <w:tcW w:w="114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w w:val="92"/>
              </w:rPr>
              <w:t>3rd Qtr.</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0"/>
              </w:rPr>
              <w:t>2nd Qtr.</w:t>
            </w:r>
          </w:p>
        </w:tc>
      </w:tr>
      <w:tr>
        <w:trPr>
          <w:trHeight w:val="167"/>
        </w:trPr>
        <w:tc>
          <w:tcPr>
            <w:tcW w:w="434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2014</w:t>
            </w:r>
          </w:p>
        </w:tc>
        <w:tc>
          <w:tcPr>
            <w:tcW w:w="5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6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CCEEFF"/>
            </w:tcBorders>
          </w:tcPr>
          <w:p>
            <w:pPr>
              <w:spacing w:after="0"/>
              <w:rPr>
                <w:sz w:val="14"/>
                <w:szCs w:val="14"/>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Savings deposits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40,042</w:t>
            </w: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12</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2,867</w:t>
            </w: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25,127</w:t>
            </w:r>
          </w:p>
        </w:tc>
        <w:tc>
          <w:tcPr>
            <w:tcW w:w="5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r>
      <w:tr>
        <w:trPr>
          <w:trHeight w:val="27"/>
        </w:trPr>
        <w:tc>
          <w:tcPr>
            <w:tcW w:w="43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69,053</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0"/>
        </w:trPr>
        <w:tc>
          <w:tcPr>
            <w:tcW w:w="4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Additional funding sources for the Company included branch-related time deposits over $250,000, deposits associated with the Company’s Cayman Islands office, and brokered deposits. Time deposits over $250,000, excluding brokered certificates of deposit, averaged $361 million in the third quarter of 2014, compared with $333 million and $378 million in the third quarter of 2013 and the second quarter of 2014, respectively. Cayman Islands office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- 62 -</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deposits averaged $325 million, $392 million and $339 million for the three-month periods ended September 30, 2014, September 30, 2013 and June 30, 2014, respectively. Brokered time deposits averaged $229 million in the third quarter of 2013 but less than $5 million in each of the second and third quarters of 2014. The Company also had brokered NOW and brokered money-market deposit accounts, which in the aggregate averaged $1.0 billion during the recent quarter, compared with $1.2 billion and $1.1 billion during the third quarter of 2013 and the second quarter of 2014, respectively. The levels of brokered NOW and brokered money-market deposit accounts reflect the demand for such deposits, largely resulting from the desire of brokerage firms to earn reasonable yields while ensuring that customer deposits are fully insured. The level of Cayman Islands office deposits are also reflective of customer demand. Additional amounts of Cayman Island office deposits or brokered deposits may be added in the future depending on market conditions, including demand by customers and other investors for those deposits, and the cost of funds available from alternative sources at the time.</w:t>
      </w:r>
    </w:p>
    <w:p>
      <w:pPr>
        <w:spacing w:after="0" w:line="16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Company also uses borrowings from banks, securities dealers, various Federal Home Loan Banks, the Federal Reserve Bank of New York and others as sources of funding. Average short-term borrowings totaled $181 million in the recent quarter, compared with $299 million in the third quarter of 2013 and $220 million in the second quarter of 2014. Such borrowings were largely comprised of unsecured federal funds borrowings, which generally mature on the next business day.</w:t>
      </w:r>
    </w:p>
    <w:p>
      <w:pPr>
        <w:spacing w:after="0" w:line="18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Long-term borrowings averaged $8.5 billion in the recent quarter, compared with $5.0 billion in the third quarter of 2013 and $6.5 billion in the second quarter of 2014. Included in average long-term borrowings were subordinated capital notes of $1.6 billion in each of those quarters. Junior subordinated debentures associated with trust preferred securities that were included in average long-term borrowings were $834 million in each of the two most recent quarters, compared with $1.2 billion in the third quarter of 2013. Additional information regarding junior subordinated debentures is provided in note 5 of Notes to Financial Statements. During the second quarter of 2014, M&amp;T Bank borrowed approximately $1.1 billion from the FHLB of New York. Those borrowings were split between three-year and five-year terms at fixed rates of interest. Long-term borrowings from the FHLBs of New York, Atlanta and Pittsburgh averaged $1.2 billion in the recent quarter, compared with $29 million and $396 million in the third quarter of 2013 and the second quarter of 2014, respectively. Also included in long-term borrowings were agreements to repurchase securities, which averaged $1.4 billion during each of the third quarters of 2014 and 2013 and the second quarter of 2014. The agreements have various repurchase dates through 2017, however, the contractual maturities of the underlying securities extend beyond such repurchase dates. During the first quarter of 2013, M&amp;T Bank initiated a Bank Note Program whereby M&amp;T Bank may offer up to $5 billion of unsecured senior and subordinated notes. During March 2013, three-year floating rate senior notes due March 2016 were issued for $300 million and five-year 1.45% fixed rate senior notes due March 2018 were issued for $500 million. In January 2014, M&amp;T Bank issued $1.5 billion of senior notes as follows: $250 million of three-year floating rate notes due January 2017; $500 million of three-year 1.25% fixed rate notes due January 2017; and $750 million of five-year 2.30% fixed rate notes due January 2019. During July 2014, M&amp;T Bank issued an additional $1.7 billion of senior notes as follows: $300 million of three-year floating rate notes due in 2017; $750 million of three-year 1.40% fixed rate notes due in 2017; and $650 million of five-year 2.25% fixed rate notes due in 2019. The proceeds of the issuances have been predominantly utilized to purchase additional liquid investments that will meet the regulatory liquidity requirements. The Company has utilized interest rate swap agreements to modify the repricing characteristics of certain components of long-term debt. As of September 30, 2014, interest</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- 63 -</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rate swap agreements were used to hedge approximately $1.4 billion of outstanding fixed rate long-term borrowings. During the second quarter of 2014, the Company had entered into forward-starting interest rate swap agreements to hedge the variability in the interest payments anticipated to be made upon the future issuance of $300 million of the senior notes. Those forward-starting interest rate swaps were terminated upon the issuance of such notes in July 2014. Further information on interest rate swap agreements is provided in note 10 of Notes to Financial Statements.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3.05% in the third quarter of 2014, compared with 3.40% in the third quarter of 2013 and 3.22% in the second quarter of 2014. The yield on earning assets during the recent quarter was 3.59%, down 39 basis points from 3.98% in the year-earlier quarter, while the rate paid on interest-bearing liabilities declined 4 basis points to .54% from .58% in the third quarter of 2013. In the second quarter of 2014, the yield on earning assets was 3.73% and the rate paid on interest-bearing liabilities was .51%. For the first nine months of 2014, the net interest spread was 3.19%, down 27 basis points from the year-earlier period. The yield on earning assets and the rate paid on interest-bearing liabilities for the nine-month period ended September 30, 2014 were 3.72% and .53%, respectively, compared with 4.07% and .61%, respectively, in the first nine months of 2013.</w:t>
      </w:r>
    </w:p>
    <w:p>
      <w:pPr>
        <w:spacing w:after="0" w:line="16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$28.4 billion in the recent quarter, compared with $27.1 billion in the third quarter of 2013 and $28.6 billion in the second quarter of 2014. The increase in average net interest-free funds in the recent quarter as compared with the third quarter of 2013 was predominantly the result of higher average balances of noninterest-bearing deposits. Such deposits averaged $25.1 billion, $24.0 billion and $25.5 billion in the quarters ended September 30, 2014, September 30, 2013 and June 30, 2014, respectively. During the first nine months of 2014 and 2013, average net interest-free funds were $28.0 billion and $26.4 billion, respectively. That increase was also reflective of higher average balances of noninterest-bearing deposits. Goodwill and core deposit and other intangible assets averaged $3.6 billion during each of the quarters ended September 30, 2014, September 30, 2013 and June 30, 2014. The cash surrender value of bank owned life insurance averaged $1.7 billion in each of the two most recent quarters and $1.6 billion in the third quarter of 2013. Increases in the cash surrender value of bank owned life insurance and benefits received are not included in interest income, but rather are recorded in “other revenues from operations.” The contribution of net interest-free funds to net interest margin was .18% in each of the two recent quarters, compared with .21% in the third quarter of 2013. That contribution for the first nine months of 2014 and 2013 was .19% and .22%, respectively.</w:t>
      </w:r>
    </w:p>
    <w:p>
      <w:pPr>
        <w:spacing w:after="0" w:line="16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Reflecting the changes to the net interest spread and the contribution of interest-free funds as described herein, the Company’s net interest margin was 3.23% in the recent quarter, compared with 3.61% in the third quarter of 2013 and 3.40% in the second quarter of 2014. During the nine-month periods ended September 30, 2014 and 2013, the net interest margin was 3.38% and 3.68%, respectively.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 In particular, the relatively low interest rate environment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- 64 -</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continues to exert downward pressure on yields on loans, investment securities and other earning assets.</w:t>
      </w:r>
    </w:p>
    <w:p>
      <w:pPr>
        <w:spacing w:after="0" w:line="225"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the rates paid on interest-bearing liabilities. The notional amount of interest rate swap agreements entered into for interest rate risk management purposes was $1.4 billion at each of September 30, 2014, September 30, 2013 and December 31, 2013, compared with $1.7 billion at June 30, 2014. Under the terms of the $1.4 billion of swap agreements that are designated as fair value hedges of certain fixed rate long-term borrowings, the Company received payments based on the outstanding notional amount at fixed rates and made payments at variable rates. Under the terms of the additional $300 million of swap agreements outstanding at June 30, 2014 that were designated as cash flow hedges related to the forecasted issuance of senior note borrowings in July 2014, the Company was to pay a fixed rate of interest and receive a variable rate. Those forward-starting interest rate swap agreements were terminated upon issuance of the senior note borrowings in July 2014.</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 fair value hedge, the fair value of the derivative (the interest rate swap agreement) and changes in the fair value of the hedged item are recorded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consolidated balance sheet with the corresponding gain or loss recognized in current earnings. The difference between changes in the fair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of the interest rate swap agreements and the hedged items represents hedge ineffectiveness and is recorded in “other revenues from operations”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Company’s consolidated statement of income. In a cash flow hedge, unlike in a fair value hedge, the effective portion of the derivative’s gain or loss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initially reported as a component of other comprehensive income and subsequently reclassified into earnings when the forecasted transaction affects earnings.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ineffective portion of the gain or loss is reported in “other revenues from operations” immediately. The amounts of hedge ineffectiveness recognized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quarters ended September 30, 2014 and 2013 and the quarter ended June 30, 2014 were not material to the Company’s results of operations.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estimated aggregate fair value of interest rate swap agreements designated as fair value hedges represented gains of approximately $76 million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2014, $114 million at September 30, 2013, $93 million at June 30, 2014 and $103 million at December 31, 2013. The fair values of such swap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agreements were substantially offset by changes in the fair values of the hedged items. The changes in the fair values of the interest rate swap agreements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hedged items primarily result from the effects of changing interest rates and spreads. The Company’s credit exposure as of September 30, 2014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 to the estimated fair value of interest rate swap agreements used for managing interest rate risk has been substantially mitigated through master netting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arrangements with trading account interest rate contracts with the same counterparty as well as counterparty postings of $74 million of collateral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weighted-average rates to be received and paid under interest rate swap agreements currently in effect were 4.42% and 1.19%, respectively, at September 30, 2014. 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10 of Notes to Financial Statements.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color w:val="auto"/>
                <w:w w:val="89"/>
              </w:rPr>
              <w:t>Three months ended September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2014</w:t>
            </w:r>
          </w:p>
        </w:tc>
        <w:tc>
          <w:tcPr>
            <w:tcW w:w="2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80"/>
              <w:spacing w:after="0" w:line="142" w:lineRule="exact"/>
              <w:rPr>
                <w:sz w:val="20"/>
                <w:szCs w:val="20"/>
                <w:color w:val="auto"/>
              </w:rPr>
            </w:pPr>
            <w:r>
              <w:rPr>
                <w:rFonts w:ascii="Arial" w:cs="Arial" w:eastAsia="Arial" w:hAnsi="Arial"/>
                <w:sz w:val="14"/>
                <w:szCs w:val="14"/>
                <w:color w:val="auto"/>
              </w:rPr>
              <w:t>Amount</w:t>
            </w:r>
          </w:p>
        </w:tc>
        <w:tc>
          <w:tcPr>
            <w:tcW w:w="260" w:type="dxa"/>
            <w:vAlign w:val="bottom"/>
          </w:tcPr>
          <w:p>
            <w:pPr>
              <w:spacing w:after="0"/>
              <w:rPr>
                <w:sz w:val="12"/>
                <w:szCs w:val="12"/>
                <w:color w:val="auto"/>
              </w:rPr>
            </w:pPr>
          </w:p>
        </w:tc>
        <w:tc>
          <w:tcPr>
            <w:tcW w:w="460" w:type="dxa"/>
            <w:vAlign w:val="bottom"/>
          </w:tcPr>
          <w:p>
            <w:pPr>
              <w:spacing w:after="0" w:line="142" w:lineRule="exact"/>
              <w:rPr>
                <w:sz w:val="20"/>
                <w:szCs w:val="20"/>
                <w:color w:val="auto"/>
              </w:rPr>
            </w:pPr>
            <w:r>
              <w:rPr>
                <w:rFonts w:ascii="Arial" w:cs="Arial" w:eastAsia="Arial" w:hAnsi="Arial"/>
                <w:sz w:val="14"/>
                <w:szCs w:val="14"/>
                <w:color w:val="auto"/>
                <w:w w:val="86"/>
              </w:rPr>
              <w:t>Rate (a)</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620"/>
              <w:spacing w:after="0" w:line="142" w:lineRule="exact"/>
              <w:rPr>
                <w:sz w:val="20"/>
                <w:szCs w:val="20"/>
                <w:color w:val="auto"/>
              </w:rPr>
            </w:pPr>
            <w:r>
              <w:rPr>
                <w:rFonts w:ascii="Arial" w:cs="Arial" w:eastAsia="Arial" w:hAnsi="Arial"/>
                <w:sz w:val="14"/>
                <w:szCs w:val="14"/>
                <w:color w:val="auto"/>
              </w:rPr>
              <w:t>Amount</w:t>
            </w:r>
          </w:p>
        </w:tc>
        <w:tc>
          <w:tcPr>
            <w:tcW w:w="480" w:type="dxa"/>
            <w:vAlign w:val="bottom"/>
          </w:tcPr>
          <w:p>
            <w:pPr>
              <w:ind w:left="20"/>
              <w:spacing w:after="0" w:line="142" w:lineRule="exact"/>
              <w:rPr>
                <w:sz w:val="20"/>
                <w:szCs w:val="20"/>
                <w:color w:val="auto"/>
              </w:rPr>
            </w:pPr>
            <w:r>
              <w:rPr>
                <w:rFonts w:ascii="Arial" w:cs="Arial" w:eastAsia="Arial" w:hAnsi="Arial"/>
                <w:sz w:val="14"/>
                <w:szCs w:val="14"/>
                <w:color w:val="auto"/>
                <w:w w:val="86"/>
              </w:rPr>
              <w:t>Rate (a)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(decrease) in:</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(11,227)</w:t>
            </w: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(11,088)</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color w:val="auto"/>
              </w:rPr>
              <w:t>Net interest income/margin</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11,227</w:t>
            </w:r>
          </w:p>
        </w:tc>
        <w:tc>
          <w:tcPr>
            <w:tcW w:w="200" w:type="dxa"/>
            <w:vAlign w:val="bottom"/>
          </w:tcPr>
          <w:p>
            <w:pPr>
              <w:spacing w:after="0"/>
              <w:rPr>
                <w:sz w:val="19"/>
                <w:szCs w:val="19"/>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4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1,547,826</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1,400,000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Rate received (b)</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3"/>
            <w:vMerge w:val="restart"/>
          </w:tcPr>
          <w:p>
            <w:pPr>
              <w:jc w:val="right"/>
              <w:ind w:right="400"/>
              <w:spacing w:after="0"/>
              <w:rPr>
                <w:sz w:val="20"/>
                <w:szCs w:val="20"/>
                <w:color w:val="auto"/>
              </w:rPr>
            </w:pPr>
            <w:r>
              <w:rPr>
                <w:rFonts w:ascii="Arial" w:cs="Arial" w:eastAsia="Arial" w:hAnsi="Arial"/>
                <w:sz w:val="18"/>
                <w:szCs w:val="18"/>
                <w:color w:val="auto"/>
              </w:rPr>
              <w:t>4.00%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Rate paid (b)</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color w:val="auto"/>
                <w:w w:val="91"/>
              </w:rPr>
              <w:t>Nine months ended September 30</w:t>
            </w:r>
          </w:p>
        </w:tc>
        <w:tc>
          <w:tcPr>
            <w:tcW w:w="4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2014</w:t>
            </w:r>
          </w:p>
        </w:tc>
        <w:tc>
          <w:tcPr>
            <w:tcW w:w="2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80"/>
              <w:spacing w:after="0" w:line="142" w:lineRule="exact"/>
              <w:rPr>
                <w:sz w:val="20"/>
                <w:szCs w:val="20"/>
                <w:color w:val="auto"/>
              </w:rPr>
            </w:pPr>
            <w:r>
              <w:rPr>
                <w:rFonts w:ascii="Arial" w:cs="Arial" w:eastAsia="Arial" w:hAnsi="Arial"/>
                <w:sz w:val="14"/>
                <w:szCs w:val="14"/>
                <w:color w:val="auto"/>
              </w:rPr>
              <w:t>Amount</w:t>
            </w:r>
          </w:p>
        </w:tc>
        <w:tc>
          <w:tcPr>
            <w:tcW w:w="260" w:type="dxa"/>
            <w:vAlign w:val="bottom"/>
          </w:tcPr>
          <w:p>
            <w:pPr>
              <w:spacing w:after="0"/>
              <w:rPr>
                <w:sz w:val="12"/>
                <w:szCs w:val="12"/>
                <w:color w:val="auto"/>
              </w:rPr>
            </w:pPr>
          </w:p>
        </w:tc>
        <w:tc>
          <w:tcPr>
            <w:tcW w:w="460" w:type="dxa"/>
            <w:vAlign w:val="bottom"/>
          </w:tcPr>
          <w:p>
            <w:pPr>
              <w:spacing w:after="0" w:line="142" w:lineRule="exact"/>
              <w:rPr>
                <w:sz w:val="20"/>
                <w:szCs w:val="20"/>
                <w:color w:val="auto"/>
              </w:rPr>
            </w:pPr>
            <w:r>
              <w:rPr>
                <w:rFonts w:ascii="Arial" w:cs="Arial" w:eastAsia="Arial" w:hAnsi="Arial"/>
                <w:sz w:val="14"/>
                <w:szCs w:val="14"/>
                <w:color w:val="auto"/>
                <w:w w:val="86"/>
              </w:rPr>
              <w:t>Rate (a)</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620"/>
              <w:spacing w:after="0" w:line="142" w:lineRule="exact"/>
              <w:rPr>
                <w:sz w:val="20"/>
                <w:szCs w:val="20"/>
                <w:color w:val="auto"/>
              </w:rPr>
            </w:pPr>
            <w:r>
              <w:rPr>
                <w:rFonts w:ascii="Arial" w:cs="Arial" w:eastAsia="Arial" w:hAnsi="Arial"/>
                <w:sz w:val="14"/>
                <w:szCs w:val="14"/>
                <w:color w:val="auto"/>
              </w:rPr>
              <w:t>Amount</w:t>
            </w:r>
          </w:p>
        </w:tc>
        <w:tc>
          <w:tcPr>
            <w:tcW w:w="480" w:type="dxa"/>
            <w:vAlign w:val="bottom"/>
          </w:tcPr>
          <w:p>
            <w:pPr>
              <w:ind w:left="20"/>
              <w:spacing w:after="0" w:line="142" w:lineRule="exact"/>
              <w:rPr>
                <w:sz w:val="20"/>
                <w:szCs w:val="20"/>
                <w:color w:val="auto"/>
              </w:rPr>
            </w:pPr>
            <w:r>
              <w:rPr>
                <w:rFonts w:ascii="Arial" w:cs="Arial" w:eastAsia="Arial" w:hAnsi="Arial"/>
                <w:sz w:val="14"/>
                <w:szCs w:val="14"/>
                <w:color w:val="auto"/>
                <w:w w:val="86"/>
              </w:rPr>
              <w:t>Rate (a)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(decrease) in:</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(33,783)</w:t>
            </w: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(30,180)</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color w:val="auto"/>
              </w:rPr>
              <w:t>Net interest income/margin</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33,783</w:t>
            </w:r>
          </w:p>
        </w:tc>
        <w:tc>
          <w:tcPr>
            <w:tcW w:w="200" w:type="dxa"/>
            <w:vAlign w:val="bottom"/>
          </w:tcPr>
          <w:p>
            <w:pPr>
              <w:spacing w:after="0"/>
              <w:rPr>
                <w:sz w:val="19"/>
                <w:szCs w:val="19"/>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30,180</w:t>
            </w:r>
          </w:p>
        </w:tc>
        <w:tc>
          <w:tcPr>
            <w:tcW w:w="4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1,457,143</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1,079,487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Rate received (b)</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3"/>
            <w:vMerge w:val="restart"/>
          </w:tcPr>
          <w:p>
            <w:pPr>
              <w:jc w:val="right"/>
              <w:ind w:right="400"/>
              <w:spacing w:after="0"/>
              <w:rPr>
                <w:sz w:val="20"/>
                <w:szCs w:val="20"/>
                <w:color w:val="auto"/>
              </w:rPr>
            </w:pPr>
            <w:r>
              <w:rPr>
                <w:rFonts w:ascii="Arial" w:cs="Arial" w:eastAsia="Arial" w:hAnsi="Arial"/>
                <w:sz w:val="18"/>
                <w:szCs w:val="18"/>
                <w:color w:val="auto"/>
              </w:rPr>
              <w:t>4.25%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Rate paid (b)</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21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M&amp;T’s banking subsidiaries have access to additional funding sources through borrowings from the FHLB of New York, lines of credit with the Federal Reserve Bank of New York, the previously noted Bank Note Program, and other available borrowing facilities. The Company has, from time to time, issued subordinated capital notes to provide liquidity and enhance regulatory capital ratios. Such notes generally qualify for inclusion in the Company’s capital. However, pursuant to the Dodd-Frank Act, the Company’s junior subordinated debentures associated with trust preferred securities will be phased-out of the definition of Tier 1 capital. Effective January 1, 2015, 75% of such securities will be excluded from the Company’s Tier 1 capital, and beginning January 1, 2016, 100% will be excluded. The amounts excluded from Tier 1 capital will be includable in total capital.</w:t>
      </w:r>
    </w:p>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has informal and sometimes reciprocal sources of funding available through various arrangements for unsecured short-term borrowings from a wide group of banks and other financial institutions. Short-term federal funds borrowings totaled $114 million, $158 million and $169 million at September 30, 2014, September 30, 2013 and December 31, 2013, respectively. In general, those borrowings were unsecured and matured on the next business day. In addition to satisfying customer demand, Cayman Islands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- 66 -</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office deposits may be used by the Company as an alternative to short-term borrowings. Cayman Islands office deposits totaled $242 million at September 30, 2014, $317 million at September 30, 2013 and $323 million at December 31, 2013. The Company has brokered NOW and brokered money-market deposit accounts which aggregated $1.0 billion at each of September 30, 2014 and December 31, 2013 and $1.2 billion at September 30, 2013. Brokered time deposits were not a significant source of funding as of those dates.</w:t>
      </w:r>
    </w:p>
    <w:p>
      <w:pPr>
        <w:spacing w:after="0" w:line="18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6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account assets in the Company’s consolidated balance sheet. Nevertheless, M&amp;T Bank is not contractually obligated to purchase the VRDBs. The value of VRDBs in the Company’s trading account totaled $2 million and $14 million at September 30, 2014 and 2013, respectively, and $25 million at December 31, 2013. The total amount of VRDBs outstanding backed by M&amp;T Bank letters of credit was $1.7 billion at each of September 30, 2014 and December 31, 2013, and $1.8 billion at September 30, 2013. M&amp;T Bank also serves as remarketing agent for most of those bonds.</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Company enters into contractual obligations in the normal course of business which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15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that test, at September 30, 2014 approximately $1.3 billion was available for payment of dividends to M&amp;T from banking subsidiaries. These historic sources of cash flow have been augmented in the past by the issuance of trust preferred securities and senior notes payable. Information regarding trust preferred securities and the related junior subordinated debentures is included in note 5 of Notes to Financial Statements.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 Banking regulators have finalized rules requiring a banking company to maintain a minimum amount of liquid assets to withstand a standardized supervisory liquidity stress scenario. The effective date of those rules for the Company is January 1, 2016, subject to a two year phase-in period. The Company has taken steps as noted herein to enhance its liquidity and will take further action, as necessary, to comply with the regulations when they take effect.</w:t>
      </w:r>
    </w:p>
    <w:p>
      <w:pPr>
        <w:spacing w:after="0" w:line="18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Market risk is the risk of loss from adverse changes in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169"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 Company’s Asset-Liability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accompanying table as of September 30, 2014 and December 31, 2013 displays the estimated impact on net interest income from non-trading financial instruments in the base scenario described above resulting from parallel changes in interest rates across repricing categories during the first modeling year.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SENSITIVITY OF NET INTEREST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5"/>
          </w:tcPr>
          <w:p>
            <w:pPr>
              <w:jc w:val="right"/>
              <w:ind w:right="800"/>
              <w:spacing w:after="0"/>
              <w:rPr>
                <w:sz w:val="20"/>
                <w:szCs w:val="20"/>
                <w:color w:val="auto"/>
              </w:rPr>
            </w:pPr>
            <w:r>
              <w:rPr>
                <w:rFonts w:ascii="Arial" w:cs="Arial" w:eastAsia="Arial" w:hAnsi="Arial"/>
                <w:sz w:val="14"/>
                <w:szCs w:val="14"/>
                <w:color w:val="auto"/>
              </w:rPr>
              <w:t>Calculated increase (decrease)</w:t>
            </w:r>
          </w:p>
        </w:tc>
        <w:tc>
          <w:tcPr>
            <w:tcW w:w="0" w:type="dxa"/>
            <w:vAlign w:val="bottom"/>
          </w:tcPr>
          <w:p>
            <w:pPr>
              <w:spacing w:after="0"/>
              <w:rPr>
                <w:sz w:val="1"/>
                <w:szCs w:val="1"/>
                <w:color w:val="auto"/>
              </w:rPr>
            </w:pPr>
          </w:p>
        </w:tc>
      </w:tr>
      <w:tr>
        <w:trPr>
          <w:trHeight w:val="176"/>
        </w:trPr>
        <w:tc>
          <w:tcPr>
            <w:tcW w:w="1420" w:type="dxa"/>
            <w:vAlign w:val="bottom"/>
            <w:vMerge w:val="restart"/>
          </w:tcPr>
          <w:p>
            <w:pPr>
              <w:spacing w:after="0"/>
              <w:rPr>
                <w:sz w:val="20"/>
                <w:szCs w:val="20"/>
                <w:color w:val="auto"/>
              </w:rPr>
            </w:pPr>
            <w:r>
              <w:rPr>
                <w:rFonts w:ascii="Arial" w:cs="Arial" w:eastAsia="Arial" w:hAnsi="Arial"/>
                <w:sz w:val="14"/>
                <w:szCs w:val="14"/>
                <w:color w:val="auto"/>
                <w:w w:val="89"/>
              </w:rPr>
              <w:t>Changes in interest rates</w:t>
            </w:r>
          </w:p>
        </w:tc>
        <w:tc>
          <w:tcPr>
            <w:tcW w:w="4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20" w:type="dxa"/>
            <w:vAlign w:val="bottom"/>
            <w:gridSpan w:val="5"/>
          </w:tcPr>
          <w:p>
            <w:pPr>
              <w:jc w:val="right"/>
              <w:ind w:right="760"/>
              <w:spacing w:after="0"/>
              <w:rPr>
                <w:sz w:val="20"/>
                <w:szCs w:val="20"/>
                <w:color w:val="auto"/>
              </w:rPr>
            </w:pPr>
            <w:r>
              <w:rPr>
                <w:rFonts w:ascii="Arial" w:cs="Arial" w:eastAsia="Arial" w:hAnsi="Arial"/>
                <w:sz w:val="14"/>
                <w:szCs w:val="14"/>
                <w:color w:val="auto"/>
              </w:rPr>
              <w:t>in projected net interest income</w:t>
            </w:r>
          </w:p>
        </w:tc>
        <w:tc>
          <w:tcPr>
            <w:tcW w:w="0" w:type="dxa"/>
            <w:vAlign w:val="bottom"/>
          </w:tcPr>
          <w:p>
            <w:pPr>
              <w:spacing w:after="0"/>
              <w:rPr>
                <w:sz w:val="1"/>
                <w:szCs w:val="1"/>
                <w:color w:val="auto"/>
              </w:rPr>
            </w:pPr>
          </w:p>
        </w:tc>
      </w:tr>
      <w:tr>
        <w:trPr>
          <w:trHeight w:val="167"/>
        </w:trPr>
        <w:tc>
          <w:tcPr>
            <w:tcW w:w="1420" w:type="dxa"/>
            <w:vAlign w:val="bottom"/>
            <w:vMerge w:val="continue"/>
          </w:tcPr>
          <w:p>
            <w:pPr>
              <w:spacing w:after="0"/>
              <w:rPr>
                <w:sz w:val="14"/>
                <w:szCs w:val="14"/>
                <w:color w:val="auto"/>
              </w:rPr>
            </w:pPr>
          </w:p>
        </w:tc>
        <w:tc>
          <w:tcPr>
            <w:tcW w:w="5640" w:type="dxa"/>
            <w:vAlign w:val="bottom"/>
            <w:gridSpan w:val="4"/>
          </w:tcPr>
          <w:p>
            <w:pPr>
              <w:ind w:left="4040"/>
              <w:spacing w:after="0"/>
              <w:rPr>
                <w:sz w:val="20"/>
                <w:szCs w:val="20"/>
                <w:color w:val="auto"/>
              </w:rPr>
            </w:pPr>
            <w:r>
              <w:rPr>
                <w:rFonts w:ascii="Arial" w:cs="Arial" w:eastAsia="Arial" w:hAnsi="Arial"/>
                <w:sz w:val="14"/>
                <w:szCs w:val="14"/>
                <w:color w:val="auto"/>
              </w:rPr>
              <w:t>September 30, 2014</w:t>
            </w:r>
          </w:p>
        </w:tc>
        <w:tc>
          <w:tcPr>
            <w:tcW w:w="1620" w:type="dxa"/>
            <w:vAlign w:val="bottom"/>
            <w:gridSpan w:val="3"/>
          </w:tcPr>
          <w:p>
            <w:pPr>
              <w:jc w:val="right"/>
              <w:ind w:right="120"/>
              <w:spacing w:after="0"/>
              <w:rPr>
                <w:sz w:val="20"/>
                <w:szCs w:val="20"/>
                <w:color w:val="auto"/>
              </w:rPr>
            </w:pPr>
            <w:r>
              <w:rPr>
                <w:rFonts w:ascii="Arial" w:cs="Arial" w:eastAsia="Arial" w:hAnsi="Arial"/>
                <w:sz w:val="14"/>
                <w:szCs w:val="14"/>
                <w:color w:val="auto"/>
              </w:rPr>
              <w:t>December 31, 2013</w:t>
            </w:r>
          </w:p>
        </w:tc>
        <w:tc>
          <w:tcPr>
            <w:tcW w:w="0" w:type="dxa"/>
            <w:vAlign w:val="bottom"/>
          </w:tcPr>
          <w:p>
            <w:pPr>
              <w:spacing w:after="0"/>
              <w:rPr>
                <w:sz w:val="1"/>
                <w:szCs w:val="1"/>
                <w:color w:val="auto"/>
              </w:rPr>
            </w:pPr>
          </w:p>
        </w:tc>
      </w:tr>
      <w:tr>
        <w:trPr>
          <w:trHeight w:val="210"/>
        </w:trPr>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+200 basis points</w:t>
            </w:r>
          </w:p>
        </w:tc>
        <w:tc>
          <w:tcPr>
            <w:tcW w:w="40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256,644</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245,089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w w:val="99"/>
              </w:rPr>
              <w:t>+100 basis points</w:t>
            </w:r>
          </w:p>
        </w:tc>
        <w:tc>
          <w:tcPr>
            <w:tcW w:w="4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141,087</w:t>
            </w:r>
          </w:p>
        </w:tc>
        <w:tc>
          <w:tcPr>
            <w:tcW w:w="4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134,188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w w:val="99"/>
              </w:rPr>
              <w:t>–100 basis points</w:t>
            </w:r>
          </w:p>
        </w:tc>
        <w:tc>
          <w:tcPr>
            <w:tcW w:w="4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(97,979)</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(72,755)</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w w:val="99"/>
              </w:rPr>
              <w:t>–200 basis points</w:t>
            </w:r>
          </w:p>
        </w:tc>
        <w:tc>
          <w:tcPr>
            <w:tcW w:w="4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(128,736)</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(100,543)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account purposes, loan and deposit volumes and pricing, and deposit maturities. In the scenarios presented, the Company also assumed gradual changes in interest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w:t>
      </w:r>
    </w:p>
    <w:p>
      <w:pPr>
        <w:spacing w:after="0" w:line="167"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investment securities is presented herein under the heading “Capital” and in notes 3 and 12 of Notes to Financial Statements.</w:t>
      </w:r>
    </w:p>
    <w:p>
      <w:pPr>
        <w:spacing w:after="0" w:line="16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Company engages in trading account activities to meet the financial needs of customers and to fund the Company’s obligations under certain deferred compensation plans. Financial instruments utilized in trading account activities consist predominantly of interest rate contracts, such as swap agreements, and forward and futures contracts related to foreign currencies. The Company generally mitigates the foreign currency and interest rate risk associated with trading account activities by entering into offsetting positions that are also included in the trading account. The fair values of the offsetting positions associated with interest rate contracts and foreign currency and other option and futures contracts are presented in note 10 of Notes to Financial Statements. The amounts of gross and net positions, as well as the type of trading account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account activities.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notional amounts of interest rate contracts entered into for trading account purposes aggregated $17.2 billion at September 30, 2014, compared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with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$15.9 billion at September 30, 2013 and $17.4 billion at December 31, 2013. The notional amounts of foreign currency and other option and futures contracts entered into for trading account purposes totaled $1.0 billion, $904 million and $1.4 billion at September 30, 2014, September 30, 2013 and December 31, 2013, respectively. Although the notional amounts of these contracts are not recorded in the consolidated balance sheet, the fair values of all financial instruments used for trading account activities are recorded in the consolidated balance sheet. The fair values of all trading account assets and liabilities totaled $297 million and $182 million, respectively, at September 30, 2014, $371 million and $261 million, respectively, at September 30, 2013, and $376 million and $250 million, respectively, at December 31, 2013. Included in trading account assets at September 30, 2014 were assets related to deferred compensation plans totaling $26 million, compared with $27 million at September 30, 2013 and $29 million at December 31, 2013. Changes in the fair value of such assets are recorded as “trading account and foreign exchange gains” in the consolidated statement of income. Included in “other liabilities” in the consolidated balance sheet at each of September 30, 2014 and 2013 were $30 million of liabilities related to deferred compensation plans, compared with $31 million at December 31, 2013. Changes in the balances of such liabilities due to the valuation of allocated investment options to which the liabilities are indexed are recorded in “other costs of operations” in the consolidated statement of income.</w:t>
      </w:r>
    </w:p>
    <w:p>
      <w:pPr>
        <w:spacing w:after="0" w:line="1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account activities was not material, however, as previously noted, the Company is exposed to credit risk associated with counterparties to transactions related to the Company’s trading account activities. Additional information about the Company’s use of derivative financial instruments in its trading account activities is included in note 10 of Notes to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12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in the third quarter of 2014 was $29 million, compared with $48 million in the year-earlier quarter and $30 million in the second quarter of 2014. For the nine-month periods ended September 30, 2014 and 2013, the provision for credit losses was $91 million and $143 million, respectively. Net loan charge-offs were $28 million in the recent quarter, down from $48 million in the third quarter of 2013 and $29 million in the second quarter of 2014. Net charge-offs as an annualized percentage of average loans and leases were .17% in the third quarter of 2014, compared with .29% and .18% in the third quarter of 2013 and the second quarter of 2014, respectively. Net charge-offs for the nine-month periods ended September 30 aggregated $89 million in 2014 and $141 million in 2013, representing annualized rates of .19% and .29%, respectively, of average loans and leases. A summary of net charge–offs by loan type is presented in the table that follows.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- 70 -</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NET CHARGE-OFFS (RECOVERIES)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2014</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7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62"/>
              <w:spacing w:after="0" w:line="123" w:lineRule="exact"/>
              <w:rPr>
                <w:sz w:val="20"/>
                <w:szCs w:val="20"/>
                <w:color w:val="auto"/>
              </w:rPr>
            </w:pPr>
            <w:r>
              <w:rPr>
                <w:rFonts w:ascii="Arial" w:cs="Arial" w:eastAsia="Arial" w:hAnsi="Arial"/>
                <w:sz w:val="14"/>
                <w:szCs w:val="14"/>
                <w:color w:val="auto"/>
              </w:rPr>
              <w:t>Year</w:t>
            </w:r>
          </w:p>
        </w:tc>
        <w:tc>
          <w:tcPr>
            <w:tcW w:w="100" w:type="dxa"/>
            <w:vAlign w:val="bottom"/>
          </w:tcPr>
          <w:p>
            <w:pPr>
              <w:spacing w:after="0"/>
              <w:rPr>
                <w:sz w:val="10"/>
                <w:szCs w:val="10"/>
                <w:color w:val="auto"/>
              </w:rPr>
            </w:pPr>
          </w:p>
        </w:tc>
      </w:tr>
      <w:tr>
        <w:trPr>
          <w:trHeight w:val="167"/>
        </w:trPr>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4"/>
                <w:szCs w:val="14"/>
                <w:color w:val="auto"/>
              </w:rPr>
              <w:t>1st Qtr.</w:t>
            </w:r>
          </w:p>
        </w:tc>
        <w:tc>
          <w:tcPr>
            <w:tcW w:w="120" w:type="dxa"/>
            <w:vAlign w:val="bottom"/>
          </w:tcPr>
          <w:p>
            <w:pPr>
              <w:spacing w:after="0"/>
              <w:rPr>
                <w:sz w:val="14"/>
                <w:szCs w:val="14"/>
                <w:color w:val="auto"/>
              </w:rPr>
            </w:pPr>
          </w:p>
        </w:tc>
        <w:tc>
          <w:tcPr>
            <w:tcW w:w="780" w:type="dxa"/>
            <w:vAlign w:val="bottom"/>
            <w:gridSpan w:val="4"/>
          </w:tcPr>
          <w:p>
            <w:pPr>
              <w:jc w:val="right"/>
              <w:ind w:right="280"/>
              <w:spacing w:after="0"/>
              <w:rPr>
                <w:sz w:val="20"/>
                <w:szCs w:val="20"/>
                <w:color w:val="auto"/>
              </w:rPr>
            </w:pPr>
            <w:r>
              <w:rPr>
                <w:rFonts w:ascii="Arial" w:cs="Arial" w:eastAsia="Arial" w:hAnsi="Arial"/>
                <w:sz w:val="14"/>
                <w:szCs w:val="14"/>
                <w:color w:val="auto"/>
                <w:w w:val="94"/>
              </w:rPr>
              <w:t>2nd Qtr.</w:t>
            </w:r>
          </w:p>
        </w:tc>
        <w:tc>
          <w:tcPr>
            <w:tcW w:w="6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color w:val="auto"/>
              </w:rPr>
              <w:t>3rd Qtr.</w:t>
            </w:r>
          </w:p>
        </w:tc>
        <w:tc>
          <w:tcPr>
            <w:tcW w:w="1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to-date</w:t>
            </w:r>
          </w:p>
        </w:tc>
      </w:tr>
      <w:tr>
        <w:trPr>
          <w:trHeight w:val="210"/>
        </w:trPr>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6"/>
              </w:rPr>
              <w:t>$ 9,146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10,140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8,072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27,358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88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289</w:t>
            </w: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1,322</w:t>
            </w:r>
          </w:p>
        </w:tc>
        <w:tc>
          <w:tcPr>
            <w:tcW w:w="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399</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2,010</w:t>
            </w: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880" w:type="dxa"/>
            <w:vAlign w:val="bottom"/>
            <w:gridSpan w:val="6"/>
          </w:tcPr>
          <w:p>
            <w:pPr>
              <w:jc w:val="right"/>
              <w:ind w:right="180"/>
              <w:spacing w:after="0"/>
              <w:rPr>
                <w:sz w:val="20"/>
                <w:szCs w:val="20"/>
                <w:color w:val="auto"/>
              </w:rPr>
            </w:pPr>
            <w:r>
              <w:rPr>
                <w:rFonts w:ascii="Arial" w:cs="Arial" w:eastAsia="Arial" w:hAnsi="Arial"/>
                <w:sz w:val="18"/>
                <w:szCs w:val="18"/>
                <w:color w:val="auto"/>
              </w:rPr>
              <w:t>5,822</w:t>
            </w: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rPr>
              <w:t>2,701</w:t>
            </w:r>
          </w:p>
        </w:tc>
        <w:tc>
          <w:tcPr>
            <w:tcW w:w="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1,695</w:t>
            </w:r>
          </w:p>
        </w:tc>
        <w:tc>
          <w:tcPr>
            <w:tcW w:w="2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10,218</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88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16,651</w:t>
            </w: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14,939</w:t>
            </w:r>
          </w:p>
        </w:tc>
        <w:tc>
          <w:tcPr>
            <w:tcW w:w="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17,867</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49,457</w:t>
            </w:r>
          </w:p>
        </w:tc>
      </w:tr>
      <w:tr>
        <w:trPr>
          <w:trHeight w:val="223"/>
        </w:trPr>
        <w:tc>
          <w:tcPr>
            <w:tcW w:w="7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31,908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29,102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28,033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89,043</w:t>
            </w:r>
          </w:p>
        </w:tc>
        <w:tc>
          <w:tcPr>
            <w:tcW w:w="10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7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color w:val="auto"/>
              </w:rPr>
              <w:t>2013</w:t>
            </w: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7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102"/>
              <w:spacing w:after="0" w:line="123" w:lineRule="exact"/>
              <w:rPr>
                <w:sz w:val="20"/>
                <w:szCs w:val="20"/>
                <w:color w:val="auto"/>
              </w:rPr>
            </w:pPr>
            <w:r>
              <w:rPr>
                <w:rFonts w:ascii="Arial" w:cs="Arial" w:eastAsia="Arial" w:hAnsi="Arial"/>
                <w:sz w:val="14"/>
                <w:szCs w:val="14"/>
                <w:color w:val="auto"/>
              </w:rPr>
              <w:t>Year</w:t>
            </w:r>
          </w:p>
        </w:tc>
        <w:tc>
          <w:tcPr>
            <w:tcW w:w="100" w:type="dxa"/>
            <w:vAlign w:val="bottom"/>
          </w:tcPr>
          <w:p>
            <w:pPr>
              <w:spacing w:after="0"/>
              <w:rPr>
                <w:sz w:val="10"/>
                <w:szCs w:val="10"/>
                <w:color w:val="auto"/>
              </w:rPr>
            </w:pPr>
          </w:p>
        </w:tc>
      </w:tr>
      <w:tr>
        <w:trPr>
          <w:trHeight w:val="167"/>
        </w:trPr>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5"/>
          </w:tcPr>
          <w:p>
            <w:pPr>
              <w:ind w:left="60"/>
              <w:spacing w:after="0"/>
              <w:rPr>
                <w:sz w:val="20"/>
                <w:szCs w:val="20"/>
                <w:color w:val="auto"/>
              </w:rPr>
            </w:pPr>
            <w:r>
              <w:rPr>
                <w:rFonts w:ascii="Arial" w:cs="Arial" w:eastAsia="Arial" w:hAnsi="Arial"/>
                <w:sz w:val="14"/>
                <w:szCs w:val="14"/>
                <w:color w:val="auto"/>
              </w:rPr>
              <w:t>1st Qtr.</w:t>
            </w:r>
          </w:p>
        </w:tc>
        <w:tc>
          <w:tcPr>
            <w:tcW w:w="900" w:type="dxa"/>
            <w:vAlign w:val="bottom"/>
            <w:gridSpan w:val="5"/>
          </w:tcPr>
          <w:p>
            <w:pPr>
              <w:jc w:val="right"/>
              <w:ind w:right="380"/>
              <w:spacing w:after="0"/>
              <w:rPr>
                <w:sz w:val="20"/>
                <w:szCs w:val="20"/>
                <w:color w:val="auto"/>
              </w:rPr>
            </w:pPr>
            <w:r>
              <w:rPr>
                <w:rFonts w:ascii="Arial" w:cs="Arial" w:eastAsia="Arial" w:hAnsi="Arial"/>
                <w:sz w:val="14"/>
                <w:szCs w:val="14"/>
                <w:color w:val="auto"/>
                <w:w w:val="98"/>
              </w:rPr>
              <w:t>2nd Qtr.</w:t>
            </w:r>
          </w:p>
        </w:tc>
        <w:tc>
          <w:tcPr>
            <w:tcW w:w="820" w:type="dxa"/>
            <w:vAlign w:val="bottom"/>
            <w:gridSpan w:val="4"/>
          </w:tcPr>
          <w:p>
            <w:pPr>
              <w:ind w:left="20"/>
              <w:spacing w:after="0"/>
              <w:rPr>
                <w:sz w:val="20"/>
                <w:szCs w:val="20"/>
                <w:color w:val="auto"/>
              </w:rPr>
            </w:pPr>
            <w:r>
              <w:rPr>
                <w:rFonts w:ascii="Arial" w:cs="Arial" w:eastAsia="Arial" w:hAnsi="Arial"/>
                <w:sz w:val="14"/>
                <w:szCs w:val="14"/>
                <w:color w:val="auto"/>
              </w:rPr>
              <w:t>3rd Qtr.</w:t>
            </w: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w w:val="91"/>
              </w:rPr>
              <w:t>to-date</w:t>
            </w:r>
          </w:p>
        </w:tc>
      </w:tr>
      <w:tr>
        <w:trPr>
          <w:trHeight w:val="210"/>
        </w:trPr>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$ 6,788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44,631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25,781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77,200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8,773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(7,161)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2,950</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4,562</w:t>
            </w: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3,721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3,373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2,921</w:t>
            </w:r>
          </w:p>
        </w:tc>
        <w:tc>
          <w:tcPr>
            <w:tcW w:w="2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10,015</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17,461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16,209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16,043</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49,713</w:t>
            </w:r>
          </w:p>
        </w:tc>
      </w:tr>
      <w:tr>
        <w:trPr>
          <w:trHeight w:val="223"/>
        </w:trPr>
        <w:tc>
          <w:tcPr>
            <w:tcW w:w="7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36,743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57,052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47,695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141,490</w:t>
            </w:r>
          </w:p>
        </w:tc>
        <w:tc>
          <w:tcPr>
            <w:tcW w:w="10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Included in net charge-offs of commercial loans in the second and third quarters of 2013 were $30 million and $19 million, respectively, of charge-offs for a relationship with a motor vehicle-related parts wholesaler. Reflected in net recoveries of commercial real estate loans during the second quarter of 2013 were net recoveries of previously charged-off loans to residential homebuilders and developers of $9 million. Included in net charge-offs of consumer loans and leases were net charge-offs during the quarters ended September 30, 2014, September 30, 2013 and June 30, 2014, respectively, of: automobile loans of $3 million, $2 million and $2 million; recreational vehicle loans of $2 million, $3 million and $3 million; and home equity loans and lines of credit, including Alt-A second lien loans, of $5 million, $4 million and $5 million. Alt-A loans represent loans secured by residential real estate that at origination typically included some form of limited borrower documentation requirements as compared with more traditional loans. Loans in the Company’s Alt-A portfolio were originated by the Company prior to 2008.</w:t>
      </w:r>
    </w:p>
    <w:p>
      <w:pPr>
        <w:spacing w:after="0" w:line="17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The excess of expected cash flows over the carrying value of the loans is recognized as interest income over the lives of loans. The difference between contractually required payments and the cash flows expected to be collected is referred to as the nonaccretable balance and is not recorded on the consolidated balance sheet. The nonaccretable balance reflects estimated future credit losses and other contractually required payments that the Company does not expect to collect. The Company regularly evaluates the reasonableness of its cash flow projections. Any decreases to the expected cash flows require the Company to evaluate the need for an additional allowance for credit losses and could lead to charge-offs of acquired loan balances. Any significant increases in expected cash flows result in additional interest income to be recognized over the then-remaining lives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- 71 -</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loans. The carrying amount of loans obtained in acquisitions subsequent to 2008 was $2.9 billion, $4.6 billion, $4.0 billion and $3.2 billion at</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September 30, 2014, September 30, 2013, December 31, 2013 and June 30, 2014, respectively. The portion of the nonaccretable balance related to remaining principal losses as well as life-to-date principal losses charged against the nonaccretable balance as of September 30, 2014 and December 31, 2013 are presented in the accompanying table.</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center"/>
              <w:ind w:right="580"/>
              <w:spacing w:after="0"/>
              <w:rPr>
                <w:sz w:val="20"/>
                <w:szCs w:val="20"/>
                <w:color w:val="auto"/>
              </w:rPr>
            </w:pPr>
            <w:r>
              <w:rPr>
                <w:rFonts w:ascii="Arial" w:cs="Arial" w:eastAsia="Arial" w:hAnsi="Arial"/>
                <w:sz w:val="14"/>
                <w:szCs w:val="14"/>
                <w:color w:val="auto"/>
                <w:w w:val="92"/>
              </w:rPr>
              <w:t>Nonaccretable balance – principal</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60" w:type="dxa"/>
            <w:vAlign w:val="bottom"/>
            <w:gridSpan w:val="4"/>
          </w:tcPr>
          <w:p>
            <w:pPr>
              <w:ind w:left="380"/>
              <w:spacing w:after="0" w:line="142" w:lineRule="exact"/>
              <w:rPr>
                <w:sz w:val="20"/>
                <w:szCs w:val="20"/>
                <w:color w:val="auto"/>
              </w:rPr>
            </w:pPr>
            <w:r>
              <w:rPr>
                <w:rFonts w:ascii="Arial" w:cs="Arial" w:eastAsia="Arial" w:hAnsi="Arial"/>
                <w:sz w:val="14"/>
                <w:szCs w:val="14"/>
                <w:color w:val="auto"/>
              </w:rPr>
              <w:t>Remaining balance</w:t>
            </w:r>
          </w:p>
        </w:tc>
        <w:tc>
          <w:tcPr>
            <w:tcW w:w="2180" w:type="dxa"/>
            <w:vAlign w:val="bottom"/>
            <w:gridSpan w:val="3"/>
          </w:tcPr>
          <w:p>
            <w:pPr>
              <w:ind w:left="520"/>
              <w:spacing w:after="0" w:line="142" w:lineRule="exact"/>
              <w:rPr>
                <w:sz w:val="20"/>
                <w:szCs w:val="20"/>
                <w:color w:val="auto"/>
              </w:rPr>
            </w:pPr>
            <w:r>
              <w:rPr>
                <w:rFonts w:ascii="Arial" w:cs="Arial" w:eastAsia="Arial" w:hAnsi="Arial"/>
                <w:sz w:val="14"/>
                <w:szCs w:val="14"/>
                <w:color w:val="auto"/>
              </w:rPr>
              <w:t>Life-to-date charges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136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September 30,</w:t>
            </w:r>
          </w:p>
        </w:tc>
        <w:tc>
          <w:tcPr>
            <w:tcW w:w="8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0"/>
              </w:rPr>
              <w:t>December 31,</w:t>
            </w:r>
          </w:p>
        </w:tc>
        <w:tc>
          <w:tcPr>
            <w:tcW w:w="540" w:type="dxa"/>
            <w:vAlign w:val="bottom"/>
          </w:tcPr>
          <w:p>
            <w:pPr>
              <w:spacing w:after="0"/>
              <w:rPr>
                <w:sz w:val="10"/>
                <w:szCs w:val="10"/>
                <w:color w:val="auto"/>
              </w:rPr>
            </w:pPr>
          </w:p>
        </w:tc>
        <w:tc>
          <w:tcPr>
            <w:tcW w:w="138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September 30,</w:t>
            </w:r>
          </w:p>
        </w:tc>
        <w:tc>
          <w:tcPr>
            <w:tcW w:w="8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2014</w:t>
            </w: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color w:val="auto"/>
              </w:rPr>
              <w:t>2013</w:t>
            </w: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color w:val="auto"/>
              </w:rPr>
              <w:t>2014</w:t>
            </w:r>
          </w:p>
        </w:tc>
        <w:tc>
          <w:tcPr>
            <w:tcW w:w="5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40" w:type="dxa"/>
            <w:vAlign w:val="bottom"/>
            <w:gridSpan w:val="4"/>
          </w:tcPr>
          <w:p>
            <w:pPr>
              <w:jc w:val="center"/>
              <w:ind w:right="560"/>
              <w:spacing w:after="0"/>
              <w:rPr>
                <w:sz w:val="20"/>
                <w:szCs w:val="20"/>
                <w:color w:val="auto"/>
              </w:rPr>
            </w:pPr>
            <w:r>
              <w:rPr>
                <w:rFonts w:ascii="Arial" w:cs="Arial" w:eastAsia="Arial" w:hAnsi="Arial"/>
                <w:sz w:val="14"/>
                <w:szCs w:val="14"/>
                <w:color w:val="auto"/>
                <w:w w:val="92"/>
              </w:rPr>
              <w:t>(in thousands)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financing, leasing, etc.</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21,518</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31,931</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78,267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98,239</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110,984</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278,192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277,222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20,007</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23,201</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56,853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30,696</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33,989</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76,755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74,039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170,460</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200,105</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490,067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Nonaccrual loans totaled $848 million or 1.29% of total loans and leases outstanding at September 30, 2014, compared with $916 million or 1.44% at September 30, 2013, $874 million or 1.36% at December 31, 2013 and $880 million or 1.36% at June 30, 2014. The decline in nonaccrual loans at the most recent quarter-end as compared with December 31, 2013 and June 30, 2014 was largely due to lower commercial and residential real estate loans in nonaccrual status.</w:t>
      </w:r>
    </w:p>
    <w:p>
      <w:pPr>
        <w:spacing w:after="0" w:line="18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Accruing loans past due 90 days or more (excluding acquired loans) were $313 million, or .48% of total loans and leases at September 30, 2014, compared with $340 million or .53% at September 30, 2013, $369 million or .58% at December 31, 2013 and $289 million or .45% at June 30, 2014. Those loans included loans guaranteed by government-related entities of $265 million at September 30, 2014, $321 million at September 30, 2013, $298 million at December 31, 2013 and $276 million at June 30, 2014. Such guaranteed loans included one-to-four family residential real estate loans serviced by the Company that were repurchased to reduce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that are guaranteed by government-related entities totaled $237 million at September 30, 2014, $281 million at September 30, 2013, $255 million at December 31, 2013 and $238 million at June 30, 2014.</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Purchased impaired loans are loans obtained in acquisition transactions subsequent to 2008 that as of the acquisition date were specifically identified as displaying signs of credit deterioration and for which the Company did not expect to collect all outstanding principal and contractually required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was $237 million at September 30, 2014, or less than 1% of total loans. Purchased impaired loans totaled $357 million and $331 million at September 30 and December 31, 2013, respectively. The declines in such loans from the respective 2013 dates were predominantly the result of payments received from customers.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- 72 -</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Acquired accruing loans past due 90 days or more are loans that could not be specifically identified as impaired as of the acquisition date, but were recorded at estimated fair value as of such date. Such loans totaled $132 million at September 30, 2014, compared with $154 million at September 30, 2013 and $130 million at December 31, 2013.</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an effort to assist borrowers, the Company modified the terms of select loans. If the borrower was experiencing financial difficulty and a concession was granted, the Company considers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Information about modifications of loans that are considered troubled debt restructurings is included in note 4 of Notes to Financial Statements.</w:t>
      </w:r>
    </w:p>
    <w:p>
      <w:pPr>
        <w:spacing w:after="0" w:line="19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Residential real estate loans modified under specified loss mitigation programs prescribed by government guarantors have not been included in renegotiated loans because the loan guarantee remains in full force and, accordingly, the Company has not granted a concession with respect to the ultimate collection of the original loan balance. Such loans aggregated $142 million, $211 million and $206 million at September 30, 2014, September 30, 2013 and December 31, 2013, respectively.</w:t>
      </w:r>
    </w:p>
    <w:p>
      <w:pPr>
        <w:spacing w:after="0" w:line="18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Nonaccrual commercial loans and leases totaled $191 million at September 30, 2014, $111 million at each of September 30, 2013 and December 31, 2013, and $192 million at June 30, 2014. The increases since 2013 in commercial loans and leases in nonaccrual status were not concentrated in any particular industry group. Commercial real estate loans classified as nonaccrual aggregated $274 million at September 30, 2014, $348 million a year earlier, $305 million at December 31, 2013 and $296 million at June 30, 2014. Included in those amounts were nonaccrual loans to residential homebuilders and developers of $73 million and $113 million at September 30, 2014 and September 30, 2013, respectively, $96 million at December 31, 2013 and $84 million at June 30, 2014. Information about the location of nonaccrual and charged-off loans to residential real estate builders and developers as of and for the three-month period ended September 30, 2014 is presented in the accompanying table.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- 73 -</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RESIDENTIAL BUILDER AND DEVELOPER LOANS, NET OF UNEARNED DISCOUNT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4"/>
          </w:tcPr>
          <w:p>
            <w:pPr>
              <w:jc w:val="center"/>
              <w:ind w:right="400"/>
              <w:spacing w:after="0"/>
              <w:rPr>
                <w:sz w:val="20"/>
                <w:szCs w:val="20"/>
                <w:color w:val="auto"/>
              </w:rPr>
            </w:pPr>
            <w:r>
              <w:rPr>
                <w:rFonts w:ascii="Arial" w:cs="Arial" w:eastAsia="Arial" w:hAnsi="Arial"/>
                <w:sz w:val="14"/>
                <w:szCs w:val="14"/>
                <w:color w:val="auto"/>
                <w:w w:val="90"/>
              </w:rPr>
              <w:t>Quarter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gridSpan w:val="7"/>
          </w:tcPr>
          <w:p>
            <w:pPr>
              <w:jc w:val="right"/>
              <w:ind w:right="1320"/>
              <w:spacing w:after="0"/>
              <w:rPr>
                <w:sz w:val="20"/>
                <w:szCs w:val="20"/>
                <w:color w:val="auto"/>
              </w:rPr>
            </w:pPr>
            <w:r>
              <w:rPr>
                <w:rFonts w:ascii="Arial" w:cs="Arial" w:eastAsia="Arial" w:hAnsi="Arial"/>
                <w:sz w:val="14"/>
                <w:szCs w:val="14"/>
                <w:color w:val="auto"/>
                <w:w w:val="91"/>
              </w:rPr>
              <w:t>September 30, 2014</w:t>
            </w:r>
          </w:p>
        </w:tc>
        <w:tc>
          <w:tcPr>
            <w:tcW w:w="160" w:type="dxa"/>
            <w:vAlign w:val="bottom"/>
          </w:tcPr>
          <w:p>
            <w:pPr>
              <w:spacing w:after="0"/>
              <w:rPr>
                <w:sz w:val="14"/>
                <w:szCs w:val="14"/>
                <w:color w:val="auto"/>
              </w:rPr>
            </w:pPr>
          </w:p>
        </w:tc>
        <w:tc>
          <w:tcPr>
            <w:tcW w:w="1700" w:type="dxa"/>
            <w:vAlign w:val="bottom"/>
            <w:gridSpan w:val="4"/>
          </w:tcPr>
          <w:p>
            <w:pPr>
              <w:jc w:val="center"/>
              <w:ind w:right="420"/>
              <w:spacing w:after="0"/>
              <w:rPr>
                <w:sz w:val="20"/>
                <w:szCs w:val="20"/>
                <w:color w:val="auto"/>
              </w:rPr>
            </w:pPr>
            <w:r>
              <w:rPr>
                <w:rFonts w:ascii="Arial" w:cs="Arial" w:eastAsia="Arial" w:hAnsi="Arial"/>
                <w:sz w:val="14"/>
                <w:szCs w:val="14"/>
                <w:color w:val="auto"/>
                <w:w w:val="91"/>
              </w:rPr>
              <w:t>September 30, 2014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3"/>
          </w:tcPr>
          <w:p>
            <w:pPr>
              <w:jc w:val="center"/>
              <w:ind w:right="59"/>
              <w:spacing w:after="0" w:line="123" w:lineRule="exact"/>
              <w:rPr>
                <w:sz w:val="20"/>
                <w:szCs w:val="20"/>
                <w:color w:val="auto"/>
              </w:rPr>
            </w:pPr>
            <w:r>
              <w:rPr>
                <w:rFonts w:ascii="Arial" w:cs="Arial" w:eastAsia="Arial" w:hAnsi="Arial"/>
                <w:sz w:val="14"/>
                <w:szCs w:val="14"/>
                <w:color w:val="auto"/>
                <w:w w:val="93"/>
              </w:rPr>
              <w:t>Net charge-offs</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960"/>
              <w:spacing w:after="0"/>
              <w:rPr>
                <w:sz w:val="20"/>
                <w:szCs w:val="20"/>
                <w:color w:val="auto"/>
              </w:rPr>
            </w:pPr>
            <w:r>
              <w:rPr>
                <w:rFonts w:ascii="Arial" w:cs="Arial" w:eastAsia="Arial" w:hAnsi="Arial"/>
                <w:sz w:val="14"/>
                <w:szCs w:val="14"/>
                <w:color w:val="auto"/>
              </w:rPr>
              <w:t>Nonaccrual</w:t>
            </w:r>
          </w:p>
        </w:tc>
        <w:tc>
          <w:tcPr>
            <w:tcW w:w="160" w:type="dxa"/>
            <w:vAlign w:val="bottom"/>
          </w:tcPr>
          <w:p>
            <w:pPr>
              <w:spacing w:after="0"/>
              <w:rPr>
                <w:sz w:val="14"/>
                <w:szCs w:val="14"/>
                <w:color w:val="auto"/>
              </w:rPr>
            </w:pPr>
          </w:p>
        </w:tc>
        <w:tc>
          <w:tcPr>
            <w:tcW w:w="1700" w:type="dxa"/>
            <w:vAlign w:val="bottom"/>
            <w:gridSpan w:val="4"/>
          </w:tcPr>
          <w:p>
            <w:pPr>
              <w:jc w:val="center"/>
              <w:ind w:right="400"/>
              <w:spacing w:after="0"/>
              <w:rPr>
                <w:sz w:val="20"/>
                <w:szCs w:val="20"/>
                <w:color w:val="auto"/>
              </w:rPr>
            </w:pPr>
            <w:r>
              <w:rPr>
                <w:rFonts w:ascii="Arial" w:cs="Arial" w:eastAsia="Arial" w:hAnsi="Arial"/>
                <w:sz w:val="14"/>
                <w:szCs w:val="14"/>
                <w:color w:val="auto"/>
                <w:w w:val="94"/>
              </w:rPr>
              <w:t>(recoveries)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Annualized</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0"/>
              </w:rPr>
              <w:t>Percent of</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Outstanding</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1"/>
              </w:rPr>
              <w:t>outstanding</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outstanding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w w:val="96"/>
              </w:rPr>
              <w:t>balances (a)</w:t>
            </w:r>
          </w:p>
        </w:tc>
        <w:tc>
          <w:tcPr>
            <w:tcW w:w="380" w:type="dxa"/>
            <w:vAlign w:val="bottom"/>
          </w:tcPr>
          <w:p>
            <w:pPr>
              <w:spacing w:after="0"/>
              <w:rPr>
                <w:sz w:val="14"/>
                <w:szCs w:val="14"/>
                <w:color w:val="auto"/>
              </w:rPr>
            </w:pPr>
          </w:p>
        </w:tc>
        <w:tc>
          <w:tcPr>
            <w:tcW w:w="620" w:type="dxa"/>
            <w:vAlign w:val="bottom"/>
            <w:gridSpan w:val="3"/>
          </w:tcPr>
          <w:p>
            <w:pPr>
              <w:ind w:left="40"/>
              <w:spacing w:after="0"/>
              <w:rPr>
                <w:sz w:val="20"/>
                <w:szCs w:val="20"/>
                <w:color w:val="auto"/>
              </w:rPr>
            </w:pPr>
            <w:r>
              <w:rPr>
                <w:rFonts w:ascii="Arial" w:cs="Arial" w:eastAsia="Arial" w:hAnsi="Arial"/>
                <w:sz w:val="14"/>
                <w:szCs w:val="14"/>
                <w:color w:val="auto"/>
                <w:w w:val="97"/>
              </w:rPr>
              <w:t>Balances</w:t>
            </w:r>
          </w:p>
        </w:tc>
        <w:tc>
          <w:tcPr>
            <w:tcW w:w="34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color w:val="auto"/>
                <w:w w:val="89"/>
              </w:rPr>
              <w:t>balances</w:t>
            </w: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Balances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balances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4"/>
                <w:szCs w:val="14"/>
                <w:color w:val="auto"/>
                <w:w w:val="92"/>
              </w:rPr>
              <w:t>(dollars in thousands)</w:t>
            </w:r>
          </w:p>
        </w:tc>
        <w:tc>
          <w:tcPr>
            <w:tcW w:w="1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6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568,577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8,447</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Pennsylvania</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138,556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41,396</w:t>
            </w: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29.88</w:t>
            </w:r>
          </w:p>
        </w:tc>
        <w:tc>
          <w:tcPr>
            <w:tcW w:w="16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Mid-Atlantic</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421,034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25,666</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6.10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(193)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315,037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239</w:t>
            </w: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1,443,204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75,748</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(193)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approximately $25 million of loans not secured by real estate, of which approximately $2 million were in nonaccrual status.</w:t>
      </w:r>
    </w:p>
    <w:p>
      <w:pPr>
        <w:spacing w:after="0" w:line="225"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Residential real estate loans classified as nonaccrual were $264 million at September 30, 2014, compared with $334 million at each of September 30, 2013 and December 31, 2013, and $278 million at June 30, 2014. Included in residential real estate loans classified as nonaccrual were Alt-A loans of $80 million at September 30, 2014, compared with $81 million at each of September 30, 2013 and December 31, 2013 and $79 million at June 30, 2014. Residential real estate loans past due 90 days or more and accruing interest (excluding acquired loans) totaled $264 million at September 30, 2014, compared with $318 million at September 30, 2013, $295 million at December 31, 2013 and $270 million at June 30, 2014. A substantial portion of such amounts related to loans guaranteed by government-related entities. Information about location of nonaccrual and charged-off residential real estate loans as of and for the quarter ended September 30, 2014 is presented in the accompanying table.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Nonaccrual consumer loans totaled $119 million and $123 million at September 30, 2014 and 2013, respectively, compared with $125 million at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2013 and $114 million at June 30, 2014. Included in nonaccrual consumer loans and leases at September 30, 2014, September 30,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2013, December 31, 2013 and June 30, 2014 were automobile loans of $17 million, $22 million, $21 million and $16 million, respectively; recreational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vehicle loans of $10 million, $11 million, $12 million and $8 million, respectively; and outstanding balances of home equity loans and lines of credit,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including junior lien Alt-A loans, of $85 million, $78 million, $79 million and $84 million, respectively. Information about the location of nonaccrual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charged-off home equity loans and lines of credit as of and for the quarter ended September 30, 2014 is presented in the accompanying table.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- 74 -</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SELECTED RESIDENTIAL REAL ESTATE-RELATED LOAN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jc w:val="center"/>
              <w:ind w:right="360"/>
              <w:spacing w:after="0"/>
              <w:rPr>
                <w:sz w:val="20"/>
                <w:szCs w:val="20"/>
                <w:color w:val="auto"/>
              </w:rPr>
            </w:pPr>
            <w:r>
              <w:rPr>
                <w:rFonts w:ascii="Arial" w:cs="Arial" w:eastAsia="Arial" w:hAnsi="Arial"/>
                <w:sz w:val="14"/>
                <w:szCs w:val="14"/>
                <w:color w:val="auto"/>
                <w:w w:val="90"/>
              </w:rPr>
              <w:t>Quarter ended</w:t>
            </w:r>
          </w:p>
        </w:tc>
        <w:tc>
          <w:tcPr>
            <w:tcW w:w="0" w:type="dxa"/>
            <w:vAlign w:val="bottom"/>
          </w:tcPr>
          <w:p>
            <w:pPr>
              <w:spacing w:after="0"/>
              <w:rPr>
                <w:sz w:val="1"/>
                <w:szCs w:val="1"/>
                <w:color w:val="auto"/>
              </w:rPr>
            </w:pPr>
          </w:p>
        </w:tc>
      </w:tr>
      <w:tr>
        <w:trPr>
          <w:trHeight w:val="167"/>
        </w:trPr>
        <w:tc>
          <w:tcPr>
            <w:tcW w:w="38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60" w:type="dxa"/>
            <w:vAlign w:val="bottom"/>
            <w:gridSpan w:val="6"/>
          </w:tcPr>
          <w:p>
            <w:pPr>
              <w:jc w:val="right"/>
              <w:ind w:right="1360"/>
              <w:spacing w:after="0"/>
              <w:rPr>
                <w:sz w:val="20"/>
                <w:szCs w:val="20"/>
                <w:color w:val="auto"/>
              </w:rPr>
            </w:pPr>
            <w:r>
              <w:rPr>
                <w:rFonts w:ascii="Arial" w:cs="Arial" w:eastAsia="Arial" w:hAnsi="Arial"/>
                <w:sz w:val="14"/>
                <w:szCs w:val="14"/>
                <w:color w:val="auto"/>
                <w:w w:val="92"/>
              </w:rPr>
              <w:t>September 30, 2014</w:t>
            </w:r>
          </w:p>
        </w:tc>
        <w:tc>
          <w:tcPr>
            <w:tcW w:w="120" w:type="dxa"/>
            <w:vAlign w:val="bottom"/>
          </w:tcPr>
          <w:p>
            <w:pPr>
              <w:spacing w:after="0"/>
              <w:rPr>
                <w:sz w:val="14"/>
                <w:szCs w:val="14"/>
                <w:color w:val="auto"/>
              </w:rPr>
            </w:pPr>
          </w:p>
        </w:tc>
        <w:tc>
          <w:tcPr>
            <w:tcW w:w="1740" w:type="dxa"/>
            <w:vAlign w:val="bottom"/>
            <w:gridSpan w:val="4"/>
          </w:tcPr>
          <w:p>
            <w:pPr>
              <w:jc w:val="center"/>
              <w:ind w:right="380"/>
              <w:spacing w:after="0"/>
              <w:rPr>
                <w:sz w:val="20"/>
                <w:szCs w:val="20"/>
                <w:color w:val="auto"/>
              </w:rPr>
            </w:pPr>
            <w:r>
              <w:rPr>
                <w:rFonts w:ascii="Arial" w:cs="Arial" w:eastAsia="Arial" w:hAnsi="Arial"/>
                <w:sz w:val="14"/>
                <w:szCs w:val="14"/>
                <w:color w:val="auto"/>
                <w:w w:val="91"/>
              </w:rPr>
              <w:t>September 30, 2014</w:t>
            </w:r>
          </w:p>
        </w:tc>
        <w:tc>
          <w:tcPr>
            <w:tcW w:w="0" w:type="dxa"/>
            <w:vAlign w:val="bottom"/>
          </w:tcPr>
          <w:p>
            <w:pPr>
              <w:spacing w:after="0"/>
              <w:rPr>
                <w:sz w:val="1"/>
                <w:szCs w:val="1"/>
                <w:color w:val="auto"/>
              </w:rPr>
            </w:pPr>
          </w:p>
        </w:tc>
      </w:tr>
      <w:tr>
        <w:trPr>
          <w:trHeight w:val="123"/>
        </w:trPr>
        <w:tc>
          <w:tcPr>
            <w:tcW w:w="38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3"/>
          </w:tcPr>
          <w:p>
            <w:pPr>
              <w:jc w:val="center"/>
              <w:ind w:right="12"/>
              <w:spacing w:after="0" w:line="123" w:lineRule="exact"/>
              <w:rPr>
                <w:sz w:val="20"/>
                <w:szCs w:val="20"/>
                <w:color w:val="auto"/>
              </w:rPr>
            </w:pPr>
            <w:r>
              <w:rPr>
                <w:rFonts w:ascii="Arial" w:cs="Arial" w:eastAsia="Arial" w:hAnsi="Arial"/>
                <w:sz w:val="14"/>
                <w:szCs w:val="14"/>
                <w:color w:val="auto"/>
                <w:w w:val="93"/>
              </w:rPr>
              <w:t>Net charge-offs</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8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4"/>
          </w:tcPr>
          <w:p>
            <w:pPr>
              <w:jc w:val="right"/>
              <w:ind w:right="1000"/>
              <w:spacing w:after="0"/>
              <w:rPr>
                <w:sz w:val="20"/>
                <w:szCs w:val="20"/>
                <w:color w:val="auto"/>
              </w:rPr>
            </w:pPr>
            <w:r>
              <w:rPr>
                <w:rFonts w:ascii="Arial" w:cs="Arial" w:eastAsia="Arial" w:hAnsi="Arial"/>
                <w:sz w:val="14"/>
                <w:szCs w:val="14"/>
                <w:color w:val="auto"/>
              </w:rPr>
              <w:t>Nonaccrual</w:t>
            </w:r>
          </w:p>
        </w:tc>
        <w:tc>
          <w:tcPr>
            <w:tcW w:w="120" w:type="dxa"/>
            <w:vAlign w:val="bottom"/>
          </w:tcPr>
          <w:p>
            <w:pPr>
              <w:spacing w:after="0"/>
              <w:rPr>
                <w:sz w:val="14"/>
                <w:szCs w:val="14"/>
                <w:color w:val="auto"/>
              </w:rPr>
            </w:pPr>
          </w:p>
        </w:tc>
        <w:tc>
          <w:tcPr>
            <w:tcW w:w="1740" w:type="dxa"/>
            <w:vAlign w:val="bottom"/>
            <w:gridSpan w:val="4"/>
          </w:tcPr>
          <w:p>
            <w:pPr>
              <w:jc w:val="center"/>
              <w:ind w:right="360"/>
              <w:spacing w:after="0"/>
              <w:rPr>
                <w:sz w:val="20"/>
                <w:szCs w:val="20"/>
                <w:color w:val="auto"/>
              </w:rPr>
            </w:pPr>
            <w:r>
              <w:rPr>
                <w:rFonts w:ascii="Arial" w:cs="Arial" w:eastAsia="Arial" w:hAnsi="Arial"/>
                <w:sz w:val="14"/>
                <w:szCs w:val="14"/>
                <w:color w:val="auto"/>
                <w:w w:val="94"/>
              </w:rPr>
              <w:t>(recoveries)</w:t>
            </w:r>
          </w:p>
        </w:tc>
        <w:tc>
          <w:tcPr>
            <w:tcW w:w="0" w:type="dxa"/>
            <w:vAlign w:val="bottom"/>
          </w:tcPr>
          <w:p>
            <w:pPr>
              <w:spacing w:after="0"/>
              <w:rPr>
                <w:sz w:val="1"/>
                <w:szCs w:val="1"/>
                <w:color w:val="auto"/>
              </w:rPr>
            </w:pPr>
          </w:p>
        </w:tc>
      </w:tr>
      <w:tr>
        <w:trPr>
          <w:trHeight w:val="123"/>
        </w:trPr>
        <w:tc>
          <w:tcPr>
            <w:tcW w:w="38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Annualized</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percent of</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0"/>
              </w:rPr>
              <w:t>Percent of</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2"/>
              </w:rPr>
              <w:t>Outstanding</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1"/>
              </w:rPr>
              <w:t>outstanding</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outstanding</w:t>
            </w:r>
          </w:p>
        </w:tc>
        <w:tc>
          <w:tcPr>
            <w:tcW w:w="0" w:type="dxa"/>
            <w:vAlign w:val="bottom"/>
          </w:tcPr>
          <w:p>
            <w:pPr>
              <w:spacing w:after="0"/>
              <w:rPr>
                <w:sz w:val="1"/>
                <w:szCs w:val="1"/>
                <w:color w:val="auto"/>
              </w:rPr>
            </w:pPr>
          </w:p>
        </w:tc>
      </w:tr>
      <w:tr>
        <w:trPr>
          <w:trHeight w:val="167"/>
        </w:trPr>
        <w:tc>
          <w:tcPr>
            <w:tcW w:w="38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balances</w:t>
            </w:r>
          </w:p>
        </w:tc>
        <w:tc>
          <w:tcPr>
            <w:tcW w:w="3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Balances</w:t>
            </w:r>
          </w:p>
        </w:tc>
        <w:tc>
          <w:tcPr>
            <w:tcW w:w="36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color w:val="auto"/>
                <w:w w:val="89"/>
              </w:rPr>
              <w:t>balances</w:t>
            </w: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Balances</w:t>
            </w: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balances</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color w:val="auto"/>
                <w:w w:val="91"/>
              </w:rPr>
              <w:t>(dollars in thousands)</w:t>
            </w: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3,525,185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64,111</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145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1,152,488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19,579</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2,091,162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33,965</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342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1,508,451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64,056</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563</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vMerge w:val="continue"/>
          </w:tcPr>
          <w:p>
            <w:pPr>
              <w:spacing w:after="0"/>
              <w:rPr>
                <w:sz w:val="19"/>
                <w:szCs w:val="19"/>
                <w:color w:val="auto"/>
              </w:rPr>
            </w:pPr>
          </w:p>
        </w:tc>
        <w:tc>
          <w:tcPr>
            <w:tcW w:w="23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8,277,286</w:t>
            </w:r>
          </w:p>
        </w:tc>
        <w:tc>
          <w:tcPr>
            <w:tcW w:w="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181,711</w:t>
            </w:r>
          </w:p>
        </w:tc>
        <w:tc>
          <w:tcPr>
            <w:tcW w:w="36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1,029</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7,387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153</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21.57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10,068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40"/>
              <w:spacing w:after="0"/>
              <w:rPr>
                <w:sz w:val="20"/>
                <w:szCs w:val="20"/>
                <w:color w:val="auto"/>
              </w:rPr>
            </w:pPr>
            <w:r>
              <w:rPr>
                <w:rFonts w:ascii="Arial" w:cs="Arial" w:eastAsia="Arial" w:hAnsi="Arial"/>
                <w:sz w:val="16"/>
                <w:szCs w:val="16"/>
                <w:color w:val="auto"/>
                <w:w w:val="74"/>
              </w:rPr>
              <w:t>)</w:t>
            </w: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vMerge w:val="continue"/>
          </w:tcPr>
          <w:p>
            <w:pPr>
              <w:spacing w:after="0"/>
              <w:rPr>
                <w:sz w:val="19"/>
                <w:szCs w:val="19"/>
                <w:color w:val="auto"/>
              </w:rPr>
            </w:pPr>
          </w:p>
        </w:tc>
        <w:tc>
          <w:tcPr>
            <w:tcW w:w="23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36,152</w:t>
            </w:r>
          </w:p>
        </w:tc>
        <w:tc>
          <w:tcPr>
            <w:tcW w:w="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1,970</w:t>
            </w:r>
          </w:p>
        </w:tc>
        <w:tc>
          <w:tcPr>
            <w:tcW w:w="36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Alt-A first mortgages: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58,522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17,321</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29.60%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10,747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27.72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69,265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11,762</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16.98</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227</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211,436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47,955</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22.68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vMerge w:val="continue"/>
          </w:tcPr>
          <w:p>
            <w:pPr>
              <w:spacing w:after="0"/>
              <w:rPr>
                <w:sz w:val="19"/>
                <w:szCs w:val="19"/>
                <w:color w:val="auto"/>
              </w:rPr>
            </w:pPr>
          </w:p>
        </w:tc>
        <w:tc>
          <w:tcPr>
            <w:tcW w:w="23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349,970</w:t>
            </w:r>
          </w:p>
        </w:tc>
        <w:tc>
          <w:tcPr>
            <w:tcW w:w="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80,017</w:t>
            </w:r>
          </w:p>
        </w:tc>
        <w:tc>
          <w:tcPr>
            <w:tcW w:w="36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667</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Alt-A junior lien:</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1,151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15.18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3,099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193</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vMerge w:val="continue"/>
          </w:tcPr>
          <w:p>
            <w:pPr>
              <w:spacing w:after="0"/>
              <w:rPr>
                <w:sz w:val="19"/>
                <w:szCs w:val="19"/>
                <w:color w:val="auto"/>
              </w:rPr>
            </w:pPr>
          </w:p>
        </w:tc>
        <w:tc>
          <w:tcPr>
            <w:tcW w:w="23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11,779</w:t>
            </w:r>
          </w:p>
        </w:tc>
        <w:tc>
          <w:tcPr>
            <w:tcW w:w="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922</w:t>
            </w:r>
          </w:p>
        </w:tc>
        <w:tc>
          <w:tcPr>
            <w:tcW w:w="36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393</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loans: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19,785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1,899</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63,700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136</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83,070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931</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16.23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vMerge w:val="continue"/>
          </w:tcPr>
          <w:p>
            <w:pPr>
              <w:spacing w:after="0"/>
              <w:rPr>
                <w:sz w:val="19"/>
                <w:szCs w:val="19"/>
                <w:color w:val="auto"/>
              </w:rPr>
            </w:pPr>
          </w:p>
        </w:tc>
        <w:tc>
          <w:tcPr>
            <w:tcW w:w="23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169,364</w:t>
            </w:r>
          </w:p>
        </w:tc>
        <w:tc>
          <w:tcPr>
            <w:tcW w:w="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6,719</w:t>
            </w:r>
          </w:p>
        </w:tc>
        <w:tc>
          <w:tcPr>
            <w:tcW w:w="36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196</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lines: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1,383,863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13,598</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527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845,800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374</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873,224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3,101</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258</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vMerge w:val="continue"/>
          </w:tcPr>
          <w:p>
            <w:pPr>
              <w:spacing w:after="0"/>
              <w:rPr>
                <w:sz w:val="19"/>
                <w:szCs w:val="19"/>
                <w:color w:val="auto"/>
              </w:rPr>
            </w:pPr>
          </w:p>
        </w:tc>
        <w:tc>
          <w:tcPr>
            <w:tcW w:w="23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3,138,412</w:t>
            </w:r>
          </w:p>
        </w:tc>
        <w:tc>
          <w:tcPr>
            <w:tcW w:w="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23,647</w:t>
            </w:r>
          </w:p>
        </w:tc>
        <w:tc>
          <w:tcPr>
            <w:tcW w:w="36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1,309</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loans: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16,500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4,438</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26.89%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19,931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67,815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1,847</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134</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vMerge w:val="continue"/>
          </w:tcPr>
          <w:p>
            <w:pPr>
              <w:spacing w:after="0"/>
              <w:rPr>
                <w:sz w:val="19"/>
                <w:szCs w:val="19"/>
                <w:color w:val="auto"/>
              </w:rPr>
            </w:pPr>
          </w:p>
        </w:tc>
        <w:tc>
          <w:tcPr>
            <w:tcW w:w="23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112,464</w:t>
            </w:r>
          </w:p>
        </w:tc>
        <w:tc>
          <w:tcPr>
            <w:tcW w:w="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8,176</w:t>
            </w:r>
          </w:p>
        </w:tc>
        <w:tc>
          <w:tcPr>
            <w:tcW w:w="36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665</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lines: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958,988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30,661</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1,245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393,384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1,208,161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8,971</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629</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69,493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vMerge w:val="continue"/>
          </w:tcPr>
          <w:p>
            <w:pPr>
              <w:spacing w:after="0"/>
              <w:rPr>
                <w:sz w:val="19"/>
                <w:szCs w:val="19"/>
                <w:color w:val="auto"/>
              </w:rPr>
            </w:pPr>
          </w:p>
        </w:tc>
        <w:tc>
          <w:tcPr>
            <w:tcW w:w="23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2,630,026</w:t>
            </w:r>
          </w:p>
        </w:tc>
        <w:tc>
          <w:tcPr>
            <w:tcW w:w="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45,658</w:t>
            </w:r>
          </w:p>
        </w:tc>
        <w:tc>
          <w:tcPr>
            <w:tcW w:w="36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2,277</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300" w:type="dxa"/>
            <w:vAlign w:val="bottom"/>
            <w:vMerge w:val="restart"/>
          </w:tcPr>
          <w:p>
            <w:pPr>
              <w:jc w:val="right"/>
              <w:ind w:right="170"/>
              <w:spacing w:after="0"/>
              <w:rPr>
                <w:sz w:val="20"/>
                <w:szCs w:val="20"/>
                <w:color w:val="auto"/>
              </w:rPr>
            </w:pPr>
            <w:r>
              <w:rPr>
                <w:rFonts w:ascii="Arial" w:cs="Arial" w:eastAsia="Arial" w:hAnsi="Arial"/>
                <w:sz w:val="18"/>
                <w:szCs w:val="18"/>
                <w:color w:val="auto"/>
              </w:rPr>
              <w:t>- 75 -</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comparative summary of nonperforming assets and certain past due loan data and credit quality ratios is presented on the accompanying table.</w:t>
      </w:r>
    </w:p>
    <w:p>
      <w:pPr>
        <w:spacing w:after="0" w:line="345" w:lineRule="exact"/>
        <w:rPr>
          <w:sz w:val="20"/>
          <w:szCs w:val="20"/>
          <w:color w:val="auto"/>
        </w:rPr>
      </w:pPr>
    </w:p>
    <w:p>
      <w:pPr>
        <w:ind w:right="4100"/>
        <w:spacing w:after="0" w:line="277" w:lineRule="auto"/>
        <w:rPr>
          <w:sz w:val="20"/>
          <w:szCs w:val="20"/>
          <w:color w:val="auto"/>
        </w:rPr>
      </w:pPr>
      <w:r>
        <w:rPr>
          <w:rFonts w:ascii="Arial" w:cs="Arial" w:eastAsia="Arial" w:hAnsi="Arial"/>
          <w:sz w:val="18"/>
          <w:szCs w:val="18"/>
          <w:color w:val="auto"/>
        </w:rPr>
        <w:t>NONPERFORMING ASSET AND PAST DUE, RENEGOTIATED AND IMPAIRED LOAN DATA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4"/>
                <w:szCs w:val="14"/>
                <w:color w:val="auto"/>
              </w:rPr>
              <w:t>2014 Quarters</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20" w:type="dxa"/>
            <w:vAlign w:val="bottom"/>
            <w:gridSpan w:val="4"/>
          </w:tcPr>
          <w:p>
            <w:pPr>
              <w:ind w:left="500"/>
              <w:spacing w:after="0"/>
              <w:rPr>
                <w:sz w:val="20"/>
                <w:szCs w:val="20"/>
                <w:color w:val="auto"/>
              </w:rPr>
            </w:pPr>
            <w:r>
              <w:rPr>
                <w:rFonts w:ascii="Arial" w:cs="Arial" w:eastAsia="Arial" w:hAnsi="Arial"/>
                <w:sz w:val="14"/>
                <w:szCs w:val="14"/>
                <w:color w:val="auto"/>
              </w:rPr>
              <w:t>2013 Quarters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92"/>
              <w:spacing w:after="0"/>
              <w:rPr>
                <w:sz w:val="20"/>
                <w:szCs w:val="20"/>
                <w:color w:val="auto"/>
              </w:rPr>
            </w:pPr>
            <w:r>
              <w:rPr>
                <w:rFonts w:ascii="Arial" w:cs="Arial" w:eastAsia="Arial" w:hAnsi="Arial"/>
                <w:sz w:val="14"/>
                <w:szCs w:val="14"/>
                <w:color w:val="auto"/>
              </w:rPr>
              <w:t>Third</w:t>
            </w:r>
          </w:p>
        </w:tc>
        <w:tc>
          <w:tcPr>
            <w:tcW w:w="40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color w:val="auto"/>
              </w:rPr>
              <w:t>Second</w:t>
            </w:r>
          </w:p>
        </w:tc>
        <w:tc>
          <w:tcPr>
            <w:tcW w:w="1040" w:type="dxa"/>
            <w:vAlign w:val="bottom"/>
            <w:gridSpan w:val="2"/>
          </w:tcPr>
          <w:p>
            <w:pPr>
              <w:jc w:val="right"/>
              <w:ind w:right="580"/>
              <w:spacing w:after="0"/>
              <w:rPr>
                <w:sz w:val="20"/>
                <w:szCs w:val="20"/>
                <w:color w:val="auto"/>
              </w:rPr>
            </w:pPr>
            <w:r>
              <w:rPr>
                <w:rFonts w:ascii="Arial" w:cs="Arial" w:eastAsia="Arial" w:hAnsi="Arial"/>
                <w:sz w:val="14"/>
                <w:szCs w:val="14"/>
                <w:color w:val="auto"/>
              </w:rPr>
              <w:t>First</w:t>
            </w:r>
          </w:p>
        </w:tc>
        <w:tc>
          <w:tcPr>
            <w:tcW w:w="1040" w:type="dxa"/>
            <w:vAlign w:val="bottom"/>
            <w:gridSpan w:val="2"/>
          </w:tcPr>
          <w:p>
            <w:pPr>
              <w:jc w:val="right"/>
              <w:ind w:right="520"/>
              <w:spacing w:after="0"/>
              <w:rPr>
                <w:sz w:val="20"/>
                <w:szCs w:val="20"/>
                <w:color w:val="auto"/>
              </w:rPr>
            </w:pPr>
            <w:r>
              <w:rPr>
                <w:rFonts w:ascii="Arial" w:cs="Arial" w:eastAsia="Arial" w:hAnsi="Arial"/>
                <w:sz w:val="14"/>
                <w:szCs w:val="14"/>
                <w:color w:val="auto"/>
              </w:rPr>
              <w:t>Fourth</w:t>
            </w:r>
          </w:p>
        </w:tc>
        <w:tc>
          <w:tcPr>
            <w:tcW w:w="980" w:type="dxa"/>
            <w:vAlign w:val="bottom"/>
            <w:gridSpan w:val="2"/>
          </w:tcPr>
          <w:p>
            <w:pPr>
              <w:ind w:left="220"/>
              <w:spacing w:after="0"/>
              <w:rPr>
                <w:sz w:val="20"/>
                <w:szCs w:val="20"/>
                <w:color w:val="auto"/>
              </w:rPr>
            </w:pPr>
            <w:r>
              <w:rPr>
                <w:rFonts w:ascii="Arial" w:cs="Arial" w:eastAsia="Arial" w:hAnsi="Arial"/>
                <w:sz w:val="14"/>
                <w:szCs w:val="14"/>
                <w:color w:val="auto"/>
              </w:rPr>
              <w:t>Third</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2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847,784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880,134</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890,893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874,156</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915,871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Real estate and other foreclosed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67,629</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59,793</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59,407</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66,875</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89,203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nonperforming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915,413</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939,927</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950,300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941,031</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1,005,074</w:t>
            </w:r>
          </w:p>
        </w:tc>
        <w:tc>
          <w:tcPr>
            <w:tcW w:w="0" w:type="dxa"/>
            <w:vAlign w:val="bottom"/>
          </w:tcPr>
          <w:p>
            <w:pPr>
              <w:spacing w:after="0"/>
              <w:rPr>
                <w:sz w:val="1"/>
                <w:szCs w:val="1"/>
                <w:color w:val="auto"/>
              </w:rPr>
            </w:pPr>
          </w:p>
        </w:tc>
      </w:tr>
      <w:tr>
        <w:trPr>
          <w:trHeight w:val="20"/>
        </w:trPr>
        <w:tc>
          <w:tcPr>
            <w:tcW w:w="62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240" w:type="dxa"/>
            <w:vAlign w:val="bottom"/>
            <w:gridSpan w:val="2"/>
          </w:tcPr>
          <w:p>
            <w:pPr>
              <w:spacing w:after="0"/>
              <w:rPr>
                <w:sz w:val="20"/>
                <w:szCs w:val="20"/>
                <w:color w:val="auto"/>
              </w:rPr>
            </w:pPr>
            <w:r>
              <w:rPr>
                <w:rFonts w:ascii="Arial" w:cs="Arial" w:eastAsia="Arial" w:hAnsi="Arial"/>
                <w:sz w:val="18"/>
                <w:szCs w:val="18"/>
                <w:color w:val="auto"/>
              </w:rPr>
              <w:t>Accruing loans past due 90 days or more (a)</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312,990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289,016</w:t>
            </w:r>
          </w:p>
        </w:tc>
        <w:tc>
          <w:tcPr>
            <w:tcW w:w="40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307,017</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368,510</w:t>
            </w:r>
          </w:p>
        </w:tc>
        <w:tc>
          <w:tcPr>
            <w:tcW w:w="4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339,792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060"/>
              <w:spacing w:after="0"/>
              <w:rPr>
                <w:sz w:val="20"/>
                <w:szCs w:val="20"/>
                <w:color w:val="auto"/>
              </w:rPr>
            </w:pPr>
            <w:r>
              <w:rPr>
                <w:rFonts w:ascii="Arial" w:cs="Arial" w:eastAsia="Arial" w:hAnsi="Arial"/>
                <w:sz w:val="18"/>
                <w:szCs w:val="18"/>
                <w:color w:val="auto"/>
              </w:rPr>
              <w:t>Nonaccrual 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68,586</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81,817</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75,959</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63,647</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68,519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Accruing loans past due 90 days or more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265,333</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275,846</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291,418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297,918</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320,732</w:t>
            </w:r>
          </w:p>
        </w:tc>
        <w:tc>
          <w:tcPr>
            <w:tcW w:w="0" w:type="dxa"/>
            <w:vAlign w:val="bottom"/>
          </w:tcPr>
          <w:p>
            <w:pPr>
              <w:spacing w:after="0"/>
              <w:rPr>
                <w:sz w:val="1"/>
                <w:szCs w:val="1"/>
                <w:color w:val="auto"/>
              </w:rPr>
            </w:pPr>
          </w:p>
        </w:tc>
      </w:tr>
      <w:tr>
        <w:trPr>
          <w:trHeight w:val="20"/>
        </w:trPr>
        <w:tc>
          <w:tcPr>
            <w:tcW w:w="62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240" w:type="dxa"/>
            <w:vAlign w:val="bottom"/>
            <w:gridSpan w:val="2"/>
          </w:tcPr>
          <w:p>
            <w:pPr>
              <w:spacing w:after="0"/>
              <w:rPr>
                <w:sz w:val="20"/>
                <w:szCs w:val="20"/>
                <w:color w:val="auto"/>
              </w:rPr>
            </w:pPr>
            <w:r>
              <w:rPr>
                <w:rFonts w:ascii="Arial" w:cs="Arial" w:eastAsia="Arial" w:hAnsi="Arial"/>
                <w:sz w:val="18"/>
                <w:szCs w:val="18"/>
                <w:color w:val="auto"/>
              </w:rPr>
              <w:t>Renegotiated loans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209,099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270,223</w:t>
            </w:r>
          </w:p>
        </w:tc>
        <w:tc>
          <w:tcPr>
            <w:tcW w:w="40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257,889</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257,092</w:t>
            </w:r>
          </w:p>
        </w:tc>
        <w:tc>
          <w:tcPr>
            <w:tcW w:w="4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259,301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Acquired accruing loans past due 90 days or more (b)</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132,147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134,580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120,996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130,162</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153,585</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Purchased impaired loans (c):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Outstanding customer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429,915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504,584</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534,331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579,975</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700"/>
              <w:spacing w:after="0"/>
              <w:rPr>
                <w:sz w:val="20"/>
                <w:szCs w:val="20"/>
                <w:color w:val="auto"/>
              </w:rPr>
            </w:pPr>
            <w:r>
              <w:rPr>
                <w:rFonts w:ascii="Arial" w:cs="Arial" w:eastAsia="Arial" w:hAnsi="Arial"/>
                <w:sz w:val="18"/>
                <w:szCs w:val="18"/>
                <w:color w:val="auto"/>
              </w:rPr>
              <w:t>Carrying amount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236,662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282,517</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303,388</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330,792</w:t>
            </w:r>
          </w:p>
        </w:tc>
        <w:tc>
          <w:tcPr>
            <w:tcW w:w="4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357,337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 to total loans and leases, net of unearned discount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r>
      <w:tr>
        <w:trPr>
          <w:trHeight w:val="202"/>
        </w:trPr>
        <w:tc>
          <w:tcPr>
            <w:tcW w:w="6240" w:type="dxa"/>
            <w:vAlign w:val="bottom"/>
          </w:tcPr>
          <w:p>
            <w:pPr>
              <w:spacing w:after="0" w:line="201" w:lineRule="exact"/>
              <w:rPr>
                <w:sz w:val="20"/>
                <w:szCs w:val="20"/>
                <w:color w:val="auto"/>
              </w:rPr>
            </w:pPr>
            <w:r>
              <w:rPr>
                <w:rFonts w:ascii="Arial" w:cs="Arial" w:eastAsia="Arial" w:hAnsi="Arial"/>
                <w:sz w:val="18"/>
                <w:szCs w:val="18"/>
                <w:color w:val="auto"/>
              </w:rPr>
              <w:t>Nonperforming assets to total net loans and leases and real estate and other</w:t>
            </w: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6240" w:type="dxa"/>
            <w:vAlign w:val="bottom"/>
          </w:tcPr>
          <w:p>
            <w:pPr>
              <w:ind w:left="180"/>
              <w:spacing w:after="0"/>
              <w:rPr>
                <w:sz w:val="20"/>
                <w:szCs w:val="20"/>
                <w:color w:val="auto"/>
              </w:rPr>
            </w:pPr>
            <w:r>
              <w:rPr>
                <w:rFonts w:ascii="Arial" w:cs="Arial" w:eastAsia="Arial" w:hAnsi="Arial"/>
                <w:sz w:val="18"/>
                <w:szCs w:val="18"/>
                <w:color w:val="auto"/>
              </w:rPr>
              <w:t>foreclosed assets</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1.45%</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1.48%</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1.47%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r>
      <w:tr>
        <w:trPr>
          <w:trHeight w:val="202"/>
        </w:trPr>
        <w:tc>
          <w:tcPr>
            <w:tcW w:w="6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Accruing loans past due 90 days or more (a) to total loans and leases, net of</w:t>
            </w: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unearned discount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r>
      <w:tr>
        <w:trPr>
          <w:trHeight w:val="20"/>
        </w:trPr>
        <w:tc>
          <w:tcPr>
            <w:tcW w:w="6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i w:val="1"/>
          <w:iCs w:val="1"/>
          <w:color w:val="auto"/>
        </w:rPr>
      </w:pPr>
      <w:r>
        <w:rPr>
          <w:rFonts w:ascii="Arial" w:cs="Arial" w:eastAsia="Arial" w:hAnsi="Arial"/>
          <w:sz w:val="18"/>
          <w:szCs w:val="18"/>
          <w:i w:val="1"/>
          <w:iCs w:val="1"/>
          <w:color w:val="auto"/>
        </w:rPr>
        <w:t>Excludes acquired loans. Predominantly residential mortgage loans.</w:t>
      </w:r>
    </w:p>
    <w:p>
      <w:pPr>
        <w:spacing w:after="0" w:line="23" w:lineRule="exact"/>
        <w:rPr>
          <w:rFonts w:ascii="Arial" w:cs="Arial" w:eastAsia="Arial" w:hAnsi="Arial"/>
          <w:sz w:val="18"/>
          <w:szCs w:val="18"/>
          <w:i w:val="1"/>
          <w:iCs w:val="1"/>
          <w:color w:val="auto"/>
        </w:rPr>
      </w:pPr>
    </w:p>
    <w:p>
      <w:pPr>
        <w:ind w:left="460" w:right="620" w:hanging="452"/>
        <w:spacing w:after="0" w:line="250" w:lineRule="auto"/>
        <w:tabs>
          <w:tab w:leader="none" w:pos="460" w:val="left"/>
        </w:tabs>
        <w:numPr>
          <w:ilvl w:val="0"/>
          <w:numId w:val="71"/>
        </w:numPr>
        <w:rPr>
          <w:rFonts w:ascii="Arial" w:cs="Arial" w:eastAsia="Arial" w:hAnsi="Arial"/>
          <w:sz w:val="18"/>
          <w:szCs w:val="18"/>
          <w:i w:val="1"/>
          <w:iCs w:val="1"/>
          <w:color w:val="auto"/>
        </w:rPr>
      </w:pPr>
      <w:r>
        <w:rPr>
          <w:rFonts w:ascii="Arial" w:cs="Arial" w:eastAsia="Arial" w:hAnsi="Arial"/>
          <w:sz w:val="18"/>
          <w:szCs w:val="18"/>
          <w:i w:val="1"/>
          <w:iCs w:val="1"/>
          <w:color w:val="auto"/>
        </w:rPr>
        <w:t>Acquired loans that were recorded at fair value at acquisition date. This category does not include purchased impaired loans that are presented separately.</w:t>
      </w:r>
    </w:p>
    <w:p>
      <w:pPr>
        <w:ind w:left="460" w:hanging="452"/>
        <w:spacing w:after="0"/>
        <w:tabs>
          <w:tab w:leader="none" w:pos="460" w:val="left"/>
        </w:tabs>
        <w:numPr>
          <w:ilvl w:val="0"/>
          <w:numId w:val="71"/>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recorded at fair value.</w:t>
      </w:r>
    </w:p>
    <w:p>
      <w:pPr>
        <w:spacing w:after="0" w:line="21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Real estate and other foreclosed assets were $68 million at September 30, 2014, compared with $89 million at September 30, 2013, $67 million at December 31, 2013 and $60 million at June 30, 2014. At September 30, 2014, the Company’s holding of residential real estate-related properties comprised 80% of foreclosed assets.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Management determined the allowance for credit losses by performing ongoing evaluations of the loan and lease portfolio, including such factors as the differing economic risks associated with each loan category, the financial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- 76 -</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 conditions and the other factors described above, included, but were not limited to: (i) the impact of residential real estate values on the Company’s portfolio of loans to residential real estate builders and developers and other loans secured by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(iv) the repayment performance associated with the Company’s first and second lien loans secured by residential real estate;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173" w:lineRule="exact"/>
        <w:rPr>
          <w:sz w:val="20"/>
          <w:szCs w:val="20"/>
          <w:color w:val="auto"/>
        </w:rPr>
      </w:pPr>
    </w:p>
    <w:p>
      <w:pPr>
        <w:ind w:right="400" w:firstLine="456"/>
        <w:spacing w:after="0" w:line="291" w:lineRule="auto"/>
        <w:rPr>
          <w:sz w:val="20"/>
          <w:szCs w:val="20"/>
          <w:color w:val="auto"/>
        </w:rPr>
      </w:pPr>
      <w:r>
        <w:rPr>
          <w:rFonts w:ascii="Arial" w:cs="Arial" w:eastAsia="Arial" w:hAnsi="Arial"/>
          <w:sz w:val="16"/>
          <w:szCs w:val="16"/>
          <w:color w:val="auto"/>
        </w:rPr>
        <w:t>Management cautiously and conservatively evaluated the allowance for credit losses as of September 30, 2014 in light of: (i) residential real estate values and the level of delinquencies of loans secured by residential real estate; (ii) economic conditions in the markets served by the Company;</w:t>
      </w:r>
    </w:p>
    <w:p>
      <w:pPr>
        <w:ind w:right="40" w:firstLine="8"/>
        <w:spacing w:after="0" w:line="292" w:lineRule="auto"/>
        <w:tabs>
          <w:tab w:leader="none" w:pos="315"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continuing weakness in industrial employment in upstate New York and central Pennsylvania; (iv) the significant subjectivity involved in many commercial real estate valuations; and (v) the amount of loan growth experienced by the Company. While there has been general improvement in economic conditions, concerns continue to exist about the strength and sustainability of such improvements; the slowly strengthening housing market; the troubled state of financial and credit markets; Federal Reserve positioning of monetary policy; high levels of unemployment; and continued stagnant population growth in the upstate New York and central Pennsylvania regions (approximately 60% of the Company’s loans are to customers in New York State and Pennsylvania).</w:t>
      </w:r>
    </w:p>
    <w:p>
      <w:pPr>
        <w:spacing w:after="0" w:line="16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utilizes a loan grading system which is applied to all commercial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Criticized commercial loans and commercial real estate loans were $2.0 billion at September 30, 2014, compared with $2.2 billion at September 30, 2013 and $1.8 billion at each of December 31, 2013 and June 30, 2014. The rise in criticized loans from June 30, 2014 resulted largely from higher commercial real estate construction loans in this classification. Loan officers with the support of loan review personnel in different geographic locations are responsible to continuously review and reassign loan grades to pass and criticized loans based on their detailed knowledge of individual borrowers and their judgment of the impact on such borrowers resulting from changing conditions in their respective geographic regions. On a quarterly basis, the Company’s centralized loan review department reviews all criticized commercial and commercial real estate loans greater than $1 million to determine the appropriateness of the assigned loan grade,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- 77 -</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reviewed.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loan review department. Accordingly, for real estate collateral securing larger commercial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 loans, the Company’s loss identification and estimation techniques make reference to loan performance and house price data in specific areas of the country where collateral that was securing the Company’s residential real estate loans was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At September 30, 2014, approximately 55% of the Company’s home equity portfolio consisted of first lien loans and lines of credit. Of the remaining junior lien loans in the portfolio, approximately 74% (or approximately 33% of the aggregate home equity portfolio) consisted of junior lien loans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 loan or line that is owned by the Company is placed on nonaccrual status. At September 30, 2014, the balance of junior lien loans and lines that were in nonaccrual status solely as a result of first lien loan performance was $26 million, compared with $32 million at September 30, 2013, $30 million at December 31, 2013 and $29 million at June 30, 2014. In monitoring the credit quality of its home equity portfolio for purposes of determining the allowance for credit losses, the Company reviews delinquency and nonaccrual information and considers recent charge-off experience. Additionally, the Company generally evaluates home equity loans and lines of credit that are more than 150 days past due for collectibility on a loan-by-loan basis and the excess of the loan balance over the net realizable value of the property collateralizing the loan is charged-off at that time. In determining the amount of such charge-offs, if the Company does not know the amount of the remaining first lien mortgage loan (typically because the Company does not own or service the first lien loan), the Company assumes that the first lien mortgage loan has had no principal amortization since the origination of the junior lien loan. Similarly, data used in estimating incurred losses for purposes of determining the allowance for credit losses also assumes no reductions in outstanding principal of first lien loans since the origination of the junior lien loan. Home equity line of</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- 78 -</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credit terms vary but such lines are generally originated with an open draw period of ten years followed by an amortization period of up to twenty years. At September 30, 2014, approximately 93% of all outstanding balances of home equity lines of credit related to lines that were still in the draw period, the weighted-average remaining draw periods were approximately five years, and approximately 14% were making contractually allowed payments that do not include any repayment of principal.</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19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determining the allowance for credit losses, the Company estimates losses attributable to specific troubled credits identified through both normal and detailed or intensified credit review processes and also estimates losses inherent in other loans and leases. In quantifying incurred losses, the Company considers the factors and uses the techniques described herein and in note 4 of Notes to Financial Statements. For purposes of determining the level of the allowance for credit losses, the Company segments its loan and lease portfolio by loan type. The amount of specific loss components in the Company’s loan and lease portfolios is determined through a loan-by-loan analysis of commercial loans and commercial real estate loans in nonaccrual status. Measurement of the specific loss components is typically based on expected future cash flows, collateral values or other factors that may impact the borrower’s ability to pay. Losses associated with residential real estate loans and consumer loans are generally determined by reference to recent charge-off history and are evaluated (and adjusted if deemed appropriate) through consideration of other factors including near-term forecasted loss estimates developed by the Company’s credit department. These forecasts give consideration to overall borrower repayment performance and current geographic region changes in collateral values using third party published historical price indices or automated valuation methodologies. With regard to collateral values, the realizability of such values by the Company contemplates repayment of any first lien position prior to recovering amounts on a junior lien position. Approximately 45% of the Company’s home equity portfolio consists of junior lien loans and lines of credit. The Company generally evaluates residential real estate loans and home equity loans and lines of credit that are more than 150 days past due for collectibility on a loan-by-loan basis and the excess of the loan balance over the net realizable value of the property collateralizing the loan is charged-off at that time. Except for consumer loans and residential real estate loans that are considered smaller balance homogeneous loans and are evaluated collectively and loans obtained in acquisition transactions,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Those impaired loans are evaluated for specific loss components. Modified loans, including smaller balance homogenous loans, that are considered to be troubled 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 be impaired. Loans acquired in connection with acquisition transactions subsequent to 2008 were recorded at fair value with no carry-over of any previously recorded allowance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- 79 -</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for credit losses. Determining the fair value of the acquired loans required estimating cash flows expected to be collected on the loans and discounting those cash flows at then-current interest rates. The impact of estimated future credit losses represents the predominant difference between contractually required payments at acquisition and the cash flows expected to be collected at acquisition. Subsequent decreases to those expected cash flows require the Company to evaluate the need for an additional allowance for credit losses and could lead to charge-offs of acquired loan balances. Additional information regarding the Company’s process for determining the allowance for credit losses is included in note 4 of Notes to Financial Statements.</w:t>
      </w:r>
    </w:p>
    <w:p>
      <w:pPr>
        <w:spacing w:after="0" w:line="158"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Management believes that the allowance for credit losses at September 30, 2014 appropriately reflected credit losses inherent in the portfolio as of that date. The allowance for credit losses was $919 million, or 1.40% of total loans and leases at September 30, 2014, compared with $916 million or 1.44% at September 30, 2013, $917 million or 1.43% at December 31, 2013 and $918 million or 1.42% at June 30, 2014. The level of the allowance reflects management’s evaluation of the loan and lease portfolio using the methodology and considering the factors as described herein. Should the various credit factors considered by management in establishing the allowance for credit losses change and should management’s assessment of losses inherent in the loan portfolio also change, the level of the allowance as a percentage of loans could increase or decrease in future periods. The ratio of the allowance for credit losses to nonaccrual loans was 108% at September 30, 2014, compared with 100% at September 30, 2013, 105% at December 31, 2013 and 104% at June 30, 2014. Given the Company’s general position as a secured lender and its practice of charging off loan balances when collection is deemed doubtful, that ratio and changes in that ratio are generally not an indicative measure of the adequacy of the Company’s allowance for credit losses, nor does management rely upon that ratio in determining the allowance. The level of the allowance reflects management’s evaluation of the loan and lease portfolio as of each respective date.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Other income totaled $451 million in the third quarter of 2014, compared with $477 million in the year-earlier quarter and $456 million in the second quarter of 2014. Reflected in other income in the third quarter of 2013 were gains from loan securitization activities of $56 million. Excluding such gains, other income in that quarter totaled $421 million. The improvement in the recent quarter as compared with the year-earlier quarter, exclusive of the securitization gains, resulted predominantly from higher residential mortgage banking revenues associated with loan servicing activities. As compared with the second quarter of 2014, lower revenue associated with loan sales activities was the most significant contributor to the recent quarter decline in other income.</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Mortgage banking revenues were $94 million in the recently completed quarter, up 44% from $65 million in the third quarter of 2013, but 2% below $96 million in the second quarter of 2014.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187" w:lineRule="exact"/>
        <w:rPr>
          <w:sz w:val="20"/>
          <w:szCs w:val="20"/>
          <w:color w:val="auto"/>
        </w:rPr>
      </w:pPr>
    </w:p>
    <w:p>
      <w:pPr>
        <w:jc w:val="both"/>
        <w:ind w:right="380" w:firstLine="456"/>
        <w:spacing w:after="0" w:line="312" w:lineRule="auto"/>
        <w:rPr>
          <w:sz w:val="20"/>
          <w:szCs w:val="20"/>
          <w:color w:val="auto"/>
        </w:rPr>
      </w:pPr>
      <w:r>
        <w:rPr>
          <w:rFonts w:ascii="Arial" w:cs="Arial" w:eastAsia="Arial" w:hAnsi="Arial"/>
          <w:sz w:val="16"/>
          <w:szCs w:val="16"/>
          <w:color w:val="auto"/>
        </w:rPr>
        <w:t>Residential mortgage banking revenues, consisting of realized gains from sales of residential real estate loans and loan servicing rights, unrealized gains and losses on residential mortgage loans held for sale and related commitments, residential real estate loan servicing fees, and other residential real estate loan-related fees and income, were $73 million in the third quarter of 2014, compared with $50 million in the third quarter of 2013</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- 80 -</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and $78 million in the second quarter of 2014. The higher level of residential mortgage banking revenues in the recent quarter as compared with the year-earlier quarter resulted predominantly from increased revenues from servicing residential real estate loans for others. As compared with the second quarter of 2014, the recent quarter’s decline in residential mortgage banking revenues reflects lower levels of origination activity and the sale of re-performing government guaranteed loans in 2014’s second quarter. Loans originated for sale include the impact of the Company’s involvement in the U.S. Government’s Home Affordable Refinance Program (“HARP 2.0”), which allows homeowners to refinance their Fannie Mae or Freddie Mac mortgages when the value of their home has fallen such that they have little or no equity. The HARP 2.0 program was set to expire December 31, 2013, but was extended and will now be available to borrowers through December 31, 2015. Nevertheless, volumes associated with the HARP 2.0 refinancing program have declined since 2013.</w:t>
      </w:r>
    </w:p>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New commitments to originate residential real estate loans to be sold were approximately $878 million in the recent quarter, compared with $1.1 billion and $905 million in the third quarter of 2013 and the second quarter of 2014, respectively. Included in those commitments to originate residential real estate loans to be sold were HARP 2.0 commitments of $102 million, $131 million and $69 million in the quarters ended September 30, 2014, September 30, 2013 and June 30, 2014, respectively. Realized gains from sales of residential real estate loans and loan servicing rights and recognized net unrealized gains and losses attributable to residential real estate loans held for sale, commitments to originate loans for sale and commitments to sell loans totaled to a gain of $19 million in the recently completed quarter, compared with gains of $17 million and $27 million in the third quarter of 2013 and the second quarter of 2014, respectively.</w:t>
      </w:r>
    </w:p>
    <w:p>
      <w:pPr>
        <w:spacing w:after="0" w:line="18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Company is contractually obligated to repurchase previously sold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for losses related to its obligations to loan purchasers. The amount of those charges varies based on the volume of loans sold, the level of reimbursement requests received from loan purchasers and estimates of losses that may be associated with previously sold loans. Residential mortgage banking revenues were reduced by less than $1 million during the recent quarter, compared with similar reductions of $3 million in each of the third quarter of 2013 and the second quarter of 2014.</w:t>
      </w:r>
    </w:p>
    <w:p>
      <w:pPr>
        <w:spacing w:after="0" w:line="17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Loans held for sale that are secured by residential real estate totaled $466 million at September 30, 2014, $667 million at September 30, 2013 and $401 million at December 31, 2013. Commitments to sell residential real estate loans and commitments to originate residential real estate loans for sale at pre-determined rates were $827 million and $557 million, respectively, at September 30, 2014, $1.1 billion and $648 million, respectively, at September 30, 2013 and $725 million and $470 million, respectively, at December 31, 2013. Net recognized unrealized gains on residential real estate loans held for sale, commitments to sell loans, and commitments to originate loans for sale were $20 million at each of September 30, 2014 and December 31, 2013 and $22 million at September 30, 2013. Changes in such net unrealized gains are recorded in mortgage banking revenues and resulted in net increases in revenues of less than $1 million in the recent quarter and $3 million in the second quarter of 2014, and a net decrease in revenues of $23 million in the third quarter of 2013.</w:t>
      </w:r>
    </w:p>
    <w:p>
      <w:pPr>
        <w:spacing w:after="0" w:line="192"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Revenues from servicing residential real estate loans for others were $54 million in the recent quarter, compared with $32 million in the third quarter of 2013 and $51 million in the second quarter of 2014. Residential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- 81 -</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mortgage loans serviced for others totaled $69.7 billion at September 30, 2014, $72.2 billion at September 30, 2013, $72.4 billion at December 31, 2013 and $71.0 billion at June 30, 2014, including certain small balance commercial real estate loans of $2.9 billion at the recent quarter-end, $3.4 billion at September 30, 2013, $3.2 billion at December 31, 2013 and $3.0 billion at June 30, 2014. Reflected in residential real estate loans serviced for others were loans sub-serviced for others of $44.4 billion at September 30, 2014, $46.5 billion at September 30, 2013, $46.6 billion at December 31, 2013 and $45.5 billion at June 30, 2014. The contractual servicing rights associated with loans sub-serviced by the Company were predominantly held by affiliates of Bayview Lending Group LLC (“BLG”). Revenues earned for sub-servicing loans were $30 million and $8 million for the three-month periods ended September 30, 2014 and 2013, respectively, and $27 million for the three-month period ended June 30, 2014.</w:t>
      </w:r>
    </w:p>
    <w:p>
      <w:pPr>
        <w:spacing w:after="0" w:line="178"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Capitalized servicing rights consist largely of servicing associated with loans sold by the Company. Capitalized residential mortgage servicing assets totaled $114 million at September 30, 2014, compared with $131 million at September 30, 2013 and $129 million at December 31, 2013.</w:t>
      </w:r>
    </w:p>
    <w:p>
      <w:pPr>
        <w:spacing w:after="0" w:line="14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Commercial mortgage banking revenues were $20 million in the third quarter of 2014, compared with $15 million in the year-earlier period and $18 million in the second quarter of 2014. Included in such amounts were revenues from loan origination and sales activities of $11 million in the recent quarter, compared with $7 million in the third quarter of 2013 and $9 million in the second quarter of 2014. Commercial real estate loans originated for sale to other investors totaled $513 million in the recent quarter, compared with $370 million and $312 million in the third quarter of 2013 and the second quarter of 2014, respectively. Loan servicing revenues were $9 million in each of the two most recent quarters and $8 million in the third quarter of 2013. Capitalized commercial mortgage servicing assets totaled $73 million at September 30, 2014, $69 million at September 30, 2013 and $72 million at December 31, 2013. Commercial real estate loans serviced for other investors totaled $11.3 billion, $11.1 billion and $11.4 billion at September 30, 2014, September 30, 2013 and December 31, 2013, respectively, and included $2.3 billion, $2.2 billion and $2.3 billion, respectively, of loan balances for which investors had recourse to the Company if such balances are ultimately uncollectible. Commitments to sell commercial real estate loans and commitments to originate commercial real estate loans for sale were $300 million and $141 million, respectively, at September 30, 2014, $212 million and $60 million, respectively, at September 30, 2013 and $130 million and $62 million, respectively, at December 31, 2013. Commercial real estate loans held for sale at September 30, 2014, September 30, 2013 and December 31, 2013 were $159 million, $152 million and $68 million, respectively.</w:t>
      </w:r>
    </w:p>
    <w:p>
      <w:pPr>
        <w:spacing w:after="0" w:line="16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Service charges on deposit accounts totaled $110 million in the third quarter of 2014, compared with $114 million in the year-earlier quarter and $107 million in the second quarter of 2014. The lower level of fees in the two most recent quarters as compared with the third quarter of 2013 was largely due to lower consumer deposit service fees. 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The Wealth Advisory Services (“WAS”) business helps high net worth clients grow their wealth, protect it, and transfer it to their heirs. A comprehensive array of wealth management services are offered, including asset management, fiduciary services and family office services. Revenues associated with the ICS business were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- 82 -</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approximately $63 million, $58 million and $61 million during the quarters ended September 30, 2014, September 30, 2013 and June 30, 2014, respectively. Revenues attributable to WAS were approximately $56 million for each of the three-month periods ended September 30, 2014 and 2013, and $60 million for the three-month period ended June 30, 2014. In total, trust income aggregated $129 million in the third quarter of 2014, compared with $124 million and $130 million in the year-earlier quarter and the second quarter of 2014, respectively. Total trust assets, which include assets under management and assets under administration, aggregated $276.6 billion at September 30, 2014, compared with $255.1 billion at September 30, 2013 and $266.1 billion at December 31, 2013. Trust assets under management were $67.7 billion, $63.2 billion and $65.1 billion at September 30, 2014, September 30, 2013 and December 31, 2013, respectively. The Company’s proprietary mutual funds had assets of $12.4 billion, $13.2 billion and $12.7 billion at September 30, 2014, September 30, 2013 and December 31, 2013, respectively.</w:t>
      </w:r>
    </w:p>
    <w:p>
      <w:pPr>
        <w:spacing w:after="0" w:line="17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Brokerage services income, which includes revenues from the sale of mutual funds and annuities and securities brokerage fees, totaled $17 million in each of the third quarters of 2014 and 2013 and the second quarter of 2014. Gains from trading account and foreign exchange activity were $7 million during the most recent quarter, $9 million during the year-earlier quarter, and $8 million in the second quarter of 2014. Information about the notional amount of interest rate, foreign exchange and other contracts entered into by the Company for trading account purposes is included in note 10 of Notes to Financial Statements and herein under the heading “Taxable-equivalent Net Interest Income.”</w:t>
      </w:r>
    </w:p>
    <w:p>
      <w:pPr>
        <w:spacing w:after="0" w:line="18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M&amp;T’s share of the operating results of BLG in each of the two most recent quarters and in 2013’s third quarter was a loss of $4 million. The operating losses of BLG in the respective quarters reflect provisions for losses associated with securitized loans and other loans held by BLG and loan servicing and other administrative costs. Under GAAP, such losses are required to be recognized by BLG despite the fact that many of the securitized loan losses will ultimately be borne by the underlying third party bond-holders. As these loan losses are realized through later foreclosure and still later sale of real estate collateral, the underlying bonds will be charged-down leading to BLG’s future recognition of debt extinguishment gains. The timing of such debt extinguishment is difficult to predict and given ongoing loan loss provisioning, it is not possible to project when BLG will return to profitability. As a result of credit and liquidity disruptions, BLG ceased its originations of small-balance commercial real estate loans in 2008. However, as a result of past securitization activities, BLG is entitled to cash flows from mortgage assets that it owns or that are owned by its affiliates and is also entitled to receive distributions from affiliates that provide asset management and other services. Accordingly, the Company believes that BLG is capable of realizing positive cash flows that could be available for distribution to its owners, including M&amp;T, despite a lack of positive GAAP-earnings from its core mortgage activities. To this point, BLG’s affiliates have largely reinvested their earnings to generate additional servicing and asset management activities, further contributing to the value of those affiliates. Information about the Company’s relationship with BLG and its affiliates is included in note 15 of Notes to Financial Statements.</w:t>
      </w:r>
    </w:p>
    <w:p>
      <w:pPr>
        <w:spacing w:after="0" w:line="16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Other revenues from operations totaled $99 million in the recent quarter, compared with $153 million in the third quarter of 2013 and $102 million in the second quarter of 2014. Reflected in other revenues from operations in the third quarter of 2013 were gains from securitization transactions which totaled $56 million. During that quarter, the Company securitized approximately $1.0 billion of one-to-four family residential real estate loans held in the Company’s loan portfolio in guaranteed mortgage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- 83 -</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securitizations with Ginnie Mae and recognized gains of $35 million. Also during that quarter, the Company securitized and sold approximately $1.4 billion of automobile loans held in its loan portfolio, resulting in a gain of $21 million. The Company securitized those loans to improve its regulatory capital ratios and strengthen its liquidity and risk profile as a result of changing regulatory requirements. Also included in other revenues from operations were the following significant components: letter of credit and other credit-related fees totaled $29 million in the third quarter of 2014 and $35 million in each of the third quarter of 2013 and the second quarter of 2014; tax-exempt income from bank owned life insurance, which includes increases in the cash surrender value of life insurance policies and benefits received, aggregated $13 million in each of the third quarters of 2014 and 2013 and the second quarter of 2014; revenues from merchant discount and credit card fees were $25 million in the recent quarter, compared with $21 million in the third quarter of 2013 and $24 million in 2014’s second quarter; and insurance-related sales commissions and other revenues totaled $10 million in each of the third quarters of 2014 and 2013 and $11 million in the second quarter of 2014.</w:t>
      </w:r>
    </w:p>
    <w:p>
      <w:pPr>
        <w:spacing w:after="0" w:line="18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Other income totaled $1.33 billion in the first nine months of 2014, compared with $1.42 billion in the corresponding 2013 period. Gains and losses on bank investment securities (including other-than-temporary impairment losses) totaled to net gains of $47 million in 2013. There were no gains or losses on investment securities in 2014. Also reflected in other income in 2013 were gains from securitization transactions of $63 million. Excluding gains and losses from bank investment securities and gains from securitization activities, other income in the nine-month period ended September 30, 2013 aggregated $1.31 billion.</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Mortgage banking revenues were $269 million for the nine-month period ended September 30, 2014, up 8% from $249 million in the year-earlier period. Residential mortgage banking revenues rose 13% to $216 million during the first nine months of 2014 from $191 million in the similar 2013 period. New commitments to originate residential real estate loans to be sold were $2.5 billion and $4.7 billion during the first nine months of 2014 and 2013, respectively. Realized gains from sales of residential real estate loans and loan servicing rights (net of the impact of costs associated with obligations to repurchase real estate loans originated for sale) and recognized unrealized gains and losses on residential real estate loans held for sale, commitments to originate loans for sale and commitments to sell loans totaled to gains of $61 million and $108 million during the nine-month periods ended September 30, 2014 and 2013, respectively. Residential mortgage banking revenues during the nine-month periods ended September 30, 2014 and 2013 were reduced by $3 million and $13 million, respectively, related to actual or anticipated settlements of repurchase obligations. Revenues from servicing residential mortgage loans for others were $155 million and $83 million for the first nine-months of 2014 and 2013, respectively. That increase was largely attributable to increased sub-servicing revenues that totaled $83 million and $14 million in the 2014 and 2013 periods, respectively. Commercial mortgage banking revenues totaled $53 million and $58 million during the nine-month periods ended September 30, 2014 and 2013, respectively. That decline resulted largely from lower origination activity. Commercial real estate loans originated for sale to others were $1.1 billion in the first nine months of 2014, compared with $1.4 billion in the comparable 2013 period.</w:t>
      </w:r>
    </w:p>
    <w:p>
      <w:pPr>
        <w:spacing w:after="0" w:line="188"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Service charges on deposit accounts aggregated $322 million and $337 million during the first nine months of 2014 and 2013, respectively. That decline resulted from lower consumer service charges, largely overdraft fees. Trust income rose 3% to $380 million from $370 million a year earlier. Brokerage services income totaled $51 million during the first nine months of 2014, compared with $50 million in the year-earlier period. Trading account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- 84 -</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and foreign exchange activity resulted in gains of $21 million and $27 million for the nine-month periods ended September 30, 2014 and 2013, respectively. That decline reflected lower income from new interest rate swap activity conducted on behalf of customers. M&amp;T’s investment in BLG resulted in losses of $13 million for the nine months ended September 30, 2014, compared with losses of $10 million in the year-earlier period.</w:t>
      </w:r>
    </w:p>
    <w:p>
      <w:pPr>
        <w:spacing w:after="0" w:line="166"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Gains and losses on investment securities totaled to net gains of $47 million in the nine-month period ended September 30, 2013. Reflected in that amount were other-than-temporary impairment losses of $10 million. Those losses related to a subset of the privately issued mortgage-backed securities that were sold in the second quarter of 2013. During the second quarter of 2013, the Company sold privately issued mortgage-backed securities held in its available-for-sale portfolio having an amortized cost of approximately $1.0 billion, resulting in a net pre-tax loss of $46 million. The Company sold the privately issued mortgage-backed securities in order to improve its regulatory capital and liquidity position through reduced exposure to such relatively higher risk, less liquid, securities in favor of lower risk, highly liquid, Ginnie Mae securities. Also in 2013’s second quarter, the Company realized a $103 million pre-tax gain from the sale of its holdings of Visa and MasterCard common stock that it had received at no cost as part of the restructuring of those companies several years earlier. There were no gains or losses on investment securities in 2014.</w:t>
      </w:r>
    </w:p>
    <w:p>
      <w:pPr>
        <w:spacing w:after="0" w:line="17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Other revenues from operations were $297 million in the nine-month period ended September 30, 2014, compared with $350 million in the similar year-earlier period. Reflected in such revenues in 2013 were the $63 million of gains from securitization activities previously discussed. Also included in other revenues from operations during the nine-month periods ended September 30, 2014 and 2013 were the following significant components: letter of credit and other credit related fees of $96 million and $99 million, respectively; income from bank owned life insurance of $37 million and $44 million, respectively; merchant discount and credit card fees of $70 million and $62 million, respectively; and insurance-related sales commissions and other revenues of $33 million and $32 million,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Other expense aggregated $679 million in the third quarter of 2014, up 3% from $659 million in the year-earlier period, but down from $681 million in 2014’s second quarter. Included in those amounts are expenses considered by management to be “nonoperating” in nature consisting of amortization of core deposit and other intangible assets of $7 million and $11 million in the third quarters of 2014 and 2013, respectively, and $9 million in the second quarter of 2014. There were no merger-related expenses during those respective quarters. Exclusive of these nonoperating expenses, noninterest operating expenses were $672 million in each of the two most recent quarters, compared with $648 million in the third quarter of 2013. The most significant factors for the higher level of expenses in the recent quarters as compared with 2013’s third quarter were higher costs for professional services and salaries associated with BSA/AML activities, compliance, capital planning and stress testing, risk management, and other operational initiatives. The comparison of the third and second quarters of 2014 reflects higher salaries and benefits in the most recent quarter resulting from an additional compensation day and higher incentive compensation, offset by lower litigation-related costs that had been elevated in 2014’s second quarter to provide for a pre-acquisition contingency associated with Wilmington Trust Corporation, a subsidiary of M&amp;T. In the third quarter of 2014, Wilmington Trust Corporation paid $18.5 million to settle claims by the SEC that Wilmington Trust Corporation had not correctly reported certain of its financial statement information prior to being acquired by M&amp;T.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- 85 -</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Wilmington Trust Corporation did not admit to the allegations in settling this matter. That settlement had no impact on the Company’s expenses in the third quarter of 2014.</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Other expense for the first nine months of 2014 aggregated $2.06 billion, up $170 million or 9% from $1.89 billion in the year-earlier period. Included in those amounts are expenses considered to be “nonoperating” in nature consisting of amortization of core deposit and other intangible assets of $27 million in 2014 and $36 million in 2013, and merger-related expenses of $12 million in 2013. The merger-related expenses were incurred in connection with the pending Hudson City acquisition. Those expenses consisted largely of professional services and other temporary help fees associated with the planned conversion of systems and/or integration of operations; initial marketing and promotion expenses designed to introduce M&amp;T Bank to its new customers; travel costs; and printing, postage, supplies and other costs. Exclusive of these nonoperating expenses, noninterest operating expenses through the first nine months of 2014 increased $192 million or 10% to $2.04 billion from $1.84 billion in the corresponding 2013 period. The most significant factors contributing to that increase were higher costs for professional services and salaries associated with the BSA/AML activities, compliance, capital planning and stress testing, risk management, and other operational initiatives, and the reversal in the second quarter of 2013 of a contingent compensation obligation that expired. Table 2 provides a reconciliation of other expense to noninterest operating expense.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Salaries and employee benefits expense totaled $349 million in the third quarter of 2014, compared with $339 million in the third quarter of 2013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$340 million in the second quarter of 2014. For the first three quarters of 2014, salaries and employee benefits expense totaled $1.06 billion, up 4%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$1.02 billion in the year-earlier period. Such expense included stock-based compensation of $11 million, $9 million and $12 million during the quarters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2014, September 30, 2013 and June 30, 2014, respectively, and $54 million and $47 million for the nine-month periods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2014 and 2013, respectively. The higher expense levels during the three- and nine-month periods ended September 30, 2014 as compared with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corresponding periods in 2013 reflect costs related to BSA/AML activities, compliance, capital planning and stress testing, risk management, and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operational initiatives. The increase in the recent quarter as compared with the immediately preceding quarter reflects an additional compensation day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higher incentive compensation. The number of full-time equivalent employees was 15,260 at September 30, 2014, 15,409 at September 30, 2013, 15,368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15,387 at June 30, 2014.</w:t>
      </w:r>
    </w:p>
    <w:p>
      <w:pPr>
        <w:spacing w:after="0" w:line="21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Excluding the nonoperating expense items described earlier from each period, nonpersonnel operating expenses were $323 million in the third quarter of 2014, compared with $309 million and $332 million in the year-earlier quarter and the second quarter of 2014, respectively. On the same basis, such expenses were $976 million and $826 million during the first nine months of 2014 and 2013, respectively. The recent quarter increase as compared with the third quarter of 2013 was predominantly due to higher costs for professional services. As compared with the second quarter of 2014, the lower level of expenses in the recent quarter was largely attributable to the $12 million increase to the Company’s litigation reserves in the second quarter. The rise in nonpersonnel operating expenses in the first nine months of 2014 as compared with the year-earlier period was due largely to higher professional services expenses of $78 million, increases in litigation contingency-related costs of $19 million, and the reversal in 2013 of a $26 million accrual for a contingent compensation obligation assumed in the May 2011 acquisition of Wilmington Trust that expired and was no longer payable. The higher level of professional services costs in the 2014 periods as compared with the 2013 periods was attributable to costs incurred related to</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- 86 -</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BSA/AML activities, compliance, capital planning and stress testing, and risk management and other operational initiatives.</w:t>
      </w:r>
    </w:p>
    <w:p>
      <w:pPr>
        <w:spacing w:after="0" w:line="225"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efficiency ratio, or noninterest operating expenses (as defined above) divided by the sum of taxable-equivalent net interest income and noninterest income (exclusive of gains and losses from bank investment securities), measures the relationship of noninterest operating expenses to revenues. The Company’s efficiency ratio was 59.7% during the recent quarter, compared with 56.0% and 59.4% in the year-earlier quarter and the second quarter of 2014, respectively. The efficiency ratios for the nine-month periods ended September 30, 2014 and 2013 were 61.0% and 54.3%, respectively.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provision for income taxes for the third quarter of 2014 was $137 million, compared with $149 million and $130 million in the year-earlier quarter and second quarter of 2014, respectively. The effective tax rates were 33.2%, 33.7% and 31.4% for the quarters ended September 30, 2014, September 30, 2013 and June 30, 2014, respectively. For the nine-month periods ended September 30, 2014 and 2013, the provision for income taxes was $380 million and $473 million, respectively, and the effective tax rates were 32.5% and 34.0%, respectively. During the second quarter of 2014, the Company resolved with tax authorities previously uncertain tax positions associated with pre-acquisition activities of M&amp;T’s Wilmington Trust entities, resulting in a reduction of the provision for income taxes in that quarter of $8 million. Excluding that reduction of income tax expense, the effective tax rates for the three-month period ended June 30, 2014 and the nine-month period ended September 30, 2014 would have been 33.3% and 33.2%, respectively. 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but infrequently occurring items.</w:t>
      </w:r>
    </w:p>
    <w:p>
      <w:pPr>
        <w:spacing w:after="0" w:line="19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Company’s effective tax rate in future periods will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Shareholders’ equity was $12.3 billion at September 30, 2014, representing 12.68% of total assets, compared with $11.0 billion or 13.05% of total assets a year earlier and $11.3 billion or 13.28% at December 31, 2013.</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Included in shareholders’ equity was preferred stock with financial statement carrying values of $1.2 billion at September 30, 2014, $879 million at September 30, 2013 and $882 million at December 31, 2013. On February 11, 2014, M&amp;T issued 350,000 shares of Series E Perpetual Fixed-to-Floating Rate Non-Cumulative Preferred Stock, par value $1.00 per share and liquidation preference of $1,000 per share. Dividends, if declared, will be paid semi-annually at a rate of 6.45% through February 14, 2024 and thereafter will be paid quarterly at a rate of the three-month London Interbank Offered Rate plus 361 basis points. The shares are redeemable in whole or in part on or after February 15, 2024. Notwithstanding M&amp;T’s option to redeem the shares, if an event occurs such that the shares no longer qualify as Tier 1 regulatory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- 87 -</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capital, M&amp;T may redeem all of the shares within 90 days following that occurrence. Further information concerning M&amp;T preferred stock can be found in note 6 of Notes to Financial Statements.</w:t>
      </w:r>
    </w:p>
    <w:p>
      <w:pPr>
        <w:spacing w:after="0" w:line="17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Common shareholders’ equity was $11.1 billion, or $83.99 per share, at September 30, 2014, compared with $10.1 billion, or $77.81 per share, at September 30, 2013 and $10.4 billion, or $79.81 per share, at December 31, 2013. Tangible equity per common share, which excludes goodwill and core deposit and other intangible assets and applicable deferred tax balances, was $57.10 at the end of the recent quarter, compared with $50.32 a year earlier and $52.45 at December 31, 2013. The Company’s ratio of tangible common equity to tangible assets was 8.05% at September 30, 2014, compared with 8.11% a year earlier and 8.39% at December 31, 2013. Reconciliations of total common shareholders’ equity and tangible common equity and total assets and tangible assets as of each of those respective dates are presented in table 2.</w:t>
      </w:r>
    </w:p>
    <w:p>
      <w:pPr>
        <w:spacing w:after="0" w:line="17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gains on investment securities reflected in shareholders’ equity, net of applicable tax effect, were $109 million, or $.83 per common share, at September 30, 2014, compared with net unrealized gains of $64 million, or $.49 per common share, at September 30, 2013 and $34 million, or $.26 per common share, at December 31, 2013. Information about unrealized gains and losses as of September 30, 2014 and December 31, 2013 is included in note 3 of Notes to Financial Statements.</w:t>
      </w:r>
    </w:p>
    <w:p>
      <w:pPr>
        <w:spacing w:after="0" w:line="16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Reflected in net unrealized gains at September 30, 2014 were pre-tax effect unrealized losses of $19 million on available-for-sale investment securities with an amortized cost of $1.7 billion and pre-tax effect unrealized gains of $228 million on securities with an amortized cost of $7.5 billion. The pre-tax effect unrealized losses reflect $15 million of losses on trust preferred securities issued by financial institutions having an amortized cost of $115 million and an estimated fair value of $100 million (generally considered Level 2 valuations). Further information concerning the Company’s valuations of available-for-sale investment securities is provided in note 12 of Notes to Financial Statements.</w:t>
      </w:r>
    </w:p>
    <w:p>
      <w:pPr>
        <w:spacing w:after="0" w:line="173"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In the second quarter of 2013, the Company sold substantially all of its privately issued residential mortgage-backed securities that were classified as available for sale and recorded a pre-tax loss of $46 million. Those privately issued mortgage-backed securities previously held by the Company were generally collateralized by prime and Alt-A residential mortgage loans. The sales, which were in response to changing regulatory capital and liquidity standards, resulted in improved liquidity and regulatory capital ratios for the Company. Further information on the sales is provided in note 3 of Notes to Financial Statements.</w:t>
      </w:r>
    </w:p>
    <w:p>
      <w:pPr>
        <w:spacing w:after="0" w:line="18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Company assesses impairment losses on privately issued mortgage-backed securities in the held-to-maturity portfolio by performing internal modeling to estimate bond-specific cash flows that reflect the placement of the bond in the overall securitization structure and the remaining subordination levels. As a result, the Company did not recognize any other-than-temporary impairment charge related to mortgage-backed securities in the held-to-maturity portfolio during the third quarter of 2014. In total, at September 30, 2014 and December 31, 2013, the Company had in its held-to-maturity portfolio privately issued mortgage-backed securities with an amortized cost basis of $207 million and $220 million, respectively, and a fair value of $157 million</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- 88 -</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and $159 million, respectively. At September 30, 2014, 90% of the mortgage-backed securities were in the most senior tranche of the securitization structure with 32% being independently rated as investment grade. The mortgage-backed securities had a weighted-average credit enhancement of 19% at September 30, 2014, calculated by dividing the remaining unpaid principal balance of bonds subordinate to the bonds owned by the Company plus any overcollateralization remaining in the securitization structure by the remaining unpaid principal balance of all bonds in the securitization structure. All mortgage-backed securities in the held-to-maturity portfolio had a current payment status as of September 30, 2014.</w:t>
      </w:r>
    </w:p>
    <w:p>
      <w:pPr>
        <w:spacing w:after="0" w:line="17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of September 30, 2014, based on a review of each of the remaining securities in the investment securities portfolio, the Company concluded that the declines in the values of any securities containing an unrealized loss were temporary and that any other-than-temporary impairment charges were not appropriate. It is likely that the Company will be required to sell certain of its collateralized debt obligations backed by trust preferred securities held in the available-for-sale portfolio to comply with the provisions of the Volcker Rule. However, the amortized cost and fair value of those collateralized debt obligations were $26 million and $35 million at September 30, 2014 and the Company did not expect that it would realize any material losses if it ultimately was required to sell such securities. As of that date, the Company did not intend to sell nor is it anticipated that it would be required to sell any of its other impaired securities, that is, where fair value is less than the cost basis of the security. The Company intends to continue to closely monitor the performance of its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shareholders’ equity. Additional information concerning fair value measurements and the Company’s approach to the classification of such measurements is included in note 12 of Notes to Financial Statements.</w:t>
      </w:r>
    </w:p>
    <w:p>
      <w:pPr>
        <w:spacing w:after="0" w:line="17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Adjustments to reflect the funded status of defined benefit pension and other postretirement plans, net of applicable tax effect, reduced accumulated other comprehensive income by $95 million, or $.72 per common share, at September 30, 2014, $261 million, or $2.01 per common share, at September 30, 2013 and $98 million, or $.75 per common share, at December 31, 2013.</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Cash dividends declared on M&amp;T’s common stock totaled approximately $93 million in the two most recent quarters, compared with $92 million in the third quarter of 2013, and represented a quarterly dividend of $.70 per common share in each of those quarters. Common stock dividends during the nine-month periods ended September 30, 2014 and 2013 were $278 million and $273 million, respectively.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- 89 -</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dividends declared on preferred stock were as follows: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4"/>
          </w:tcPr>
          <w:p>
            <w:pPr>
              <w:jc w:val="right"/>
              <w:ind w:right="480"/>
              <w:spacing w:after="0"/>
              <w:rPr>
                <w:sz w:val="20"/>
                <w:szCs w:val="20"/>
                <w:color w:val="auto"/>
              </w:rPr>
            </w:pPr>
            <w:r>
              <w:rPr>
                <w:rFonts w:ascii="Arial" w:cs="Arial" w:eastAsia="Arial" w:hAnsi="Arial"/>
                <w:sz w:val="14"/>
                <w:szCs w:val="14"/>
                <w:color w:val="auto"/>
              </w:rPr>
              <w:t>1st Qtr.</w:t>
            </w:r>
          </w:p>
        </w:tc>
        <w:tc>
          <w:tcPr>
            <w:tcW w:w="940" w:type="dxa"/>
            <w:vAlign w:val="bottom"/>
            <w:gridSpan w:val="2"/>
          </w:tcPr>
          <w:p>
            <w:pPr>
              <w:ind w:left="40"/>
              <w:spacing w:after="0"/>
              <w:rPr>
                <w:sz w:val="20"/>
                <w:szCs w:val="20"/>
                <w:color w:val="auto"/>
              </w:rPr>
            </w:pPr>
            <w:r>
              <w:rPr>
                <w:rFonts w:ascii="Arial" w:cs="Arial" w:eastAsia="Arial" w:hAnsi="Arial"/>
                <w:sz w:val="14"/>
                <w:szCs w:val="14"/>
                <w:color w:val="auto"/>
              </w:rPr>
              <w:t>2nd Qtr.</w:t>
            </w:r>
          </w:p>
        </w:tc>
        <w:tc>
          <w:tcPr>
            <w:tcW w:w="960" w:type="dxa"/>
            <w:vAlign w:val="bottom"/>
            <w:gridSpan w:val="2"/>
          </w:tcPr>
          <w:p>
            <w:pPr>
              <w:ind w:left="60"/>
              <w:spacing w:after="0"/>
              <w:rPr>
                <w:sz w:val="20"/>
                <w:szCs w:val="20"/>
                <w:color w:val="auto"/>
              </w:rPr>
            </w:pPr>
            <w:r>
              <w:rPr>
                <w:rFonts w:ascii="Arial" w:cs="Arial" w:eastAsia="Arial" w:hAnsi="Arial"/>
                <w:sz w:val="14"/>
                <w:szCs w:val="14"/>
                <w:color w:val="auto"/>
              </w:rPr>
              <w:t>3rd Qtr.</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87"/>
              </w:rPr>
              <w:t>Year-to-date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gridSpan w:val="4"/>
          </w:tcPr>
          <w:p>
            <w:pPr>
              <w:ind w:left="400"/>
              <w:spacing w:after="0"/>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68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Series A – 2014</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3,666</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3,666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Series A – 2013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2,875</w:t>
            </w:r>
          </w:p>
        </w:tc>
        <w:tc>
          <w:tcPr>
            <w:tcW w:w="3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2,875</w:t>
            </w:r>
          </w:p>
        </w:tc>
        <w:tc>
          <w:tcPr>
            <w:tcW w:w="560" w:type="dxa"/>
            <w:vAlign w:val="bottom"/>
          </w:tcPr>
          <w:p>
            <w:pPr>
              <w:jc w:val="right"/>
              <w:spacing w:after="0"/>
              <w:rPr>
                <w:sz w:val="20"/>
                <w:szCs w:val="20"/>
                <w:color w:val="auto"/>
              </w:rPr>
            </w:pPr>
            <w:r>
              <w:rPr>
                <w:rFonts w:ascii="Arial" w:cs="Arial" w:eastAsia="Arial" w:hAnsi="Arial"/>
                <w:sz w:val="18"/>
                <w:szCs w:val="18"/>
                <w:color w:val="auto"/>
              </w:rPr>
              <w:t>2,875</w:t>
            </w:r>
          </w:p>
        </w:tc>
        <w:tc>
          <w:tcPr>
            <w:tcW w:w="4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Series C – 2014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2,414</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2,414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Series C – 2013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1,894</w:t>
            </w:r>
          </w:p>
        </w:tc>
        <w:tc>
          <w:tcPr>
            <w:tcW w:w="3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1,894</w:t>
            </w:r>
          </w:p>
        </w:tc>
        <w:tc>
          <w:tcPr>
            <w:tcW w:w="560" w:type="dxa"/>
            <w:vAlign w:val="bottom"/>
          </w:tcPr>
          <w:p>
            <w:pPr>
              <w:jc w:val="right"/>
              <w:spacing w:after="0"/>
              <w:rPr>
                <w:sz w:val="20"/>
                <w:szCs w:val="20"/>
                <w:color w:val="auto"/>
              </w:rPr>
            </w:pPr>
            <w:r>
              <w:rPr>
                <w:rFonts w:ascii="Arial" w:cs="Arial" w:eastAsia="Arial" w:hAnsi="Arial"/>
                <w:sz w:val="18"/>
                <w:szCs w:val="18"/>
                <w:color w:val="auto"/>
              </w:rPr>
              <w:t>1,894</w:t>
            </w:r>
          </w:p>
        </w:tc>
        <w:tc>
          <w:tcPr>
            <w:tcW w:w="4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Series D – 2014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8,594</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8,593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8,594</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Series D – 2013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8,594</w:t>
            </w:r>
          </w:p>
        </w:tc>
        <w:tc>
          <w:tcPr>
            <w:tcW w:w="3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8,593</w:t>
            </w:r>
          </w:p>
        </w:tc>
        <w:tc>
          <w:tcPr>
            <w:tcW w:w="560" w:type="dxa"/>
            <w:vAlign w:val="bottom"/>
          </w:tcPr>
          <w:p>
            <w:pPr>
              <w:jc w:val="right"/>
              <w:spacing w:after="0"/>
              <w:rPr>
                <w:sz w:val="20"/>
                <w:szCs w:val="20"/>
                <w:color w:val="auto"/>
              </w:rPr>
            </w:pPr>
            <w:r>
              <w:rPr>
                <w:rFonts w:ascii="Arial" w:cs="Arial" w:eastAsia="Arial" w:hAnsi="Arial"/>
                <w:sz w:val="18"/>
                <w:szCs w:val="18"/>
                <w:color w:val="auto"/>
              </w:rPr>
              <w:t>8,594</w:t>
            </w:r>
          </w:p>
        </w:tc>
        <w:tc>
          <w:tcPr>
            <w:tcW w:w="4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Series E – 2014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5,770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Series E – 2013</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spacing w:after="0"/>
              <w:rPr>
                <w:sz w:val="19"/>
                <w:szCs w:val="19"/>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Totals – 2014</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14,674</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20,443</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20,443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ind w:left="340"/>
              <w:spacing w:after="0"/>
              <w:rPr>
                <w:sz w:val="20"/>
                <w:szCs w:val="20"/>
                <w:color w:val="auto"/>
              </w:rPr>
            </w:pPr>
            <w:r>
              <w:rPr>
                <w:rFonts w:ascii="Arial" w:cs="Arial" w:eastAsia="Arial" w:hAnsi="Arial"/>
                <w:sz w:val="18"/>
                <w:szCs w:val="18"/>
                <w:color w:val="auto"/>
              </w:rPr>
              <w:t>Totals – 2013</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13,363</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13,362</w:t>
            </w:r>
          </w:p>
        </w:tc>
        <w:tc>
          <w:tcPr>
            <w:tcW w:w="38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13,363</w:t>
            </w:r>
          </w:p>
        </w:tc>
        <w:tc>
          <w:tcPr>
            <w:tcW w:w="4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did not repurchase any shares of its common stock under a previously announced program during 2013 or the first nine months of 2014.</w:t>
      </w:r>
    </w:p>
    <w:p>
      <w:pPr>
        <w:spacing w:after="0" w:line="24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Federal regulators generally require banking institutions under the current Basel I rules to maintain “Tier 1 capital” and “total capital” ratios of at least 4% and 8%, respectively, of risk-adjusted total assets. In addition to the risk-based measures, Federal bank regulators have also implemented a minimum “leverage” ratio guideline of 3% of the quarterly average of total assets for bank holding companies and member banks that either have the highest supervisory rating or have implemented the appropriate federal regulatory authority’s risk-adjusted measure for market risk, and 4% for all other bank holding companies and member banks. As of September 30, 2014, Tier 1 capital included trust preferred securities of approximately $800 million as described in note 5 of Notes to Financial Statements and total capital further included subordinated capital notes of $1.3 billion. As previously noted, pursuant to the Dodd-Frank Act, trust preferred securities will be phased-out of the definition of Tier 1 capital of bank holding companies beginning in 2015. On February 27, 2014, M&amp;T redeemed $350 million of 8.50% Enhanced Trust Preferred Securities and the associated junior subordinated debentures.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regulatory capital ratios of the Company, M&amp;T Bank and Wilmington Trust, N.A., as of September 30, 2014 are presented in the accompanying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table.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580" w:type="dxa"/>
            <w:vAlign w:val="bottom"/>
            <w:gridSpan w:val="2"/>
          </w:tcPr>
          <w:p>
            <w:pPr>
              <w:jc w:val="right"/>
              <w:ind w:right="980"/>
              <w:spacing w:after="0"/>
              <w:rPr>
                <w:sz w:val="20"/>
                <w:szCs w:val="20"/>
                <w:color w:val="auto"/>
              </w:rPr>
            </w:pPr>
            <w:r>
              <w:rPr>
                <w:rFonts w:ascii="Arial" w:cs="Arial" w:eastAsia="Arial" w:hAnsi="Arial"/>
                <w:sz w:val="14"/>
                <w:szCs w:val="14"/>
                <w:color w:val="auto"/>
              </w:rPr>
              <w:t>M&amp;T</w:t>
            </w:r>
          </w:p>
        </w:tc>
        <w:tc>
          <w:tcPr>
            <w:tcW w:w="1200" w:type="dxa"/>
            <w:vAlign w:val="bottom"/>
            <w:gridSpan w:val="2"/>
          </w:tcPr>
          <w:p>
            <w:pPr>
              <w:jc w:val="right"/>
              <w:ind w:right="800"/>
              <w:spacing w:after="0"/>
              <w:rPr>
                <w:sz w:val="20"/>
                <w:szCs w:val="20"/>
                <w:color w:val="auto"/>
              </w:rPr>
            </w:pPr>
            <w:r>
              <w:rPr>
                <w:rFonts w:ascii="Arial" w:cs="Arial" w:eastAsia="Arial" w:hAnsi="Arial"/>
                <w:sz w:val="14"/>
                <w:szCs w:val="14"/>
                <w:color w:val="auto"/>
              </w:rPr>
              <w:t>M&amp;T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Wilmington</w:t>
            </w:r>
          </w:p>
        </w:tc>
      </w:tr>
      <w:tr>
        <w:trPr>
          <w:trHeight w:val="167"/>
        </w:trPr>
        <w:tc>
          <w:tcPr>
            <w:tcW w:w="5900" w:type="dxa"/>
            <w:vAlign w:val="bottom"/>
          </w:tcPr>
          <w:p>
            <w:pPr>
              <w:spacing w:after="0"/>
              <w:rPr>
                <w:sz w:val="14"/>
                <w:szCs w:val="14"/>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4"/>
                <w:szCs w:val="14"/>
                <w:color w:val="auto"/>
                <w:w w:val="92"/>
              </w:rPr>
              <w:t>(Consolidated)</w:t>
            </w:r>
          </w:p>
        </w:tc>
        <w:tc>
          <w:tcPr>
            <w:tcW w:w="1200" w:type="dxa"/>
            <w:vAlign w:val="bottom"/>
            <w:gridSpan w:val="2"/>
          </w:tcPr>
          <w:p>
            <w:pPr>
              <w:jc w:val="right"/>
              <w:ind w:right="820"/>
              <w:spacing w:after="0"/>
              <w:rPr>
                <w:sz w:val="20"/>
                <w:szCs w:val="20"/>
                <w:color w:val="auto"/>
              </w:rPr>
            </w:pPr>
            <w:r>
              <w:rPr>
                <w:rFonts w:ascii="Arial" w:cs="Arial" w:eastAsia="Arial" w:hAnsi="Arial"/>
                <w:sz w:val="14"/>
                <w:szCs w:val="14"/>
                <w:color w:val="auto"/>
              </w:rPr>
              <w:t>Bank</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Trust, N.A.</w:t>
            </w:r>
          </w:p>
        </w:tc>
      </w:tr>
      <w:tr>
        <w:trPr>
          <w:trHeight w:val="88"/>
        </w:trPr>
        <w:tc>
          <w:tcPr>
            <w:tcW w:w="590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12.45%</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10.39%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56.89%</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Total capital</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15.40%</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13.20%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57.45%</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10.56%</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8.85%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21.52%</w:t>
            </w:r>
          </w:p>
        </w:tc>
      </w:tr>
    </w:tbl>
    <w:p>
      <w:pPr>
        <w:spacing w:after="0" w:line="202"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As described herein under the heading “Recent Legislative and Regulatory Developments,” in July 2013 the Federal Reserve adopted a final rule that revises risk-based and leverage capital requirements for banking organizations, including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- 90 -</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As required by GAAP, the Company’s reportable segments have been determined based upon its internal profitability reporting system, which is organized by strategic business unit. Financial information about the Company’s segments is presented in note 14 of Notes to Financial Statements.</w:t>
      </w:r>
    </w:p>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Business Banking segment recorded net income of $31 million during the quarter ended September 30, 2014, 16% higher than the $27 million earned in the year-earlier quarter and 11% above the $28 million earned in the second quarter of 2014. The improvement in net income as compared with the third quarter of 2013 reflects a $4 million decrease in the provision for credit losses, due to lower net charge-offs, and higher merchant and credit card fees and a lower FDIC assessment of $1 million each, partially offset by lower net interest income of $2 million. The decline in net interest income was attributable to a 19 basis point narrowing of the net interest margin on deposits offset, in part, by increases in average deposit (predominantly noninterest-bearing) and loan balances of $325 million and $184 million, respectively. As compared with the second quarter of 2014, the improved results were largely attributable to a $2 million increase in net interest income, mainly the result of a $339 million increase in average deposit balances (predominantly noninterest-bearing), and a $2 million decrease in the provision for credit losses, reflecting lower net charge-offs. Net income recorded by the Business Banking segment totaled $87 million for the first nine months of 2014, 3% below the $90 million earned in the similar 2013 period. That decline resulted from lower net interest income of $7 million and increased costs associated with the allocation of expenses related to BSA/AML compliance, risk management, and other operational initiatives across the Company, offset in part, by a $3 million decrease in the provision for credit losses, the result of lower net charge-offs. The lower net interest income was due to a 26 basis point narrowing of the net interest margin on deposits, partially offset by increases in average loan and deposit balances of $244 million and $374 million, respectively.</w:t>
      </w:r>
    </w:p>
    <w:p>
      <w:pPr>
        <w:spacing w:after="0" w:line="188"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Net income recorded by the Commercial Banking segment aggregated $102 million in the third quarter of 2014, 5% higher than the $97 million earned in the year-earlier quarter, but 3% below the $105 million recorded in the second quarter of 2014. The recent quarter’s improvement as compared with 2013’s third quarter was largely due to an $18 million decrease in the provision for credit losses, reflecting lower net charge-offs, offset, in part, by a $6 million decline in letter of credit and other credit-related fees and lower net interest income of $4 million. The higher net charge-offs recorded in the third quarter of 2013 resulted from $19 million of loans charged-off for a relationship with a motor vehicle-related parts wholesaler. The decline in net interest income was attributable to the narrowing of the net interest margin on deposits and loans of 26 basis points and 11 basis points, respectively, partially offset by higher average deposit and loan balances of $1.4 billion and $1.2 billion, respectively. The recent quarter’s unfavorable performance as compared with the immediately preceding quarter resulted mainly from a $6 million decrease in letter of credit and other credit-related fees, offset, in part, by a $4 million increase in net interest income. The higher net interest income was predominantly due to higher average deposit balances of $1.3 billion. Net income for the Commercial Banking segment was $307 million during the first nine months of 2014, 5% above the $292 million earned in the year-earlier period. That improvement was predominantly due to a $40 million decrease in the provision for credit losses, reflecting lower net charge-offs, partially offset by a $13 million decline in net interest income. The decline in net charge-offs resulted from $49 million of loans charged-off in the 2013 period related to the relationship with the motor vehicle-related parts wholesaler. The lower net interest income reflects a narrowing of the net interest margin on deposits and loans of 29 basis points and 9 basis points,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- 91 -</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higher average deposit and loan balances of $819 million and $1.3 billion, respectively.</w:t>
      </w:r>
    </w:p>
    <w:p>
      <w:pPr>
        <w:spacing w:after="0" w:line="22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Commercial Real Estate segment earned $79 million in each of the third quarters of 2014 and 2013, respectively, compared with $78 million in the second quarter of 2014. As compared with the third quarter of 2013, a $5 million increase in mortgage banking revenues and a $2 million decrease in the provision for credit losses were offset by an $8 million decline in net interest income. The lower net interest income in the recent quarter was attributable to a narrowing of the net interest margin on deposits and loans of 29 basis points and 15 basis points, respectively, partially offset by a $431 million increase in average deposit balances (predominantly noninterest-bearing). The main factor contributing to the modest improvement in net income in the recent quarter as compared with the immediately preceding quarter was a $2 million increase in mortgage banking revenues. Net income for the Commercial Real Estate segment was $231 million and $246 million for the first nine months of 2014 and 2013, respectively. That decline was due to a $28 million decrease in net interest income and a decrease in mortgage banking revenues of $5 million, offset, in part, by a $4 million decline in the provision for credit losses, the result of lower net charge-offs. The lower net interest income reflects the narrowing of the net interest margin on deposits and loans of 34 basis points and 14 basis points, respectively, partially offset by a $471 million increase in average deposit balances (predominantly noninterest-bearing).</w:t>
      </w:r>
    </w:p>
    <w:p>
      <w:pPr>
        <w:spacing w:after="0" w:line="16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Discretionary Portfolio segment contributed net income of $8 million in the recent quarter, compared with $25 million in the year-earlier quarter and $15 million in the second quarter of 2014. The decline in net income as compared with the year-earlier period was predominantly due to $35 million of gains recognized in the third quarter of 2013 related to the securitization of approximately $1.0 billion of one-to-four family residential real estate loans held in the Company’s loan portfolio. As compared with the second quarter of 2014, the lower net income in the recent quarter was predominantly due to a $12 million decrease in net interest income, resulting from the narrowing of the net interest margin on investment securities of 44 basis points, partially offset by a $1.8 billion increase in average investment securities balances. Year-to-date net income for this segment totaled $35 million in 2014 and $19 million in 2013. The improved performance from the year-earlier period was largely attributable to net pre-tax losses of $46 million from the sale in the second quarter of 2013 of approximately $1.0 billion of privately issued mortgage-backed securities that were held in the available-for-sale investment securities portfolio. Adjusted to exclude the impact of those securities losses and pre-tax other-than-temporary impairment charges of $10 million (relating to a subset of the privately issued mortgage-backed securities that were sold) recorded in the first quarter of 2013, this segment recorded net income of $52 million in the first nine months of 2013. On that basis, the most significant factor contributing to the decline in net income in 2014 as compared with the first nine months of 2013 was the $35 million of gains recognized in the third quarter of 2013 related to the securitization of one-to-four family residential real estate loans.</w:t>
      </w:r>
    </w:p>
    <w:p>
      <w:pPr>
        <w:spacing w:after="0" w:line="16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Net income from the Residential Mortgage Banking segment totaled $25 million in the recent quarter, compared with $13 million in the third quarter of 2013 and $28 million in 2014’s second quarter. The recent quarter’s improved performance as compared with the year-earlier quarter reflected a $22 million increase in revenues from servicing residential real estate loans, predominantly the result of increased sub-servicing activities, partially offset by lower net interest income of $3 million. The decrease in net income as compared with the second quarter of 2014 reflected lower gains of $5 million from the origination and sale of loans and a $2 million increase in salaries and benefits expense, offset, in part, by a $4 million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- 92 -</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increase in revenues from servicing residential real estate loans. Year-to-date net income for this segment totaled $72 million in 2014 and $81 million in 2013. That 11% decrease was due to the following factors: a $70 million decrease in loan origination and sales revenues (including intersegment revenues) due to lower origination volumes; a $9 million increase in the provision for credit losses, as the year-earlier period included a $9 million recovery of a previously charged-off loan to a residential real estate builder and developer; and a $6 million decline in net interest income. The decline in net interest income was attributable to a 19 basis point narrowing of the net interest margin on deposits and a $733 million decrease in average loans, offset in part, by a 50 basis point widening of the net interest margin on loans. Largely offsetting those unfavorable factors was a $69 million rise in revenues from servicing residential real estate loans, predominantly the result of sub-servicing activities.</w:t>
      </w:r>
    </w:p>
    <w:p>
      <w:pPr>
        <w:spacing w:after="0" w:line="17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Net contribution from the Retail Banking segment totaled $33 million in the third quarter of 2014, compared with $54 million in the year-earlier quarter and $32 million in the second quarter of 2014. The most significant factors contributing to the recent quarter’s decline in net income as compared with the year-earlier period included: a $21 million gain recognized in the third quarter of 2013 on the securitization and sale of approximately $1.4 billion of automobile loans previously held in the Company’s loan portfolio; a $16 million decline in net interest income, reflecting a 17 basis point narrowing of the net interest margin on deposits and a decrease in average loans of $635 million, offset, in part, by an 11 basis point widening of the net interest margin on loans; and a $6 million reduction in fees earned for providing deposit account services. The modest increase in the recent quarter’s net income as compared with the second quarter of 2014 reflected the offsetting impact of a $3 million increase in net interest income and an increase in the provision for credit losses in a like amount. The increase in net interest income reflects a $265 million increase in average loans, offset, in part, by a $478 million decrease in average deposits. Year-to-date net income for this segment was $95 million in 2014 and $158 million in 2013. That year-over-year decline was attributable to the following significant factors: a $63 million decrease in net interest income, reflecting a 22 basis point narrowing of the net interest margin on deposits and a $953 million decrease in the average loan balances, partially offset by a 14 basis point widening of the net interest margin on loans; the $21 million gain on the securitization of automobile loans recognized in 2013; an $18 million decline in service charges on deposit accounts; and higher noninterest operating expenses related to the Company-wide operational initiatives.</w:t>
      </w:r>
    </w:p>
    <w:p>
      <w:pPr>
        <w:spacing w:after="0" w:line="18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M&amp;T’s share of the operating losses of BLG, merger-related gains and expenses resulting from acquisitions of financial institutions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the trust activities of the Company. The various components of the “All Other” category resulted in a net loss of $2 million for the three months ended September 30, 2014, compared with net losses of $1 million for each of the three months ended September 30, 2013 and June 30, 2014, respectively. Largely offsetting factors reflected in the recent quarter’s unfavorable performance as compared with the year-earlier period were: higher personnel-related and professional service costs due to BSA/AML staffing and initiatives and higher incentive compensation, partially offset by the favorable impact from the Company’s allocation methodologies for internal transfers for funding charges and credits associated with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- 93 -</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earning assets and the interest-bearing liabilities of the Company’s reportable segments and an increase in trust income of $5 million. As compared with the second quarter of 2014, recent quarter results reflected a $7 million increase in personnel costs that was largely offset by a $4 million decrease in occupancy expense and a $2 million decline in FDIC assessments. The “All Other” category recorded a net loss of $37 million for the first nine months of 2014, compared with net income of $32 million for the corresponding 2013 period. Results for the 2013 period included realized gains on the sale of Visa and MasterCard common stock totaling $103 million and the reversal of an accrual for a contingent compensation obligation assumed in the May 2011 acquisition of Wilmington Trust in the amount of $26 million that expired offset, in part, by the favorable impact from the Company’s allocation methodologies for internal transfers for funding charges and credits associated with the earning assets and the interest-bearing liabilities of the Company’s reportable segments. Also contributing to the unfavorable performance in 2014 as compared with 2013 were increases in personnel-related and professional service costs due to BSA/AML initiatives.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August 2014, the Financial Accounting Standards Board (“FASB”) issued amended accounting guidance for the classification of certain government-guaranteed mortgage loans upon foreclosure. This guidance requires that a mortgage loan be derecognized and that a separate other receivable be recognized upon foreclosure if the following conditions are met: (1) the loan has a government guarantee that is not separable from the loan before foreclosure; (2) at the time of foreclosure, the creditor has the intent to convey the real estate property to the guarantor and make a claim on the guarantee, and the creditor has the ability to recover under that claim; and (3) at the time of foreclosure, any amount of the claim that is determined on the basis of the fair value of the real estate is fixed. Upon foreclosure, the separate other receivable should be measured based upon the amount of the loan balance (principal and interest) expected to be recovered from the guarantor. This guidance is effective for annual periods, and interim periods within those annual periods, beginning after December 15, 2014. This guidance should be applied using a prospective transition method or a modified retrospective transition method. The Company does not expect that the guidance will have a material impact on its financial position or results of operations.</w:t>
      </w:r>
    </w:p>
    <w:p>
      <w:pPr>
        <w:spacing w:after="0" w:line="167"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In June 2014, the FASB issued amended accounting guidance for share-based payments when the terms of an award provide that a performance target could be achieved after the requisite service period. The amended guidance requires that a performance target that affects vesting and that could be achieved after the requisite service period be treated as a performance condition.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If the performance target becomes probable of being achieved before the end of the requisite service period, the remaining unrecognized compensation cost should be recognized prospectively over the remaining requisite service period. The total amount of compensation cost recognized during and after the requisite service period should reflect the number of awards that are expected to vest and should be adjusted to reflect those awards that ultimately vest. The requisite service period ends when the employee can cease rendering service and still be eligible to vest in the award if the performance target is achieved. This guidance is effective for annual periods and interim periods within those annual periods beginning after December 31, 2015, with earlier adoption permitted. The Company does not expect the amended guidance published by the FASB to have a material impact on its financial position or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- 94 -</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June 2014, the FASB issued amended accounting guidance for repurchase-to-maturity transactions and repurchase financings. The amended accounting guidance changes the accounting for repurchase-to-maturity transactions to secured borrowing accounting, which is consistent with the accounting for other repurchase agreements. Further, for repurchase financing arrangements, the amendments require separate accounting for a transfer of a financial asset executed contemporaneously with a repurchase agreement with the same counterparty, which will result in secured borrowing accounting for the repurchase agreement. The amendments require new disclosures on transfers accounted for as sales in transactions that are economically similar to repurchase agreements and about the types of collateral pledged in repurchase agreements and similar transactions accounted for as secured borrowings. The accounting changes in this guidance are effective for the first interim or annual period beginning after December 15, 2014. Changes in accounting for transactions outstanding on the effective date should be presented as a cumulative-effect adjustment to retained earnings as of the beginning of the period of adoption. The disclosure guidance for certain transactions accounted for as a sale is required to be presented for interim and annual periods beginning after December 15, 2014, and the disclosure guidance for repurchase agreements, securities lending transactions, and repurchase-to-maturity transactions accounted for as secured borrowings is required to be presented for annual periods beginning after December 15, 2014, and for interim periods beginning after March 15, 2015. The Company does not currently have repurchase-to-maturity transactions or transfers of a financial asset executed contemporaneously with a repurchase agreement with the same counterparty. The Company will make the required disclosures when the guidance becomes effective.</w:t>
      </w:r>
    </w:p>
    <w:p>
      <w:pPr>
        <w:spacing w:after="0" w:line="175"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May 2014, the FASB issued amended accounting and disclosure guidance for revenue from contracts with customers. The core principle of the accounting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(1) identify the contract(s) with a customer; (2) identify the performance obligations in the contract; (3) determine the transaction price;</w:t>
      </w:r>
    </w:p>
    <w:p>
      <w:pPr>
        <w:spacing w:after="0" w:line="2" w:lineRule="exact"/>
        <w:rPr>
          <w:sz w:val="20"/>
          <w:szCs w:val="20"/>
          <w:color w:val="auto"/>
        </w:rPr>
      </w:pPr>
    </w:p>
    <w:p>
      <w:pPr>
        <w:ind w:firstLine="8"/>
        <w:spacing w:after="0" w:line="252"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(5) recognize revenue when (or as) the entity satisfies a performance obligation. The guidance also specifies the accounting for some costs to obtain or fulfill a contract with a customer. The amended disclosure guidance requires sufficient information to enable users of financial statements to understand the nature, amount, timing, and uncertainty of revenue and cash flows arising from contracts with customers. The amended guidance is effective for annual reporting periods beginning after December 15, 2016, including interim periods within that reporting period. The guidance should be applied either retrospectively to each prior reporting period presented or retrospectively with the cumulative effect of initially applying this guidance recognized at the date of initial application. The Company is still evaluating the impact the guidance could have on its consolidated financial statements.</w:t>
      </w:r>
    </w:p>
    <w:p>
      <w:pPr>
        <w:spacing w:after="0" w:line="19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In January 2014, the FASB issued amended accounting and disclosure guidance for reclassification of residential real estate collateralized consumer mortgage loans upon foreclosure. The amended guidance clarifies that an in-substance repossession or foreclosure occurs, and a creditor is considered to have received physical possession of residential real estate property collateralizing a consumer mortgage loan, upon either (1) the creditor obtaining legal title to the residential real estate property upon completion of a foreclosure or (2) the borrower conveying all interest in the residential real estate property to the creditor to satisfy that loan through completion of a deed in lieu of foreclosure or through a similar legal agreement. The amended guidance also requires interim and annual disclosure of both (1) the amount of foreclosed residential real estate property held by the creditor and (2) the recorded investment in consumer mortgage loans collateralized by residential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- 95 -</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real estate that are in the process of foreclosure according to local requirements of the applicable jurisdiction. This guidance is effective for annual periods, and interim periods within those annual periods, beginning after December 15, 2014. This guidance should be applied using a prospective transition method or a modified retrospective transition method. The Company does not expect that the guidance will have a material impact on its financial position or results of operations.</w:t>
      </w:r>
    </w:p>
    <w:p>
      <w:pPr>
        <w:spacing w:after="0" w:line="18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January 2014, the FASB issued amended accounting guidance permitting an accounting policy election to account for investments in qualified affordable housing projects using the proportional amortization method if certain conditions are met. Under the proportional amortization method, an entity amortizes the initial cost of the investment in proportion to the tax credits and other tax benefits received and recognizes the net investment performance in the income statement as a component of income tax expense. The decision to apply the proportional amortization method of accounting is an accounting policy election that should be applied consistently to all qualifying affordable housing project investments. This guidance is effective for annual periods, and interim reporting periods within those annual periods, beginning after December 15, 2014. This guidance should be applied retrospectively to all periods presented. The Company does not expect that the guidance will have a material impact on its financial position.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19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Future Factors include changes in interest rates, spreads on earning assets and interest-bearing liabilities, and interest rate sensitivity; prepayment speeds, loan originations, credit losses and market values of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FASB or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- 96 -</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- 97 -</w:t>
      </w:r>
    </w:p>
    <w:p>
      <w:pPr>
        <w:sectPr>
          <w:pgSz w:w="11900" w:h="16838" w:orient="portrait"/>
          <w:cols w:equalWidth="0" w:num="1">
            <w:col w:w="11300"/>
          </w:cols>
          <w:pgMar w:left="240" w:top="459" w:right="3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Table 1</w:t>
            </w:r>
          </w:p>
        </w:tc>
        <w:tc>
          <w:tcPr>
            <w:tcW w:w="0" w:type="dxa"/>
            <w:vAlign w:val="bottom"/>
          </w:tcPr>
          <w:p>
            <w:pPr>
              <w:spacing w:after="0"/>
              <w:rPr>
                <w:sz w:val="1"/>
                <w:szCs w:val="1"/>
                <w:color w:val="auto"/>
              </w:rPr>
            </w:pPr>
          </w:p>
        </w:tc>
      </w:tr>
      <w:tr>
        <w:trPr>
          <w:trHeight w:val="432"/>
        </w:trPr>
        <w:tc>
          <w:tcPr>
            <w:tcW w:w="4780" w:type="dxa"/>
            <w:vAlign w:val="bottom"/>
            <w:gridSpan w:val="2"/>
          </w:tcPr>
          <w:p>
            <w:pPr>
              <w:spacing w:after="0"/>
              <w:rPr>
                <w:sz w:val="20"/>
                <w:szCs w:val="20"/>
                <w:color w:val="auto"/>
              </w:rPr>
            </w:pPr>
            <w:r>
              <w:rPr>
                <w:rFonts w:ascii="Arial" w:cs="Arial" w:eastAsia="Arial" w:hAnsi="Arial"/>
                <w:sz w:val="18"/>
                <w:szCs w:val="18"/>
                <w:color w:val="auto"/>
              </w:rPr>
              <w:t>QUARTERLY TRENDS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w w:val="91"/>
              </w:rPr>
              <w:t>2014 Quarters</w:t>
            </w:r>
          </w:p>
        </w:tc>
        <w:tc>
          <w:tcPr>
            <w:tcW w:w="6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color w:val="auto"/>
              </w:rPr>
              <w:t>2013 Quarters</w:t>
            </w:r>
          </w:p>
        </w:tc>
        <w:tc>
          <w:tcPr>
            <w:tcW w:w="6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60"/>
              <w:spacing w:after="0" w:line="142" w:lineRule="exact"/>
              <w:rPr>
                <w:sz w:val="20"/>
                <w:szCs w:val="20"/>
                <w:color w:val="auto"/>
              </w:rPr>
            </w:pPr>
            <w:r>
              <w:rPr>
                <w:rFonts w:ascii="Arial" w:cs="Arial" w:eastAsia="Arial" w:hAnsi="Arial"/>
                <w:sz w:val="14"/>
                <w:szCs w:val="14"/>
                <w:color w:val="auto"/>
              </w:rPr>
              <w:t>Third</w:t>
            </w:r>
          </w:p>
        </w:tc>
        <w:tc>
          <w:tcPr>
            <w:tcW w:w="120" w:type="dxa"/>
            <w:vAlign w:val="bottom"/>
          </w:tcPr>
          <w:p>
            <w:pPr>
              <w:spacing w:after="0"/>
              <w:rPr>
                <w:sz w:val="12"/>
                <w:szCs w:val="12"/>
                <w:color w:val="auto"/>
              </w:rPr>
            </w:pPr>
          </w:p>
        </w:tc>
        <w:tc>
          <w:tcPr>
            <w:tcW w:w="940" w:type="dxa"/>
            <w:vAlign w:val="bottom"/>
            <w:gridSpan w:val="2"/>
          </w:tcPr>
          <w:p>
            <w:pPr>
              <w:jc w:val="right"/>
              <w:ind w:right="400"/>
              <w:spacing w:after="0" w:line="142" w:lineRule="exact"/>
              <w:rPr>
                <w:sz w:val="20"/>
                <w:szCs w:val="20"/>
                <w:color w:val="auto"/>
              </w:rPr>
            </w:pPr>
            <w:r>
              <w:rPr>
                <w:rFonts w:ascii="Arial" w:cs="Arial" w:eastAsia="Arial" w:hAnsi="Arial"/>
                <w:sz w:val="14"/>
                <w:szCs w:val="14"/>
                <w:color w:val="auto"/>
              </w:rPr>
              <w:t>Second</w:t>
            </w:r>
          </w:p>
        </w:tc>
        <w:tc>
          <w:tcPr>
            <w:tcW w:w="660" w:type="dxa"/>
            <w:vAlign w:val="bottom"/>
          </w:tcPr>
          <w:p>
            <w:pPr>
              <w:jc w:val="right"/>
              <w:ind w:right="110"/>
              <w:spacing w:after="0" w:line="142" w:lineRule="exact"/>
              <w:rPr>
                <w:sz w:val="20"/>
                <w:szCs w:val="20"/>
                <w:color w:val="auto"/>
              </w:rPr>
            </w:pPr>
            <w:r>
              <w:rPr>
                <w:rFonts w:ascii="Arial" w:cs="Arial" w:eastAsia="Arial" w:hAnsi="Arial"/>
                <w:sz w:val="14"/>
                <w:szCs w:val="14"/>
                <w:color w:val="auto"/>
              </w:rPr>
              <w:t>First</w:t>
            </w:r>
          </w:p>
        </w:tc>
        <w:tc>
          <w:tcPr>
            <w:tcW w:w="300" w:type="dxa"/>
            <w:vAlign w:val="bottom"/>
          </w:tcPr>
          <w:p>
            <w:pPr>
              <w:spacing w:after="0"/>
              <w:rPr>
                <w:sz w:val="12"/>
                <w:szCs w:val="12"/>
                <w:color w:val="auto"/>
              </w:rPr>
            </w:pPr>
          </w:p>
        </w:tc>
        <w:tc>
          <w:tcPr>
            <w:tcW w:w="940" w:type="dxa"/>
            <w:vAlign w:val="bottom"/>
            <w:gridSpan w:val="2"/>
          </w:tcPr>
          <w:p>
            <w:pPr>
              <w:jc w:val="right"/>
              <w:ind w:right="440"/>
              <w:spacing w:after="0" w:line="142" w:lineRule="exact"/>
              <w:rPr>
                <w:sz w:val="20"/>
                <w:szCs w:val="20"/>
                <w:color w:val="auto"/>
              </w:rPr>
            </w:pPr>
            <w:r>
              <w:rPr>
                <w:rFonts w:ascii="Arial" w:cs="Arial" w:eastAsia="Arial" w:hAnsi="Arial"/>
                <w:sz w:val="14"/>
                <w:szCs w:val="14"/>
                <w:color w:val="auto"/>
              </w:rPr>
              <w:t>Fourth</w:t>
            </w:r>
          </w:p>
        </w:tc>
        <w:tc>
          <w:tcPr>
            <w:tcW w:w="940" w:type="dxa"/>
            <w:vAlign w:val="bottom"/>
            <w:gridSpan w:val="2"/>
          </w:tcPr>
          <w:p>
            <w:pPr>
              <w:jc w:val="right"/>
              <w:ind w:right="460"/>
              <w:spacing w:after="0" w:line="142" w:lineRule="exact"/>
              <w:rPr>
                <w:sz w:val="20"/>
                <w:szCs w:val="20"/>
                <w:color w:val="auto"/>
              </w:rPr>
            </w:pPr>
            <w:r>
              <w:rPr>
                <w:rFonts w:ascii="Arial" w:cs="Arial" w:eastAsia="Arial" w:hAnsi="Arial"/>
                <w:sz w:val="14"/>
                <w:szCs w:val="14"/>
                <w:color w:val="auto"/>
              </w:rPr>
              <w:t>Third</w:t>
            </w:r>
          </w:p>
        </w:tc>
        <w:tc>
          <w:tcPr>
            <w:tcW w:w="940" w:type="dxa"/>
            <w:vAlign w:val="bottom"/>
            <w:gridSpan w:val="2"/>
          </w:tcPr>
          <w:p>
            <w:pPr>
              <w:jc w:val="right"/>
              <w:ind w:right="400"/>
              <w:spacing w:after="0" w:line="142" w:lineRule="exact"/>
              <w:rPr>
                <w:sz w:val="20"/>
                <w:szCs w:val="20"/>
                <w:color w:val="auto"/>
              </w:rPr>
            </w:pPr>
            <w:r>
              <w:rPr>
                <w:rFonts w:ascii="Arial" w:cs="Arial" w:eastAsia="Arial" w:hAnsi="Arial"/>
                <w:sz w:val="14"/>
                <w:szCs w:val="14"/>
                <w:color w:val="auto"/>
              </w:rPr>
              <w:t>Second</w:t>
            </w:r>
          </w:p>
        </w:tc>
        <w:tc>
          <w:tcPr>
            <w:tcW w:w="660" w:type="dxa"/>
            <w:vAlign w:val="bottom"/>
          </w:tcPr>
          <w:p>
            <w:pPr>
              <w:jc w:val="right"/>
              <w:ind w:right="110"/>
              <w:spacing w:after="0" w:line="142" w:lineRule="exact"/>
              <w:rPr>
                <w:sz w:val="20"/>
                <w:szCs w:val="20"/>
                <w:color w:val="auto"/>
              </w:rPr>
            </w:pPr>
            <w:r>
              <w:rPr>
                <w:rFonts w:ascii="Arial" w:cs="Arial" w:eastAsia="Arial" w:hAnsi="Arial"/>
                <w:sz w:val="14"/>
                <w:szCs w:val="14"/>
                <w:color w:val="auto"/>
              </w:rPr>
              <w:t>First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and dividends</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i w:val="1"/>
                <w:iCs w:val="1"/>
                <w:color w:val="auto"/>
              </w:rPr>
              <w:t>Amounts in thousands, except per share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(taxable-equivalent basis)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748,864</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740,139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728,897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740,665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748,791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756,424</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736,425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73,964</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65,176</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66,519</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67,982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69,578</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72,620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73,925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674,900</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674,963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662,378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672,683</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679,213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683,804</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662,500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Less: provision for credit losses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29,000</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30,000</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32,000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42,000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48,000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57,000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451,111</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456,412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420,107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446,246</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477,388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508,689</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432,882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Less: other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679,284</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681,194</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702,271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743,072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658,626</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598,591</w:t>
            </w:r>
          </w:p>
        </w:tc>
        <w:tc>
          <w:tcPr>
            <w:tcW w:w="2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635,596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417,727</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420,181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348,214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333,857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449,975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536,902</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421,786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Applicable income taxes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136,542</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129,996</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113,252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106,236</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149,391</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182,219</w:t>
            </w:r>
          </w:p>
        </w:tc>
        <w:tc>
          <w:tcPr>
            <w:tcW w:w="2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141,223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Taxable-equivalent adjustment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5,841</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5,849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5,945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6,199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6,105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6,450</w:t>
            </w: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275,344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284,336</w:t>
            </w:r>
          </w:p>
        </w:tc>
        <w:tc>
          <w:tcPr>
            <w:tcW w:w="2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229,017</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221,422</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294,479</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348,466</w:t>
            </w:r>
          </w:p>
        </w:tc>
        <w:tc>
          <w:tcPr>
            <w:tcW w:w="2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274,113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shareholders-diluted</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251,917</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260,695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211,731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203,451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275,356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328,557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255,096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Per common share data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earnings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Diluted earnings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1.91</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1.98</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1.61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1.56</w:t>
            </w:r>
          </w:p>
        </w:tc>
        <w:tc>
          <w:tcPr>
            <w:tcW w:w="640" w:type="dxa"/>
            <w:vAlign w:val="bottom"/>
          </w:tcPr>
          <w:p>
            <w:pPr>
              <w:jc w:val="right"/>
              <w:spacing w:after="0"/>
              <w:rPr>
                <w:sz w:val="20"/>
                <w:szCs w:val="20"/>
                <w:color w:val="auto"/>
              </w:rPr>
            </w:pPr>
            <w:r>
              <w:rPr>
                <w:rFonts w:ascii="Arial" w:cs="Arial" w:eastAsia="Arial" w:hAnsi="Arial"/>
                <w:sz w:val="18"/>
                <w:szCs w:val="18"/>
                <w:color w:val="auto"/>
              </w:rPr>
              <w:t>2.11</w:t>
            </w:r>
          </w:p>
        </w:tc>
        <w:tc>
          <w:tcPr>
            <w:tcW w:w="3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2.55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Average common shares outstanding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131,265</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130,856</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130,212</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129,497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129,171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128,252</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127,669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132,128</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131,828</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131,126</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130,464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130,265</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129,017</w:t>
            </w:r>
          </w:p>
        </w:tc>
        <w:tc>
          <w:tcPr>
            <w:tcW w:w="2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128,636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Performance ratios, annualized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Return 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Average common shareholders’ 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9.18%</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9.79%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8.22%</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7.99%</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11.06%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13.78%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Net interest margin on average earning assets (taxable-equivalent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tcPr>
          <w:p>
            <w:pPr>
              <w:spacing w:after="0" w:line="201" w:lineRule="exact"/>
              <w:rPr>
                <w:sz w:val="20"/>
                <w:szCs w:val="20"/>
                <w:color w:val="auto"/>
              </w:rPr>
            </w:pPr>
            <w:r>
              <w:rPr>
                <w:rFonts w:ascii="Arial" w:cs="Arial" w:eastAsia="Arial" w:hAnsi="Arial"/>
                <w:sz w:val="18"/>
                <w:szCs w:val="18"/>
                <w:color w:val="auto"/>
                <w:w w:val="99"/>
              </w:rPr>
              <w:t>Nonaccrual loans to total loans and leases, net of unearned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discount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1.36%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operating (tangible) results (a)</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operating income (in thousands)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279,838</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289,974</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235,162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227,797</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300,968</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360,734</w:t>
            </w:r>
          </w:p>
        </w:tc>
        <w:tc>
          <w:tcPr>
            <w:tcW w:w="2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285,136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Diluted net operating income per common share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Annualized return 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tangible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Average tangible common shareholders’ 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13.80%</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14.92%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12.76%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12.67%</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17.64%</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22.72%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 (b)</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59.67%</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59.39%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63.95%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65.48%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56.03%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55.88%</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 except per share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Average balances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 (c)</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93,245</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89,873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86,665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85,330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84,011</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83,352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Total tangible assets (c)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89,689</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86,311</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83,096</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81,754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80,427</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79,760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78,311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82,776</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79,556</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76,288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75,049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74,667</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73,960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Investment securities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12,780</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10,959</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9,265</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8,354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6,979</w:t>
            </w:r>
          </w:p>
        </w:tc>
        <w:tc>
          <w:tcPr>
            <w:tcW w:w="660" w:type="dxa"/>
            <w:vAlign w:val="bottom"/>
          </w:tcPr>
          <w:p>
            <w:pPr>
              <w:jc w:val="right"/>
              <w:spacing w:after="0"/>
              <w:rPr>
                <w:sz w:val="20"/>
                <w:szCs w:val="20"/>
                <w:color w:val="auto"/>
              </w:rPr>
            </w:pPr>
            <w:r>
              <w:rPr>
                <w:rFonts w:ascii="Arial" w:cs="Arial" w:eastAsia="Arial" w:hAnsi="Arial"/>
                <w:sz w:val="18"/>
                <w:szCs w:val="18"/>
                <w:color w:val="auto"/>
              </w:rPr>
              <w:t>5,293</w:t>
            </w:r>
          </w:p>
        </w:tc>
        <w:tc>
          <w:tcPr>
            <w:tcW w:w="2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and leases, net of unearned discount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64,763</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64,343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63,763</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63,550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64,858</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65,979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Deposits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70,772</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69,659</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67,327</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67,212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66,232</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65,680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64,540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shareholders’ equity (c)</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11,015</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10,808</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10,576</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10,228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Tangible common shareholders’ equity (c)</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7,459</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7,246</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7,007</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6,652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6,419</w:t>
            </w:r>
          </w:p>
        </w:tc>
        <w:tc>
          <w:tcPr>
            <w:tcW w:w="660" w:type="dxa"/>
            <w:vAlign w:val="bottom"/>
          </w:tcPr>
          <w:p>
            <w:pPr>
              <w:jc w:val="right"/>
              <w:spacing w:after="0"/>
              <w:rPr>
                <w:sz w:val="20"/>
                <w:szCs w:val="20"/>
                <w:color w:val="auto"/>
              </w:rPr>
            </w:pPr>
            <w:r>
              <w:rPr>
                <w:rFonts w:ascii="Arial" w:cs="Arial" w:eastAsia="Arial" w:hAnsi="Arial"/>
                <w:sz w:val="18"/>
                <w:szCs w:val="18"/>
                <w:color w:val="auto"/>
              </w:rPr>
              <w:t>6,095</w:t>
            </w:r>
          </w:p>
        </w:tc>
        <w:tc>
          <w:tcPr>
            <w:tcW w:w="2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At end of quarter</w:t>
            </w: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Total assets (c)</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97,228</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90,835</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88,530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85,162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84,427</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83,229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82,812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tangible assets (c)</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93,674</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87,276</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84,965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81,589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80,847</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79,641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Earning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86,751</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80,062</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77,950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74,706</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74,085</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73,927</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73,543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securities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13,348</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12,120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10,364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8,796</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8,310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5,211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Loans and leases, net of unearned discount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65,572</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64,748</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64,135</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64,073</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63,659</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65,972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65,924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74,342</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69,829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68,699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67,119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66,552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65,661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tcPr>
          <w:p>
            <w:pPr>
              <w:ind w:left="340"/>
              <w:spacing w:after="0" w:line="201" w:lineRule="exact"/>
              <w:rPr>
                <w:sz w:val="20"/>
                <w:szCs w:val="20"/>
                <w:color w:val="auto"/>
              </w:rPr>
            </w:pPr>
            <w:r>
              <w:rPr>
                <w:rFonts w:ascii="Arial" w:cs="Arial" w:eastAsia="Arial" w:hAnsi="Arial"/>
                <w:sz w:val="18"/>
                <w:szCs w:val="18"/>
                <w:color w:val="auto"/>
                <w:w w:val="91"/>
              </w:rPr>
              <w:t>Common shareholders’ equity, net of undeclared cumulative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520"/>
              <w:spacing w:after="0"/>
              <w:rPr>
                <w:sz w:val="20"/>
                <w:szCs w:val="20"/>
                <w:color w:val="auto"/>
              </w:rPr>
            </w:pPr>
            <w:r>
              <w:rPr>
                <w:rFonts w:ascii="Arial" w:cs="Arial" w:eastAsia="Arial" w:hAnsi="Arial"/>
                <w:sz w:val="18"/>
                <w:szCs w:val="18"/>
                <w:color w:val="auto"/>
              </w:rPr>
              <w:t>preferred dividends (c)</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11,099</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10,934</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10,652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10,421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10,133</w:t>
            </w:r>
          </w:p>
        </w:tc>
        <w:tc>
          <w:tcPr>
            <w:tcW w:w="660" w:type="dxa"/>
            <w:vAlign w:val="bottom"/>
          </w:tcPr>
          <w:p>
            <w:pPr>
              <w:jc w:val="right"/>
              <w:spacing w:after="0"/>
              <w:rPr>
                <w:sz w:val="20"/>
                <w:szCs w:val="20"/>
                <w:color w:val="auto"/>
              </w:rPr>
            </w:pPr>
            <w:r>
              <w:rPr>
                <w:rFonts w:ascii="Arial" w:cs="Arial" w:eastAsia="Arial" w:hAnsi="Arial"/>
                <w:sz w:val="18"/>
                <w:szCs w:val="18"/>
                <w:color w:val="auto"/>
              </w:rPr>
              <w:t>9,836</w:t>
            </w:r>
          </w:p>
        </w:tc>
        <w:tc>
          <w:tcPr>
            <w:tcW w:w="2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Tangible common shareholders’ equity (c)</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7,545</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7,375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7,087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6,848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6,553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Equity per common share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83.99</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82.86</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81.05</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79.81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77.81</w:t>
            </w:r>
          </w:p>
        </w:tc>
        <w:tc>
          <w:tcPr>
            <w:tcW w:w="660" w:type="dxa"/>
            <w:vAlign w:val="bottom"/>
          </w:tcPr>
          <w:p>
            <w:pPr>
              <w:jc w:val="right"/>
              <w:spacing w:after="0"/>
              <w:rPr>
                <w:sz w:val="20"/>
                <w:szCs w:val="20"/>
                <w:color w:val="auto"/>
              </w:rPr>
            </w:pPr>
            <w:r>
              <w:rPr>
                <w:rFonts w:ascii="Arial" w:cs="Arial" w:eastAsia="Arial" w:hAnsi="Arial"/>
                <w:sz w:val="18"/>
                <w:szCs w:val="18"/>
                <w:color w:val="auto"/>
              </w:rPr>
              <w:t>75.98</w:t>
            </w:r>
          </w:p>
        </w:tc>
        <w:tc>
          <w:tcPr>
            <w:tcW w:w="2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Tangible equity per common share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57.10</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55.89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53.92</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52.45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50.32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Market price per common share</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High</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128.69</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125.90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123.04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117.29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119.54</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Low</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118.51</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116.10</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109.16</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109.23</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109.47</w:t>
            </w:r>
          </w:p>
        </w:tc>
        <w:tc>
          <w:tcPr>
            <w:tcW w:w="660" w:type="dxa"/>
            <w:vAlign w:val="bottom"/>
          </w:tcPr>
          <w:p>
            <w:pPr>
              <w:jc w:val="right"/>
              <w:spacing w:after="0"/>
              <w:rPr>
                <w:sz w:val="20"/>
                <w:szCs w:val="20"/>
                <w:color w:val="auto"/>
              </w:rPr>
            </w:pPr>
            <w:r>
              <w:rPr>
                <w:rFonts w:ascii="Arial" w:cs="Arial" w:eastAsia="Arial" w:hAnsi="Arial"/>
                <w:sz w:val="18"/>
                <w:szCs w:val="18"/>
                <w:color w:val="auto"/>
              </w:rPr>
              <w:t>95.68</w:t>
            </w:r>
          </w:p>
        </w:tc>
        <w:tc>
          <w:tcPr>
            <w:tcW w:w="2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Closing</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123.29</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124.05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121.30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116.42</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111.92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111.75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0" w:gutter="0" w:footer="0" w:header="0"/>
        </w:sectPr>
      </w:pPr>
    </w:p>
    <w:bookmarkStart w:id="98" w:name="page99"/>
    <w:bookmarkEnd w:id="98"/>
    <w:p>
      <w:pPr>
        <w:ind w:left="452" w:right="140" w:hanging="452"/>
        <w:spacing w:after="0" w:line="256" w:lineRule="auto"/>
        <w:tabs>
          <w:tab w:leader="none" w:pos="452" w:val="left"/>
        </w:tabs>
        <w:numPr>
          <w:ilvl w:val="0"/>
          <w:numId w:val="74"/>
        </w:numPr>
        <w:rPr>
          <w:rFonts w:ascii="Arial" w:cs="Arial" w:eastAsia="Arial" w:hAnsi="Arial"/>
          <w:sz w:val="18"/>
          <w:szCs w:val="18"/>
          <w:i w:val="1"/>
          <w:iCs w:val="1"/>
          <w:color w:val="auto"/>
        </w:rPr>
      </w:pPr>
      <w:r>
        <w:rPr>
          <w:rFonts w:ascii="Arial" w:cs="Arial" w:eastAsia="Arial" w:hAnsi="Arial"/>
          <w:sz w:val="18"/>
          <w:szCs w:val="18"/>
          <w:i w:val="1"/>
          <w:iCs w:val="1"/>
          <w:color w:val="auto"/>
        </w:rPr>
        <w:t>Excludes amortization and balances related to goodwill and core deposit and other intangible assets and merger-related gains and expenses which, except in the calculation of the efficiency ratio, are net of applicable income tax effects. A reconciliation of net income and net operating income appears in Table 2.</w:t>
      </w:r>
    </w:p>
    <w:p>
      <w:pPr>
        <w:ind w:left="452" w:hanging="452"/>
        <w:spacing w:after="0"/>
        <w:tabs>
          <w:tab w:leader="none" w:pos="452" w:val="left"/>
        </w:tabs>
        <w:numPr>
          <w:ilvl w:val="0"/>
          <w:numId w:val="74"/>
        </w:numPr>
        <w:rPr>
          <w:rFonts w:ascii="Arial" w:cs="Arial" w:eastAsia="Arial" w:hAnsi="Arial"/>
          <w:sz w:val="18"/>
          <w:szCs w:val="18"/>
          <w:i w:val="1"/>
          <w:iCs w:val="1"/>
          <w:color w:val="auto"/>
        </w:rPr>
      </w:pPr>
      <w:r>
        <w:rPr>
          <w:rFonts w:ascii="Arial" w:cs="Arial" w:eastAsia="Arial" w:hAnsi="Arial"/>
          <w:sz w:val="18"/>
          <w:szCs w:val="18"/>
          <w:i w:val="1"/>
          <w:iCs w:val="1"/>
          <w:color w:val="auto"/>
        </w:rPr>
        <w:t>Excludes impact of merger-related gains and expenses and net securities transactions.</w:t>
      </w:r>
    </w:p>
    <w:p>
      <w:pPr>
        <w:spacing w:after="0" w:line="9" w:lineRule="exact"/>
        <w:rPr>
          <w:rFonts w:ascii="Arial" w:cs="Arial" w:eastAsia="Arial" w:hAnsi="Arial"/>
          <w:sz w:val="18"/>
          <w:szCs w:val="18"/>
          <w:i w:val="1"/>
          <w:iCs w:val="1"/>
          <w:color w:val="auto"/>
        </w:rPr>
      </w:pPr>
    </w:p>
    <w:p>
      <w:pPr>
        <w:ind w:left="452" w:hanging="452"/>
        <w:spacing w:after="0" w:line="323" w:lineRule="auto"/>
        <w:tabs>
          <w:tab w:leader="none" w:pos="452" w:val="left"/>
        </w:tabs>
        <w:numPr>
          <w:ilvl w:val="0"/>
          <w:numId w:val="74"/>
        </w:numPr>
        <w:rPr>
          <w:rFonts w:ascii="Arial" w:cs="Arial" w:eastAsia="Arial" w:hAnsi="Arial"/>
          <w:sz w:val="16"/>
          <w:szCs w:val="16"/>
          <w:i w:val="1"/>
          <w:iCs w:val="1"/>
          <w:color w:val="auto"/>
        </w:rPr>
      </w:pPr>
      <w:r>
        <w:rPr>
          <w:rFonts w:ascii="Arial" w:cs="Arial" w:eastAsia="Arial" w:hAnsi="Arial"/>
          <w:sz w:val="16"/>
          <w:szCs w:val="16"/>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71" w:lineRule="exact"/>
        <w:rPr>
          <w:rFonts w:ascii="Arial" w:cs="Arial" w:eastAsia="Arial" w:hAnsi="Arial"/>
          <w:sz w:val="16"/>
          <w:szCs w:val="16"/>
          <w:i w:val="1"/>
          <w:iCs w:val="1"/>
          <w:color w:val="auto"/>
        </w:rPr>
      </w:pPr>
    </w:p>
    <w:p>
      <w:pPr>
        <w:ind w:left="5612" w:hanging="101"/>
        <w:spacing w:after="0"/>
        <w:tabs>
          <w:tab w:leader="none" w:pos="5612" w:val="left"/>
        </w:tabs>
        <w:numPr>
          <w:ilvl w:val="1"/>
          <w:numId w:val="74"/>
        </w:numPr>
        <w:rPr>
          <w:rFonts w:ascii="Arial" w:cs="Arial" w:eastAsia="Arial" w:hAnsi="Arial"/>
          <w:sz w:val="18"/>
          <w:szCs w:val="18"/>
          <w:color w:val="auto"/>
        </w:rPr>
      </w:pPr>
      <w:r>
        <w:rPr>
          <w:rFonts w:ascii="Arial" w:cs="Arial" w:eastAsia="Arial" w:hAnsi="Arial"/>
          <w:sz w:val="18"/>
          <w:szCs w:val="18"/>
          <w:color w:val="auto"/>
        </w:rPr>
        <w:t>98 -</w:t>
      </w:r>
    </w:p>
    <w:p>
      <w:pPr>
        <w:sectPr>
          <w:pgSz w:w="11900" w:h="16838" w:orient="portrait"/>
          <w:cols w:equalWidth="0" w:num="1">
            <w:col w:w="11232"/>
          </w:cols>
          <w:pgMar w:left="248" w:top="368" w:right="4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Table 2</w:t>
            </w:r>
          </w:p>
        </w:tc>
        <w:tc>
          <w:tcPr>
            <w:tcW w:w="0" w:type="dxa"/>
            <w:vAlign w:val="bottom"/>
          </w:tcPr>
          <w:p>
            <w:pPr>
              <w:spacing w:after="0"/>
              <w:rPr>
                <w:sz w:val="1"/>
                <w:szCs w:val="1"/>
                <w:color w:val="auto"/>
              </w:rPr>
            </w:pPr>
          </w:p>
        </w:tc>
      </w:tr>
      <w:tr>
        <w:trPr>
          <w:trHeight w:val="432"/>
        </w:trPr>
        <w:tc>
          <w:tcPr>
            <w:tcW w:w="6180" w:type="dxa"/>
            <w:vAlign w:val="bottom"/>
            <w:gridSpan w:val="9"/>
          </w:tcPr>
          <w:p>
            <w:pPr>
              <w:spacing w:after="0"/>
              <w:rPr>
                <w:sz w:val="20"/>
                <w:szCs w:val="20"/>
                <w:color w:val="auto"/>
              </w:rPr>
            </w:pPr>
            <w:r>
              <w:rPr>
                <w:rFonts w:ascii="Arial" w:cs="Arial" w:eastAsia="Arial" w:hAnsi="Arial"/>
                <w:sz w:val="18"/>
                <w:szCs w:val="18"/>
                <w:color w:val="auto"/>
              </w:rPr>
              <w:t>RECONCILIATION OF QUARTERLY GAAP TO NON-GAAP MEASURES</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color w:val="auto"/>
                <w:w w:val="93"/>
              </w:rPr>
              <w:t>2014 Quarters</w:t>
            </w:r>
          </w:p>
        </w:tc>
        <w:tc>
          <w:tcPr>
            <w:tcW w:w="7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color w:val="auto"/>
              </w:rPr>
              <w:t>2013 Quarters</w:t>
            </w:r>
          </w:p>
        </w:tc>
        <w:tc>
          <w:tcPr>
            <w:tcW w:w="7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60"/>
              <w:spacing w:after="0" w:line="142" w:lineRule="exact"/>
              <w:rPr>
                <w:sz w:val="20"/>
                <w:szCs w:val="20"/>
                <w:color w:val="auto"/>
              </w:rPr>
            </w:pPr>
            <w:r>
              <w:rPr>
                <w:rFonts w:ascii="Arial" w:cs="Arial" w:eastAsia="Arial" w:hAnsi="Arial"/>
                <w:sz w:val="14"/>
                <w:szCs w:val="14"/>
                <w:color w:val="auto"/>
              </w:rPr>
              <w:t>Third</w:t>
            </w:r>
          </w:p>
        </w:tc>
        <w:tc>
          <w:tcPr>
            <w:tcW w:w="80" w:type="dxa"/>
            <w:vAlign w:val="bottom"/>
          </w:tcPr>
          <w:p>
            <w:pPr>
              <w:spacing w:after="0"/>
              <w:rPr>
                <w:sz w:val="12"/>
                <w:szCs w:val="12"/>
                <w:color w:val="auto"/>
              </w:rPr>
            </w:pPr>
          </w:p>
        </w:tc>
        <w:tc>
          <w:tcPr>
            <w:tcW w:w="1060" w:type="dxa"/>
            <w:vAlign w:val="bottom"/>
            <w:gridSpan w:val="2"/>
          </w:tcPr>
          <w:p>
            <w:pPr>
              <w:jc w:val="right"/>
              <w:ind w:right="460"/>
              <w:spacing w:after="0" w:line="142" w:lineRule="exact"/>
              <w:rPr>
                <w:sz w:val="20"/>
                <w:szCs w:val="20"/>
                <w:color w:val="auto"/>
              </w:rPr>
            </w:pPr>
            <w:r>
              <w:rPr>
                <w:rFonts w:ascii="Arial" w:cs="Arial" w:eastAsia="Arial" w:hAnsi="Arial"/>
                <w:sz w:val="14"/>
                <w:szCs w:val="14"/>
                <w:color w:val="auto"/>
              </w:rPr>
              <w:t>Second</w:t>
            </w:r>
          </w:p>
        </w:tc>
        <w:tc>
          <w:tcPr>
            <w:tcW w:w="780" w:type="dxa"/>
            <w:vAlign w:val="bottom"/>
          </w:tcPr>
          <w:p>
            <w:pPr>
              <w:jc w:val="right"/>
              <w:ind w:right="170"/>
              <w:spacing w:after="0" w:line="142" w:lineRule="exact"/>
              <w:rPr>
                <w:sz w:val="20"/>
                <w:szCs w:val="20"/>
                <w:color w:val="auto"/>
              </w:rPr>
            </w:pPr>
            <w:r>
              <w:rPr>
                <w:rFonts w:ascii="Arial" w:cs="Arial" w:eastAsia="Arial" w:hAnsi="Arial"/>
                <w:sz w:val="14"/>
                <w:szCs w:val="14"/>
                <w:color w:val="auto"/>
              </w:rPr>
              <w:t>First</w:t>
            </w:r>
          </w:p>
        </w:tc>
        <w:tc>
          <w:tcPr>
            <w:tcW w:w="280" w:type="dxa"/>
            <w:vAlign w:val="bottom"/>
          </w:tcPr>
          <w:p>
            <w:pPr>
              <w:spacing w:after="0"/>
              <w:rPr>
                <w:sz w:val="12"/>
                <w:szCs w:val="12"/>
                <w:color w:val="auto"/>
              </w:rPr>
            </w:pPr>
          </w:p>
        </w:tc>
        <w:tc>
          <w:tcPr>
            <w:tcW w:w="1060" w:type="dxa"/>
            <w:vAlign w:val="bottom"/>
            <w:gridSpan w:val="2"/>
          </w:tcPr>
          <w:p>
            <w:pPr>
              <w:jc w:val="right"/>
              <w:ind w:right="480"/>
              <w:spacing w:after="0" w:line="142" w:lineRule="exact"/>
              <w:rPr>
                <w:sz w:val="20"/>
                <w:szCs w:val="20"/>
                <w:color w:val="auto"/>
              </w:rPr>
            </w:pPr>
            <w:r>
              <w:rPr>
                <w:rFonts w:ascii="Arial" w:cs="Arial" w:eastAsia="Arial" w:hAnsi="Arial"/>
                <w:sz w:val="14"/>
                <w:szCs w:val="14"/>
                <w:color w:val="auto"/>
              </w:rPr>
              <w:t>Fourth</w:t>
            </w:r>
          </w:p>
        </w:tc>
        <w:tc>
          <w:tcPr>
            <w:tcW w:w="106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rPr>
              <w:t>Third</w:t>
            </w:r>
          </w:p>
        </w:tc>
        <w:tc>
          <w:tcPr>
            <w:tcW w:w="1080" w:type="dxa"/>
            <w:vAlign w:val="bottom"/>
            <w:gridSpan w:val="2"/>
          </w:tcPr>
          <w:p>
            <w:pPr>
              <w:jc w:val="right"/>
              <w:ind w:right="460"/>
              <w:spacing w:after="0" w:line="142" w:lineRule="exact"/>
              <w:rPr>
                <w:sz w:val="20"/>
                <w:szCs w:val="20"/>
                <w:color w:val="auto"/>
              </w:rPr>
            </w:pPr>
            <w:r>
              <w:rPr>
                <w:rFonts w:ascii="Arial" w:cs="Arial" w:eastAsia="Arial" w:hAnsi="Arial"/>
                <w:sz w:val="14"/>
                <w:szCs w:val="14"/>
                <w:color w:val="auto"/>
              </w:rPr>
              <w:t>Second</w:t>
            </w:r>
          </w:p>
        </w:tc>
        <w:tc>
          <w:tcPr>
            <w:tcW w:w="780" w:type="dxa"/>
            <w:vAlign w:val="bottom"/>
          </w:tcPr>
          <w:p>
            <w:pPr>
              <w:jc w:val="right"/>
              <w:ind w:right="170"/>
              <w:spacing w:after="0" w:line="142" w:lineRule="exact"/>
              <w:rPr>
                <w:sz w:val="20"/>
                <w:szCs w:val="20"/>
                <w:color w:val="auto"/>
              </w:rPr>
            </w:pPr>
            <w:r>
              <w:rPr>
                <w:rFonts w:ascii="Arial" w:cs="Arial" w:eastAsia="Arial" w:hAnsi="Arial"/>
                <w:sz w:val="14"/>
                <w:szCs w:val="14"/>
                <w:color w:val="auto"/>
              </w:rPr>
              <w:t>First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 data</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i w:val="1"/>
                <w:iCs w:val="1"/>
                <w:color w:val="auto"/>
              </w:rPr>
              <w:t>In thousands, except per share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275,344</w:t>
            </w:r>
          </w:p>
        </w:tc>
        <w:tc>
          <w:tcPr>
            <w:tcW w:w="22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284,336</w:t>
            </w:r>
          </w:p>
        </w:tc>
        <w:tc>
          <w:tcPr>
            <w:tcW w:w="780" w:type="dxa"/>
            <w:vAlign w:val="bottom"/>
          </w:tcPr>
          <w:p>
            <w:pPr>
              <w:jc w:val="right"/>
              <w:spacing w:after="0"/>
              <w:rPr>
                <w:sz w:val="20"/>
                <w:szCs w:val="20"/>
                <w:color w:val="auto"/>
              </w:rPr>
            </w:pPr>
            <w:r>
              <w:rPr>
                <w:rFonts w:ascii="Arial" w:cs="Arial" w:eastAsia="Arial" w:hAnsi="Arial"/>
                <w:sz w:val="18"/>
                <w:szCs w:val="18"/>
                <w:color w:val="auto"/>
              </w:rPr>
              <w:t>229,017</w:t>
            </w:r>
          </w:p>
        </w:tc>
        <w:tc>
          <w:tcPr>
            <w:tcW w:w="2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221,422</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294,479</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348,466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274,113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Amortization of core deposit and other intangible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 (a)</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22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5,638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6,145</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6,375</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6,489</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7,632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Merger-related expenses (a)</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4,636</w:t>
            </w:r>
          </w:p>
        </w:tc>
        <w:tc>
          <w:tcPr>
            <w:tcW w:w="2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income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279,838</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289,974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235,162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227,797</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300,968</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360,734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285,136</w:t>
            </w:r>
          </w:p>
        </w:tc>
        <w:tc>
          <w:tcPr>
            <w:tcW w:w="0" w:type="dxa"/>
            <w:vAlign w:val="bottom"/>
          </w:tcPr>
          <w:p>
            <w:pPr>
              <w:spacing w:after="0"/>
              <w:rPr>
                <w:sz w:val="1"/>
                <w:szCs w:val="1"/>
                <w:color w:val="auto"/>
              </w:rPr>
            </w:pP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Earnings per common share</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1.98</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tcPr>
          <w:p>
            <w:pPr>
              <w:spacing w:after="0" w:line="201" w:lineRule="exact"/>
              <w:rPr>
                <w:sz w:val="20"/>
                <w:szCs w:val="20"/>
                <w:color w:val="auto"/>
              </w:rPr>
            </w:pPr>
            <w:r>
              <w:rPr>
                <w:rFonts w:ascii="Arial" w:cs="Arial" w:eastAsia="Arial" w:hAnsi="Arial"/>
                <w:sz w:val="18"/>
                <w:szCs w:val="18"/>
                <w:color w:val="auto"/>
                <w:w w:val="97"/>
              </w:rPr>
              <w:t>Amortization of core deposit and other intangible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assets (a)</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0"/>
                <w:szCs w:val="20"/>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.04</w:t>
            </w: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Merger-related expenses (a)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w w:val="99"/>
              </w:rPr>
              <w:t>Diluted net operating earnings per common</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tcPr>
          <w:p>
            <w:pPr>
              <w:ind w:left="520"/>
              <w:spacing w:after="0"/>
              <w:rPr>
                <w:sz w:val="20"/>
                <w:szCs w:val="20"/>
                <w:color w:val="auto"/>
              </w:rPr>
            </w:pPr>
            <w:r>
              <w:rPr>
                <w:rFonts w:ascii="Arial" w:cs="Arial" w:eastAsia="Arial" w:hAnsi="Arial"/>
                <w:sz w:val="18"/>
                <w:szCs w:val="18"/>
                <w:color w:val="auto"/>
              </w:rPr>
              <w:t>share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2.02</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1.66</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1.61</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2.16</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2.65</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expense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679,284</w:t>
            </w:r>
          </w:p>
        </w:tc>
        <w:tc>
          <w:tcPr>
            <w:tcW w:w="22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681,194</w:t>
            </w:r>
          </w:p>
        </w:tc>
        <w:tc>
          <w:tcPr>
            <w:tcW w:w="780" w:type="dxa"/>
            <w:vAlign w:val="bottom"/>
          </w:tcPr>
          <w:p>
            <w:pPr>
              <w:jc w:val="right"/>
              <w:spacing w:after="0"/>
              <w:rPr>
                <w:sz w:val="20"/>
                <w:szCs w:val="20"/>
                <w:color w:val="auto"/>
              </w:rPr>
            </w:pPr>
            <w:r>
              <w:rPr>
                <w:rFonts w:ascii="Arial" w:cs="Arial" w:eastAsia="Arial" w:hAnsi="Arial"/>
                <w:sz w:val="18"/>
                <w:szCs w:val="18"/>
                <w:color w:val="auto"/>
              </w:rPr>
              <w:t>702,271</w:t>
            </w:r>
          </w:p>
        </w:tc>
        <w:tc>
          <w:tcPr>
            <w:tcW w:w="2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743,072</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658,626</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598,591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635,596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Amortization of core deposit and other intangible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(7,358)</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(9,234)</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(10,062)</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(10,439)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(10,628)</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Merger-related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(7,632)</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 operating expense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671,926</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671,960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692,209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732,633</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647,998</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578,457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617,521</w:t>
            </w:r>
          </w:p>
        </w:tc>
        <w:tc>
          <w:tcPr>
            <w:tcW w:w="0" w:type="dxa"/>
            <w:vAlign w:val="bottom"/>
          </w:tcPr>
          <w:p>
            <w:pPr>
              <w:spacing w:after="0"/>
              <w:rPr>
                <w:sz w:val="1"/>
                <w:szCs w:val="1"/>
                <w:color w:val="auto"/>
              </w:rPr>
            </w:pP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Merger-related expenses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489</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costs of operations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5,845</w:t>
            </w:r>
          </w:p>
        </w:tc>
        <w:tc>
          <w:tcPr>
            <w:tcW w:w="2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7,632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Efficiency ratio</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Noninterest operating expense (numerator)</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671,926</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671,960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692,209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732,633</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647,998</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578,457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617,521</w:t>
            </w:r>
          </w:p>
        </w:tc>
        <w:tc>
          <w:tcPr>
            <w:tcW w:w="0" w:type="dxa"/>
            <w:vAlign w:val="bottom"/>
          </w:tcPr>
          <w:p>
            <w:pPr>
              <w:spacing w:after="0"/>
              <w:rPr>
                <w:sz w:val="1"/>
                <w:szCs w:val="1"/>
                <w:color w:val="auto"/>
              </w:rPr>
            </w:pP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color w:val="auto"/>
              </w:rPr>
              <w:t>Taxable-equivalent net interest income</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674,900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674,963</w:t>
            </w:r>
          </w:p>
        </w:tc>
        <w:tc>
          <w:tcPr>
            <w:tcW w:w="2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662,378</w:t>
            </w:r>
          </w:p>
        </w:tc>
        <w:tc>
          <w:tcPr>
            <w:tcW w:w="2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672,683</w:t>
            </w:r>
          </w:p>
        </w:tc>
        <w:tc>
          <w:tcPr>
            <w:tcW w:w="2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679,213</w:t>
            </w:r>
          </w:p>
        </w:tc>
        <w:tc>
          <w:tcPr>
            <w:tcW w:w="2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683,804</w:t>
            </w:r>
          </w:p>
        </w:tc>
        <w:tc>
          <w:tcPr>
            <w:tcW w:w="2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662,500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451,111</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456,412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420,107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446,246</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477,388</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508,689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432,882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Less: Gain on bank investment securities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56,457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OTTI losses recognized in earnings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(9,800)</w:t>
            </w:r>
          </w:p>
        </w:tc>
        <w:tc>
          <w:tcPr>
            <w:tcW w:w="0" w:type="dxa"/>
            <w:vAlign w:val="bottom"/>
          </w:tcPr>
          <w:p>
            <w:pPr>
              <w:spacing w:after="0"/>
              <w:rPr>
                <w:sz w:val="1"/>
                <w:szCs w:val="1"/>
                <w:color w:val="auto"/>
              </w:rPr>
            </w:pP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1,126,011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1,131,375</w:t>
            </w:r>
          </w:p>
        </w:tc>
        <w:tc>
          <w:tcPr>
            <w:tcW w:w="2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1,082,485</w:t>
            </w:r>
          </w:p>
        </w:tc>
        <w:tc>
          <w:tcPr>
            <w:tcW w:w="2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1,118,929</w:t>
            </w:r>
          </w:p>
        </w:tc>
        <w:tc>
          <w:tcPr>
            <w:tcW w:w="2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1,156,601</w:t>
            </w:r>
          </w:p>
        </w:tc>
        <w:tc>
          <w:tcPr>
            <w:tcW w:w="2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1,136,036</w:t>
            </w:r>
          </w:p>
        </w:tc>
        <w:tc>
          <w:tcPr>
            <w:tcW w:w="2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1,105,182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59.67%</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59.39%</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65.48%</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56.03%</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55.88%</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Average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Average assets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93,245</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89,873</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86,665</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85,330</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84,011</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83,352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(3,525)</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(3,525)</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(3,525)</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(3,525)</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(3,525)</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(3,525)</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Deferred taxes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tangible assets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89,689</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86,311</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83,096</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81,754</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80,427</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79,760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78,311</w:t>
            </w:r>
          </w:p>
        </w:tc>
        <w:tc>
          <w:tcPr>
            <w:tcW w:w="0" w:type="dxa"/>
            <w:vAlign w:val="bottom"/>
          </w:tcPr>
          <w:p>
            <w:pPr>
              <w:spacing w:after="0"/>
              <w:rPr>
                <w:sz w:val="1"/>
                <w:szCs w:val="1"/>
                <w:color w:val="auto"/>
              </w:rPr>
            </w:pP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Average common equity</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Average total equity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12,247</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12,039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11,648</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10,881</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10,563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Preferred stock</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(1,232)</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(1,231)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(1,072)</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(881)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(878)</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(876)</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common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10,576</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10,228</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10,003</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9,687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9,448</w:t>
            </w:r>
          </w:p>
        </w:tc>
        <w:tc>
          <w:tcPr>
            <w:tcW w:w="0" w:type="dxa"/>
            <w:vAlign w:val="bottom"/>
          </w:tcPr>
          <w:p>
            <w:pPr>
              <w:spacing w:after="0"/>
              <w:rPr>
                <w:sz w:val="1"/>
                <w:szCs w:val="1"/>
                <w:color w:val="auto"/>
              </w:rPr>
            </w:pP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2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2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2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2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2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Deferred taxes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tangible common equity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7,246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6,652</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6,419</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6,095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5,846</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end of quarter</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97,228</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90,835</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88,530</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85,162</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84,427</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83,229</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82,812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(3,525)</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(3,525)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(3,525)</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(49)</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Total tangible assets</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93,674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87,276</w:t>
            </w:r>
          </w:p>
        </w:tc>
        <w:tc>
          <w:tcPr>
            <w:tcW w:w="2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84,965</w:t>
            </w:r>
          </w:p>
        </w:tc>
        <w:tc>
          <w:tcPr>
            <w:tcW w:w="2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81,589</w:t>
            </w:r>
          </w:p>
        </w:tc>
        <w:tc>
          <w:tcPr>
            <w:tcW w:w="2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80,847</w:t>
            </w:r>
          </w:p>
        </w:tc>
        <w:tc>
          <w:tcPr>
            <w:tcW w:w="2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79,641</w:t>
            </w:r>
          </w:p>
        </w:tc>
        <w:tc>
          <w:tcPr>
            <w:tcW w:w="2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79,215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common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Total equity</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12,333</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12,169</w:t>
            </w:r>
          </w:p>
        </w:tc>
        <w:tc>
          <w:tcPr>
            <w:tcW w:w="780" w:type="dxa"/>
            <w:vAlign w:val="bottom"/>
          </w:tcPr>
          <w:p>
            <w:pPr>
              <w:jc w:val="right"/>
              <w:spacing w:after="0"/>
              <w:rPr>
                <w:sz w:val="20"/>
                <w:szCs w:val="20"/>
                <w:color w:val="auto"/>
              </w:rPr>
            </w:pPr>
            <w:r>
              <w:rPr>
                <w:rFonts w:ascii="Arial" w:cs="Arial" w:eastAsia="Arial" w:hAnsi="Arial"/>
                <w:sz w:val="18"/>
                <w:szCs w:val="18"/>
                <w:color w:val="auto"/>
              </w:rPr>
              <w:t>11,887</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11,306</w:t>
            </w:r>
          </w:p>
        </w:tc>
        <w:tc>
          <w:tcPr>
            <w:tcW w:w="2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11,016</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10,716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(1,232)</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(1,232)</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(1,232)</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(882)</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(879)</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60" w:type="dxa"/>
            <w:vAlign w:val="bottom"/>
          </w:tcPr>
          <w:p>
            <w:pPr>
              <w:spacing w:after="0"/>
              <w:rPr>
                <w:sz w:val="20"/>
                <w:szCs w:val="20"/>
                <w:color w:val="auto"/>
              </w:rPr>
            </w:pPr>
            <w:r>
              <w:rPr>
                <w:rFonts w:ascii="Arial" w:cs="Arial" w:eastAsia="Arial" w:hAnsi="Arial"/>
                <w:sz w:val="18"/>
                <w:szCs w:val="18"/>
                <w:color w:val="auto"/>
                <w:w w:val="95"/>
              </w:rPr>
              <w:t>Undeclared dividends - cumulative preferred stock</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r>
      <w:tr>
        <w:trPr>
          <w:trHeight w:val="202"/>
        </w:trPr>
        <w:tc>
          <w:tcPr>
            <w:tcW w:w="38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Common equity, net of undeclared cumulative</w:t>
            </w: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3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preferred dividends</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11,099</w:t>
            </w: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10,934</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10,652</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10,421</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10,133</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9,836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9,545</w:t>
            </w: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3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2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2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2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2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2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200" w:type="dxa"/>
            <w:vAlign w:val="bottom"/>
          </w:tcPr>
          <w:p>
            <w:pPr>
              <w:spacing w:after="0"/>
              <w:rPr>
                <w:sz w:val="19"/>
                <w:szCs w:val="19"/>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Deferred taxes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tangible common equity</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7,375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6,848</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6,553</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6,248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5,948</w:t>
            </w:r>
          </w:p>
        </w:tc>
      </w:tr>
      <w:tr>
        <w:trPr>
          <w:trHeight w:val="20"/>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After any related tax effect.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- 99 -</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Table 3</w:t>
            </w:r>
          </w:p>
        </w:tc>
        <w:tc>
          <w:tcPr>
            <w:tcW w:w="0" w:type="dxa"/>
            <w:vAlign w:val="bottom"/>
          </w:tcPr>
          <w:p>
            <w:pPr>
              <w:spacing w:after="0"/>
              <w:rPr>
                <w:sz w:val="1"/>
                <w:szCs w:val="1"/>
                <w:color w:val="auto"/>
              </w:rPr>
            </w:pPr>
          </w:p>
        </w:tc>
      </w:tr>
      <w:tr>
        <w:trPr>
          <w:trHeight w:val="432"/>
        </w:trPr>
        <w:tc>
          <w:tcPr>
            <w:tcW w:w="6780" w:type="dxa"/>
            <w:vAlign w:val="bottom"/>
            <w:gridSpan w:val="13"/>
          </w:tcPr>
          <w:p>
            <w:pPr>
              <w:spacing w:after="0"/>
              <w:rPr>
                <w:sz w:val="20"/>
                <w:szCs w:val="20"/>
                <w:color w:val="auto"/>
              </w:rPr>
            </w:pPr>
            <w:r>
              <w:rPr>
                <w:rFonts w:ascii="Arial" w:cs="Arial" w:eastAsia="Arial" w:hAnsi="Arial"/>
                <w:sz w:val="18"/>
                <w:szCs w:val="18"/>
                <w:color w:val="auto"/>
                <w:w w:val="98"/>
              </w:rPr>
              <w:t>AVERAGE BALANCE SHEETS AND ANNUALIZED TAXABLE-EQUIVALENT RATES</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6"/>
          </w:tcPr>
          <w:p>
            <w:pPr>
              <w:ind w:left="420"/>
              <w:spacing w:after="0"/>
              <w:rPr>
                <w:sz w:val="20"/>
                <w:szCs w:val="20"/>
                <w:color w:val="auto"/>
              </w:rPr>
            </w:pPr>
            <w:r>
              <w:rPr>
                <w:rFonts w:ascii="Arial" w:cs="Arial" w:eastAsia="Arial" w:hAnsi="Arial"/>
                <w:sz w:val="14"/>
                <w:szCs w:val="14"/>
                <w:color w:val="auto"/>
                <w:w w:val="96"/>
              </w:rPr>
              <w:t>2014 Third Quarter</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6"/>
          </w:tcPr>
          <w:p>
            <w:pPr>
              <w:jc w:val="right"/>
              <w:ind w:right="700"/>
              <w:spacing w:after="0"/>
              <w:rPr>
                <w:sz w:val="20"/>
                <w:szCs w:val="20"/>
                <w:color w:val="auto"/>
              </w:rPr>
            </w:pPr>
            <w:r>
              <w:rPr>
                <w:rFonts w:ascii="Arial" w:cs="Arial" w:eastAsia="Arial" w:hAnsi="Arial"/>
                <w:sz w:val="14"/>
                <w:szCs w:val="14"/>
                <w:color w:val="auto"/>
              </w:rPr>
              <w:t>2014 Second Quarter</w:t>
            </w:r>
          </w:p>
        </w:tc>
        <w:tc>
          <w:tcPr>
            <w:tcW w:w="1600" w:type="dxa"/>
            <w:vAlign w:val="bottom"/>
            <w:gridSpan w:val="4"/>
          </w:tcPr>
          <w:p>
            <w:pPr>
              <w:jc w:val="right"/>
              <w:ind w:right="40"/>
              <w:spacing w:after="0"/>
              <w:rPr>
                <w:sz w:val="20"/>
                <w:szCs w:val="20"/>
                <w:color w:val="auto"/>
              </w:rPr>
            </w:pPr>
            <w:r>
              <w:rPr>
                <w:rFonts w:ascii="Arial" w:cs="Arial" w:eastAsia="Arial" w:hAnsi="Arial"/>
                <w:sz w:val="14"/>
                <w:szCs w:val="14"/>
                <w:color w:val="auto"/>
              </w:rPr>
              <w:t>2014 First Quarter</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260" w:type="dxa"/>
            <w:vAlign w:val="bottom"/>
          </w:tcPr>
          <w:p>
            <w:pPr>
              <w:spacing w:after="0"/>
              <w:rPr>
                <w:sz w:val="12"/>
                <w:szCs w:val="12"/>
                <w:color w:val="auto"/>
              </w:rPr>
            </w:pPr>
          </w:p>
        </w:tc>
        <w:tc>
          <w:tcPr>
            <w:tcW w:w="7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w w:val="95"/>
              </w:rPr>
              <w:t>Average</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8"/>
              </w:rPr>
              <w:t>Average</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5"/>
              </w:rPr>
              <w:t>Average</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8"/>
              </w:rPr>
              <w:t>Average</w:t>
            </w: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Average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8"/>
              </w:rPr>
              <w:t>Average</w:t>
            </w:r>
          </w:p>
        </w:tc>
        <w:tc>
          <w:tcPr>
            <w:tcW w:w="0" w:type="dxa"/>
            <w:vAlign w:val="bottom"/>
          </w:tcPr>
          <w:p>
            <w:pPr>
              <w:spacing w:after="0"/>
              <w:rPr>
                <w:sz w:val="1"/>
                <w:szCs w:val="1"/>
                <w:color w:val="auto"/>
              </w:rPr>
            </w:pPr>
          </w:p>
        </w:tc>
      </w:tr>
      <w:tr>
        <w:trPr>
          <w:trHeight w:val="174"/>
        </w:trPr>
        <w:tc>
          <w:tcPr>
            <w:tcW w:w="41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3"/>
          </w:tcPr>
          <w:p>
            <w:pPr>
              <w:jc w:val="right"/>
              <w:ind w:right="240"/>
              <w:spacing w:after="0" w:line="154" w:lineRule="exact"/>
              <w:rPr>
                <w:sz w:val="20"/>
                <w:szCs w:val="20"/>
                <w:color w:val="auto"/>
              </w:rPr>
            </w:pPr>
            <w:r>
              <w:rPr>
                <w:rFonts w:ascii="Arial" w:cs="Arial" w:eastAsia="Arial" w:hAnsi="Arial"/>
                <w:sz w:val="14"/>
                <w:szCs w:val="14"/>
                <w:color w:val="auto"/>
                <w:w w:val="98"/>
              </w:rPr>
              <w:t>Balance</w:t>
            </w:r>
          </w:p>
        </w:tc>
        <w:tc>
          <w:tcPr>
            <w:tcW w:w="20" w:type="dxa"/>
            <w:vAlign w:val="bottom"/>
          </w:tcPr>
          <w:p>
            <w:pPr>
              <w:spacing w:after="0"/>
              <w:rPr>
                <w:sz w:val="15"/>
                <w:szCs w:val="15"/>
                <w:color w:val="auto"/>
              </w:rPr>
            </w:pPr>
          </w:p>
        </w:tc>
        <w:tc>
          <w:tcPr>
            <w:tcW w:w="880" w:type="dxa"/>
            <w:vAlign w:val="bottom"/>
            <w:gridSpan w:val="3"/>
          </w:tcPr>
          <w:p>
            <w:pPr>
              <w:ind w:left="100"/>
              <w:spacing w:after="0" w:line="154" w:lineRule="exact"/>
              <w:rPr>
                <w:sz w:val="20"/>
                <w:szCs w:val="20"/>
                <w:color w:val="auto"/>
              </w:rPr>
            </w:pPr>
            <w:r>
              <w:rPr>
                <w:rFonts w:ascii="Arial" w:cs="Arial" w:eastAsia="Arial" w:hAnsi="Arial"/>
                <w:sz w:val="14"/>
                <w:szCs w:val="14"/>
                <w:color w:val="auto"/>
              </w:rPr>
              <w:t>Interest</w:t>
            </w:r>
          </w:p>
        </w:tc>
        <w:tc>
          <w:tcPr>
            <w:tcW w:w="740" w:type="dxa"/>
            <w:vAlign w:val="bottom"/>
            <w:gridSpan w:val="2"/>
          </w:tcPr>
          <w:p>
            <w:pPr>
              <w:jc w:val="right"/>
              <w:ind w:right="380"/>
              <w:spacing w:after="0" w:line="154" w:lineRule="exact"/>
              <w:rPr>
                <w:sz w:val="20"/>
                <w:szCs w:val="20"/>
                <w:color w:val="auto"/>
              </w:rPr>
            </w:pPr>
            <w:r>
              <w:rPr>
                <w:rFonts w:ascii="Arial" w:cs="Arial" w:eastAsia="Arial" w:hAnsi="Arial"/>
                <w:sz w:val="14"/>
                <w:szCs w:val="14"/>
                <w:color w:val="auto"/>
              </w:rPr>
              <w:t>Rate</w:t>
            </w:r>
          </w:p>
        </w:tc>
        <w:tc>
          <w:tcPr>
            <w:tcW w:w="740" w:type="dxa"/>
            <w:vAlign w:val="bottom"/>
            <w:gridSpan w:val="2"/>
          </w:tcPr>
          <w:p>
            <w:pPr>
              <w:jc w:val="right"/>
              <w:ind w:right="220"/>
              <w:spacing w:after="0" w:line="154" w:lineRule="exact"/>
              <w:rPr>
                <w:sz w:val="20"/>
                <w:szCs w:val="20"/>
                <w:color w:val="auto"/>
              </w:rPr>
            </w:pPr>
            <w:r>
              <w:rPr>
                <w:rFonts w:ascii="Arial" w:cs="Arial" w:eastAsia="Arial" w:hAnsi="Arial"/>
                <w:sz w:val="14"/>
                <w:szCs w:val="14"/>
                <w:color w:val="auto"/>
                <w:w w:val="98"/>
              </w:rPr>
              <w:t>Balance</w:t>
            </w:r>
          </w:p>
        </w:tc>
        <w:tc>
          <w:tcPr>
            <w:tcW w:w="840" w:type="dxa"/>
            <w:vAlign w:val="bottom"/>
            <w:gridSpan w:val="2"/>
          </w:tcPr>
          <w:p>
            <w:pPr>
              <w:jc w:val="right"/>
              <w:ind w:right="300"/>
              <w:spacing w:after="0" w:line="154" w:lineRule="exact"/>
              <w:rPr>
                <w:sz w:val="20"/>
                <w:szCs w:val="20"/>
                <w:color w:val="auto"/>
              </w:rPr>
            </w:pPr>
            <w:r>
              <w:rPr>
                <w:rFonts w:ascii="Arial" w:cs="Arial" w:eastAsia="Arial" w:hAnsi="Arial"/>
                <w:sz w:val="14"/>
                <w:szCs w:val="14"/>
                <w:color w:val="auto"/>
              </w:rPr>
              <w:t>Interest</w:t>
            </w:r>
          </w:p>
        </w:tc>
        <w:tc>
          <w:tcPr>
            <w:tcW w:w="780" w:type="dxa"/>
            <w:vAlign w:val="bottom"/>
            <w:gridSpan w:val="2"/>
          </w:tcPr>
          <w:p>
            <w:pPr>
              <w:jc w:val="right"/>
              <w:ind w:right="400"/>
              <w:spacing w:after="0" w:line="154" w:lineRule="exact"/>
              <w:rPr>
                <w:sz w:val="20"/>
                <w:szCs w:val="20"/>
                <w:color w:val="auto"/>
              </w:rPr>
            </w:pPr>
            <w:r>
              <w:rPr>
                <w:rFonts w:ascii="Arial" w:cs="Arial" w:eastAsia="Arial" w:hAnsi="Arial"/>
                <w:sz w:val="14"/>
                <w:szCs w:val="14"/>
                <w:color w:val="auto"/>
              </w:rPr>
              <w:t>Rate</w:t>
            </w:r>
          </w:p>
        </w:tc>
        <w:tc>
          <w:tcPr>
            <w:tcW w:w="740" w:type="dxa"/>
            <w:vAlign w:val="bottom"/>
            <w:gridSpan w:val="2"/>
          </w:tcPr>
          <w:p>
            <w:pPr>
              <w:ind w:left="40"/>
              <w:spacing w:after="0" w:line="154" w:lineRule="exact"/>
              <w:rPr>
                <w:sz w:val="20"/>
                <w:szCs w:val="20"/>
                <w:color w:val="auto"/>
              </w:rPr>
            </w:pPr>
            <w:r>
              <w:rPr>
                <w:rFonts w:ascii="Arial" w:cs="Arial" w:eastAsia="Arial" w:hAnsi="Arial"/>
                <w:sz w:val="14"/>
                <w:szCs w:val="14"/>
                <w:color w:val="auto"/>
              </w:rPr>
              <w:t>Balance</w:t>
            </w:r>
          </w:p>
        </w:tc>
        <w:tc>
          <w:tcPr>
            <w:tcW w:w="860" w:type="dxa"/>
            <w:vAlign w:val="bottom"/>
            <w:gridSpan w:val="2"/>
          </w:tcPr>
          <w:p>
            <w:pPr>
              <w:jc w:val="right"/>
              <w:ind w:right="320"/>
              <w:spacing w:after="0" w:line="154" w:lineRule="exact"/>
              <w:rPr>
                <w:sz w:val="20"/>
                <w:szCs w:val="20"/>
                <w:color w:val="auto"/>
              </w:rPr>
            </w:pPr>
            <w:r>
              <w:rPr>
                <w:rFonts w:ascii="Arial" w:cs="Arial" w:eastAsia="Arial" w:hAnsi="Arial"/>
                <w:sz w:val="14"/>
                <w:szCs w:val="14"/>
                <w:color w:val="auto"/>
              </w:rPr>
              <w:t>Interest</w:t>
            </w:r>
          </w:p>
        </w:tc>
        <w:tc>
          <w:tcPr>
            <w:tcW w:w="680" w:type="dxa"/>
            <w:vAlign w:val="bottom"/>
            <w:gridSpan w:val="2"/>
          </w:tcPr>
          <w:p>
            <w:pPr>
              <w:jc w:val="right"/>
              <w:ind w:right="320"/>
              <w:spacing w:after="0" w:line="154" w:lineRule="exact"/>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1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Earning assets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leases, net of unearned discount*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Commercial, financial, etc.</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18,889</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$156,440</w:t>
            </w:r>
          </w:p>
        </w:tc>
        <w:tc>
          <w:tcPr>
            <w:tcW w:w="2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3.29%</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18,978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157,891</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3.34%</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18,476</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153,529</w:t>
            </w:r>
          </w:p>
        </w:tc>
        <w:tc>
          <w:tcPr>
            <w:tcW w:w="2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Real estate - commercial</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26,487</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283,476</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4.19</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26,140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278,596</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4.22</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26,143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287,584</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Real estate - consumer</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8,634</w:t>
            </w:r>
          </w:p>
        </w:tc>
        <w:tc>
          <w:tcPr>
            <w:tcW w:w="900" w:type="dxa"/>
            <w:vAlign w:val="bottom"/>
            <w:gridSpan w:val="4"/>
          </w:tcPr>
          <w:p>
            <w:pPr>
              <w:jc w:val="right"/>
              <w:ind w:right="220"/>
              <w:spacing w:after="0"/>
              <w:rPr>
                <w:sz w:val="20"/>
                <w:szCs w:val="20"/>
                <w:color w:val="auto"/>
              </w:rPr>
            </w:pPr>
            <w:r>
              <w:rPr>
                <w:rFonts w:ascii="Arial" w:cs="Arial" w:eastAsia="Arial" w:hAnsi="Arial"/>
                <w:sz w:val="18"/>
                <w:szCs w:val="18"/>
                <w:color w:val="auto"/>
              </w:rPr>
              <w:t>90,023</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4.17</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8,746</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95,439</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4.36</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8,844</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92,533</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10,753</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122,408</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4.52</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10,479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118,157</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4.52</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10,300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116,631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tcPr>
          <w:p>
            <w:pPr>
              <w:ind w:left="700"/>
              <w:spacing w:after="0"/>
              <w:rPr>
                <w:sz w:val="20"/>
                <w:szCs w:val="20"/>
                <w:color w:val="auto"/>
              </w:rPr>
            </w:pPr>
            <w:r>
              <w:rPr>
                <w:rFonts w:ascii="Arial" w:cs="Arial" w:eastAsia="Arial" w:hAnsi="Arial"/>
                <w:sz w:val="18"/>
                <w:szCs w:val="18"/>
                <w:color w:val="auto"/>
              </w:rPr>
              <w:t>Total loans and leases, net</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64,763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652,347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64,343</w:t>
            </w:r>
          </w:p>
        </w:tc>
        <w:tc>
          <w:tcPr>
            <w:tcW w:w="1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650,083</w:t>
            </w:r>
          </w:p>
        </w:tc>
        <w:tc>
          <w:tcPr>
            <w:tcW w:w="2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63,763</w:t>
            </w:r>
          </w:p>
        </w:tc>
        <w:tc>
          <w:tcPr>
            <w:tcW w:w="1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650,277</w:t>
            </w:r>
          </w:p>
        </w:tc>
        <w:tc>
          <w:tcPr>
            <w:tcW w:w="2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5,083</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3,198</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4,080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2,535</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w w:val="94"/>
              </w:rPr>
              <w:t>Federal funds sold and agreements to resell securities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.07</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287</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Treasury and federal agencies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11,817</w:t>
            </w:r>
          </w:p>
        </w:tc>
        <w:tc>
          <w:tcPr>
            <w:tcW w:w="1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82,475</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2.77</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9,984</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74,046</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8,286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64,814</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Obligations of states and political subdivisions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162</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1,897</w:t>
            </w:r>
          </w:p>
        </w:tc>
        <w:tc>
          <w:tcPr>
            <w:tcW w:w="2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4.65</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166</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1,986</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4.82</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177</w:t>
            </w:r>
          </w:p>
        </w:tc>
        <w:tc>
          <w:tcPr>
            <w:tcW w:w="640" w:type="dxa"/>
            <w:vAlign w:val="bottom"/>
          </w:tcPr>
          <w:p>
            <w:pPr>
              <w:jc w:val="right"/>
              <w:spacing w:after="0"/>
              <w:rPr>
                <w:sz w:val="20"/>
                <w:szCs w:val="20"/>
                <w:color w:val="auto"/>
              </w:rPr>
            </w:pPr>
            <w:r>
              <w:rPr>
                <w:rFonts w:ascii="Arial" w:cs="Arial" w:eastAsia="Arial" w:hAnsi="Arial"/>
                <w:sz w:val="18"/>
                <w:szCs w:val="18"/>
                <w:color w:val="auto"/>
              </w:rPr>
              <w:t>2,269</w:t>
            </w:r>
          </w:p>
        </w:tc>
        <w:tc>
          <w:tcPr>
            <w:tcW w:w="2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801</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8,646</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4.28</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11,209</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5.56</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tcPr>
          <w:p>
            <w:pPr>
              <w:ind w:left="700"/>
              <w:spacing w:after="0"/>
              <w:rPr>
                <w:sz w:val="20"/>
                <w:szCs w:val="20"/>
                <w:color w:val="auto"/>
              </w:rPr>
            </w:pPr>
            <w:r>
              <w:rPr>
                <w:rFonts w:ascii="Arial" w:cs="Arial" w:eastAsia="Arial" w:hAnsi="Arial"/>
                <w:sz w:val="18"/>
                <w:szCs w:val="18"/>
                <w:color w:val="auto"/>
              </w:rPr>
              <w:t>Total investment securities</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12,780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93,018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10,959</w:t>
            </w:r>
          </w:p>
        </w:tc>
        <w:tc>
          <w:tcPr>
            <w:tcW w:w="1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87,241</w:t>
            </w:r>
          </w:p>
        </w:tc>
        <w:tc>
          <w:tcPr>
            <w:tcW w:w="2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9,265</w:t>
            </w:r>
          </w:p>
        </w:tc>
        <w:tc>
          <w:tcPr>
            <w:tcW w:w="1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76,243</w:t>
            </w:r>
          </w:p>
        </w:tc>
        <w:tc>
          <w:tcPr>
            <w:tcW w:w="2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Total earning assets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82,776</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748,864</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3.59</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79,556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740,139</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76,288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728,897</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3"/>
        </w:trPr>
        <w:tc>
          <w:tcPr>
            <w:tcW w:w="4120" w:type="dxa"/>
            <w:vAlign w:val="bottom"/>
            <w:gridSpan w:val="3"/>
          </w:tcPr>
          <w:p>
            <w:pPr>
              <w:spacing w:after="0"/>
              <w:rPr>
                <w:sz w:val="20"/>
                <w:szCs w:val="20"/>
                <w:color w:val="auto"/>
              </w:rPr>
            </w:pPr>
            <w:r>
              <w:rPr>
                <w:rFonts w:ascii="Arial" w:cs="Arial" w:eastAsia="Arial" w:hAnsi="Arial"/>
                <w:sz w:val="18"/>
                <w:szCs w:val="18"/>
                <w:color w:val="auto"/>
              </w:rPr>
              <w:t>Allowance for credit losses</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1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1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1,224</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1,322</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10,120</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10,015</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9,978</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93,245</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89,873</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86,665</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Interest-bearing deposits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NOW accounts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1,037</w:t>
            </w:r>
          </w:p>
        </w:tc>
        <w:tc>
          <w:tcPr>
            <w:tcW w:w="9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394</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Savings deposits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41,056</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11,532</w:t>
            </w:r>
          </w:p>
        </w:tc>
        <w:tc>
          <w:tcPr>
            <w:tcW w:w="2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39,478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11,181</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38,358</w:t>
            </w:r>
          </w:p>
        </w:tc>
        <w:tc>
          <w:tcPr>
            <w:tcW w:w="640" w:type="dxa"/>
            <w:vAlign w:val="bottom"/>
          </w:tcPr>
          <w:p>
            <w:pPr>
              <w:jc w:val="right"/>
              <w:spacing w:after="0"/>
              <w:rPr>
                <w:sz w:val="20"/>
                <w:szCs w:val="20"/>
                <w:color w:val="auto"/>
              </w:rPr>
            </w:pPr>
            <w:r>
              <w:rPr>
                <w:rFonts w:ascii="Arial" w:cs="Arial" w:eastAsia="Arial" w:hAnsi="Arial"/>
                <w:sz w:val="18"/>
                <w:szCs w:val="18"/>
                <w:color w:val="auto"/>
              </w:rPr>
              <w:t>11,601</w:t>
            </w:r>
          </w:p>
        </w:tc>
        <w:tc>
          <w:tcPr>
            <w:tcW w:w="2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Time deposits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3,227</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3,805</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3,350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3,855</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3,460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Deposits at Cayman Islands office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325</w:t>
            </w:r>
          </w:p>
        </w:tc>
        <w:tc>
          <w:tcPr>
            <w:tcW w:w="900" w:type="dxa"/>
            <w:vAlign w:val="bottom"/>
            <w:gridSpan w:val="4"/>
          </w:tcPr>
          <w:p>
            <w:pPr>
              <w:jc w:val="right"/>
              <w:ind w:right="220"/>
              <w:spacing w:after="0"/>
              <w:rPr>
                <w:sz w:val="20"/>
                <w:szCs w:val="20"/>
                <w:color w:val="auto"/>
              </w:rPr>
            </w:pPr>
            <w:r>
              <w:rPr>
                <w:rFonts w:ascii="Arial" w:cs="Arial" w:eastAsia="Arial" w:hAnsi="Arial"/>
                <w:sz w:val="18"/>
                <w:szCs w:val="18"/>
                <w:color w:val="auto"/>
              </w:rPr>
              <w:t>161</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339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181</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380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208</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interest-bearing deposits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45,645</w:t>
            </w:r>
          </w:p>
        </w:tc>
        <w:tc>
          <w:tcPr>
            <w:tcW w:w="9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15,892</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44,193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15,547</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43,186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16,046</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412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8,547</w:t>
            </w:r>
          </w:p>
        </w:tc>
        <w:tc>
          <w:tcPr>
            <w:tcW w:w="9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58,053</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2.69</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6,525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49,604</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5,897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50,441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tcPr>
          <w:p>
            <w:pPr>
              <w:ind w:left="700"/>
              <w:spacing w:after="0"/>
              <w:rPr>
                <w:sz w:val="20"/>
                <w:szCs w:val="20"/>
                <w:color w:val="auto"/>
              </w:rPr>
            </w:pPr>
            <w:r>
              <w:rPr>
                <w:rFonts w:ascii="Arial" w:cs="Arial" w:eastAsia="Arial" w:hAnsi="Arial"/>
                <w:sz w:val="18"/>
                <w:szCs w:val="18"/>
                <w:b w:val="1"/>
                <w:bCs w:val="1"/>
                <w:color w:val="auto"/>
              </w:rPr>
              <w:t>Total interest-bearing liabilities</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54,373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73,964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50,938</w:t>
            </w:r>
          </w:p>
        </w:tc>
        <w:tc>
          <w:tcPr>
            <w:tcW w:w="1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65,176</w:t>
            </w:r>
          </w:p>
        </w:tc>
        <w:tc>
          <w:tcPr>
            <w:tcW w:w="2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49,347</w:t>
            </w:r>
          </w:p>
        </w:tc>
        <w:tc>
          <w:tcPr>
            <w:tcW w:w="1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66,519</w:t>
            </w:r>
          </w:p>
        </w:tc>
        <w:tc>
          <w:tcPr>
            <w:tcW w:w="2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25,127</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25,466</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24,141</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1,498</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1,430</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1,529</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80,998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77,834</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75,017</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12,247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12,039</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11,648</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93,245</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89,873</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86,665</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3"/>
            <w:vMerge w:val="restart"/>
          </w:tcPr>
          <w:p>
            <w:pPr>
              <w:spacing w:after="0"/>
              <w:rPr>
                <w:sz w:val="20"/>
                <w:szCs w:val="20"/>
                <w:color w:val="auto"/>
              </w:rPr>
            </w:pPr>
            <w:r>
              <w:rPr>
                <w:rFonts w:ascii="Arial" w:cs="Arial" w:eastAsia="Arial" w:hAnsi="Arial"/>
                <w:sz w:val="18"/>
                <w:szCs w:val="18"/>
                <w:color w:val="auto"/>
              </w:rPr>
              <w:t>Net interest spread</w:t>
            </w: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3.05</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3.22</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line="20" w:lineRule="exact"/>
              <w:rPr>
                <w:sz w:val="1"/>
                <w:szCs w:val="1"/>
                <w:color w:val="auto"/>
              </w:rPr>
            </w:pPr>
          </w:p>
        </w:tc>
      </w:tr>
      <w:tr>
        <w:trPr>
          <w:trHeight w:val="210"/>
        </w:trPr>
        <w:tc>
          <w:tcPr>
            <w:tcW w:w="412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3"/>
          </w:tcPr>
          <w:p>
            <w:pPr>
              <w:spacing w:after="0"/>
              <w:rPr>
                <w:sz w:val="20"/>
                <w:szCs w:val="20"/>
                <w:color w:val="auto"/>
              </w:rPr>
            </w:pPr>
            <w:r>
              <w:rPr>
                <w:rFonts w:ascii="Arial" w:cs="Arial" w:eastAsia="Arial" w:hAnsi="Arial"/>
                <w:sz w:val="18"/>
                <w:szCs w:val="18"/>
                <w:color w:val="auto"/>
              </w:rPr>
              <w:t>Net interest income/margin on earning assets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674,900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3.23%</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674,963</w:t>
            </w:r>
          </w:p>
        </w:tc>
        <w:tc>
          <w:tcPr>
            <w:tcW w:w="2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3.40%</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662,378</w:t>
            </w:r>
          </w:p>
        </w:tc>
        <w:tc>
          <w:tcPr>
            <w:tcW w:w="2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252"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- 100 -</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Table 3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AVERAGE BALANCE SHEETS AND ANNUALIZED TAXABLE-EQUIVALENT RATES (continued)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ind w:left="500"/>
              <w:spacing w:after="0"/>
              <w:rPr>
                <w:sz w:val="20"/>
                <w:szCs w:val="20"/>
                <w:color w:val="auto"/>
              </w:rPr>
            </w:pPr>
            <w:r>
              <w:rPr>
                <w:rFonts w:ascii="Arial" w:cs="Arial" w:eastAsia="Arial" w:hAnsi="Arial"/>
                <w:sz w:val="14"/>
                <w:szCs w:val="14"/>
                <w:color w:val="auto"/>
                <w:w w:val="99"/>
              </w:rPr>
              <w:t>2013 Fourth Quarter</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4"/>
                <w:szCs w:val="14"/>
                <w:color w:val="auto"/>
                <w:w w:val="92"/>
              </w:rPr>
              <w:t>2013 Third Quarter</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90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w w:val="99"/>
              </w:rPr>
              <w:t>Average</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8"/>
              </w:rPr>
              <w:t>Average</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Average</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8"/>
              </w:rPr>
              <w:t>Average</w:t>
            </w:r>
          </w:p>
        </w:tc>
        <w:tc>
          <w:tcPr>
            <w:tcW w:w="0" w:type="dxa"/>
            <w:vAlign w:val="bottom"/>
          </w:tcPr>
          <w:p>
            <w:pPr>
              <w:spacing w:after="0"/>
              <w:rPr>
                <w:sz w:val="1"/>
                <w:szCs w:val="1"/>
                <w:color w:val="auto"/>
              </w:rPr>
            </w:pPr>
          </w:p>
        </w:tc>
      </w:tr>
      <w:tr>
        <w:trPr>
          <w:trHeight w:val="174"/>
        </w:trPr>
        <w:tc>
          <w:tcPr>
            <w:tcW w:w="6200" w:type="dxa"/>
            <w:vAlign w:val="bottom"/>
            <w:gridSpan w:val="3"/>
            <w:vMerge w:val="continue"/>
          </w:tcPr>
          <w:p>
            <w:pPr>
              <w:spacing w:after="0"/>
              <w:rPr>
                <w:sz w:val="15"/>
                <w:szCs w:val="15"/>
                <w:color w:val="auto"/>
              </w:rPr>
            </w:pPr>
          </w:p>
        </w:tc>
        <w:tc>
          <w:tcPr>
            <w:tcW w:w="900" w:type="dxa"/>
            <w:vAlign w:val="bottom"/>
            <w:gridSpan w:val="3"/>
          </w:tcPr>
          <w:p>
            <w:pPr>
              <w:jc w:val="right"/>
              <w:ind w:right="360"/>
              <w:spacing w:after="0" w:line="154" w:lineRule="exact"/>
              <w:rPr>
                <w:sz w:val="20"/>
                <w:szCs w:val="20"/>
                <w:color w:val="auto"/>
              </w:rPr>
            </w:pPr>
            <w:r>
              <w:rPr>
                <w:rFonts w:ascii="Arial" w:cs="Arial" w:eastAsia="Arial" w:hAnsi="Arial"/>
                <w:sz w:val="14"/>
                <w:szCs w:val="14"/>
                <w:color w:val="auto"/>
              </w:rPr>
              <w:t>Balance</w:t>
            </w:r>
          </w:p>
        </w:tc>
        <w:tc>
          <w:tcPr>
            <w:tcW w:w="20" w:type="dxa"/>
            <w:vAlign w:val="bottom"/>
          </w:tcPr>
          <w:p>
            <w:pPr>
              <w:spacing w:after="0"/>
              <w:rPr>
                <w:sz w:val="15"/>
                <w:szCs w:val="15"/>
                <w:color w:val="auto"/>
              </w:rPr>
            </w:pPr>
          </w:p>
        </w:tc>
        <w:tc>
          <w:tcPr>
            <w:tcW w:w="960" w:type="dxa"/>
            <w:vAlign w:val="bottom"/>
            <w:gridSpan w:val="3"/>
          </w:tcPr>
          <w:p>
            <w:pPr>
              <w:ind w:left="100"/>
              <w:spacing w:after="0" w:line="154" w:lineRule="exact"/>
              <w:rPr>
                <w:sz w:val="20"/>
                <w:szCs w:val="20"/>
                <w:color w:val="auto"/>
              </w:rPr>
            </w:pPr>
            <w:r>
              <w:rPr>
                <w:rFonts w:ascii="Arial" w:cs="Arial" w:eastAsia="Arial" w:hAnsi="Arial"/>
                <w:sz w:val="14"/>
                <w:szCs w:val="14"/>
                <w:color w:val="auto"/>
              </w:rPr>
              <w:t>Interest</w:t>
            </w:r>
          </w:p>
        </w:tc>
        <w:tc>
          <w:tcPr>
            <w:tcW w:w="860" w:type="dxa"/>
            <w:vAlign w:val="bottom"/>
            <w:gridSpan w:val="2"/>
          </w:tcPr>
          <w:p>
            <w:pPr>
              <w:jc w:val="right"/>
              <w:ind w:right="500"/>
              <w:spacing w:after="0" w:line="154" w:lineRule="exact"/>
              <w:rPr>
                <w:sz w:val="20"/>
                <w:szCs w:val="20"/>
                <w:color w:val="auto"/>
              </w:rPr>
            </w:pPr>
            <w:r>
              <w:rPr>
                <w:rFonts w:ascii="Arial" w:cs="Arial" w:eastAsia="Arial" w:hAnsi="Arial"/>
                <w:sz w:val="14"/>
                <w:szCs w:val="14"/>
                <w:color w:val="auto"/>
              </w:rPr>
              <w:t>Rate</w:t>
            </w:r>
          </w:p>
        </w:tc>
        <w:tc>
          <w:tcPr>
            <w:tcW w:w="580" w:type="dxa"/>
            <w:vAlign w:val="bottom"/>
            <w:gridSpan w:val="2"/>
          </w:tcPr>
          <w:p>
            <w:pPr>
              <w:jc w:val="right"/>
              <w:ind w:right="60"/>
              <w:spacing w:after="0" w:line="154" w:lineRule="exact"/>
              <w:rPr>
                <w:sz w:val="20"/>
                <w:szCs w:val="20"/>
                <w:color w:val="auto"/>
              </w:rPr>
            </w:pPr>
            <w:r>
              <w:rPr>
                <w:rFonts w:ascii="Arial" w:cs="Arial" w:eastAsia="Arial" w:hAnsi="Arial"/>
                <w:sz w:val="14"/>
                <w:szCs w:val="14"/>
                <w:color w:val="auto"/>
                <w:w w:val="98"/>
              </w:rPr>
              <w:t>Balance</w:t>
            </w:r>
          </w:p>
        </w:tc>
        <w:tc>
          <w:tcPr>
            <w:tcW w:w="280" w:type="dxa"/>
            <w:vAlign w:val="bottom"/>
          </w:tcPr>
          <w:p>
            <w:pPr>
              <w:spacing w:after="0"/>
              <w:rPr>
                <w:sz w:val="15"/>
                <w:szCs w:val="15"/>
                <w:color w:val="auto"/>
              </w:rPr>
            </w:pPr>
          </w:p>
        </w:tc>
        <w:tc>
          <w:tcPr>
            <w:tcW w:w="940" w:type="dxa"/>
            <w:vAlign w:val="bottom"/>
            <w:gridSpan w:val="2"/>
          </w:tcPr>
          <w:p>
            <w:pPr>
              <w:jc w:val="right"/>
              <w:ind w:right="400"/>
              <w:spacing w:after="0" w:line="154" w:lineRule="exact"/>
              <w:rPr>
                <w:sz w:val="20"/>
                <w:szCs w:val="20"/>
                <w:color w:val="auto"/>
              </w:rPr>
            </w:pPr>
            <w:r>
              <w:rPr>
                <w:rFonts w:ascii="Arial" w:cs="Arial" w:eastAsia="Arial" w:hAnsi="Arial"/>
                <w:sz w:val="14"/>
                <w:szCs w:val="14"/>
                <w:color w:val="auto"/>
              </w:rPr>
              <w:t>Interest</w:t>
            </w:r>
          </w:p>
        </w:tc>
        <w:tc>
          <w:tcPr>
            <w:tcW w:w="680" w:type="dxa"/>
            <w:vAlign w:val="bottom"/>
            <w:gridSpan w:val="2"/>
          </w:tcPr>
          <w:p>
            <w:pPr>
              <w:jc w:val="right"/>
              <w:ind w:right="320"/>
              <w:spacing w:after="0" w:line="154" w:lineRule="exact"/>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3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Earning assets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leases, net of unearned discount*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Commercial, financial, etc.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18,096</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$155,396</w:t>
            </w:r>
          </w:p>
        </w:tc>
        <w:tc>
          <w:tcPr>
            <w:tcW w:w="2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3.41%</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17,798</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156,915</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Real estate - commercial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26,231</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300,225</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4.48</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26,129</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301,178</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Real estate - consumer</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8,990</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94,436</w:t>
            </w:r>
          </w:p>
        </w:tc>
        <w:tc>
          <w:tcPr>
            <w:tcW w:w="2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4.20</w:t>
            </w:r>
          </w:p>
        </w:tc>
        <w:tc>
          <w:tcPr>
            <w:tcW w:w="560" w:type="dxa"/>
            <w:vAlign w:val="bottom"/>
          </w:tcPr>
          <w:p>
            <w:pPr>
              <w:jc w:val="right"/>
              <w:spacing w:after="0"/>
              <w:rPr>
                <w:sz w:val="20"/>
                <w:szCs w:val="20"/>
                <w:color w:val="auto"/>
              </w:rPr>
            </w:pPr>
            <w:r>
              <w:rPr>
                <w:rFonts w:ascii="Arial" w:cs="Arial" w:eastAsia="Arial" w:hAnsi="Arial"/>
                <w:sz w:val="18"/>
                <w:szCs w:val="18"/>
                <w:color w:val="auto"/>
              </w:rPr>
              <w:t>9,636</w:t>
            </w:r>
          </w:p>
        </w:tc>
        <w:tc>
          <w:tcPr>
            <w:tcW w:w="2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100,364</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10,233</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118,554</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11,295</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130,179</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gridSpan w:val="2"/>
          </w:tcPr>
          <w:p>
            <w:pPr>
              <w:ind w:left="700"/>
              <w:spacing w:after="0"/>
              <w:rPr>
                <w:sz w:val="20"/>
                <w:szCs w:val="20"/>
                <w:color w:val="auto"/>
              </w:rPr>
            </w:pPr>
            <w:r>
              <w:rPr>
                <w:rFonts w:ascii="Arial" w:cs="Arial" w:eastAsia="Arial" w:hAnsi="Arial"/>
                <w:sz w:val="18"/>
                <w:szCs w:val="18"/>
                <w:color w:val="auto"/>
              </w:rPr>
              <w:t>Total loans and leases, net</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63,550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668,611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3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64,858</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688,636</w:t>
            </w:r>
          </w:p>
        </w:tc>
        <w:tc>
          <w:tcPr>
            <w:tcW w:w="3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2,948</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1,829</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1,650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Federal funds sold and agreements to resell securities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115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.07</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22</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Treasury and federal agencies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7,349</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60,150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48,406</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186</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2,436</w:t>
            </w:r>
          </w:p>
        </w:tc>
        <w:tc>
          <w:tcPr>
            <w:tcW w:w="2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5.20</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2,460</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819</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7,339</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838</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7,406</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gridSpan w:val="2"/>
          </w:tcPr>
          <w:p>
            <w:pPr>
              <w:ind w:left="700"/>
              <w:spacing w:after="0"/>
              <w:rPr>
                <w:sz w:val="20"/>
                <w:szCs w:val="20"/>
                <w:color w:val="auto"/>
              </w:rPr>
            </w:pPr>
            <w:r>
              <w:rPr>
                <w:rFonts w:ascii="Arial" w:cs="Arial" w:eastAsia="Arial" w:hAnsi="Arial"/>
                <w:sz w:val="18"/>
                <w:szCs w:val="18"/>
                <w:color w:val="auto"/>
              </w:rPr>
              <w:t>Total investment securities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8,354</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69,925</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3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58,272</w:t>
            </w:r>
          </w:p>
        </w:tc>
        <w:tc>
          <w:tcPr>
            <w:tcW w:w="3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Total earning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75,049</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740,665</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74,667</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748,791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3"/>
        </w:trPr>
        <w:tc>
          <w:tcPr>
            <w:tcW w:w="6200" w:type="dxa"/>
            <w:vAlign w:val="bottom"/>
            <w:gridSpan w:val="3"/>
          </w:tcPr>
          <w:p>
            <w:pPr>
              <w:spacing w:after="0"/>
              <w:rPr>
                <w:sz w:val="20"/>
                <w:szCs w:val="20"/>
                <w:color w:val="auto"/>
              </w:rPr>
            </w:pPr>
            <w:r>
              <w:rPr>
                <w:rFonts w:ascii="Arial" w:cs="Arial" w:eastAsia="Arial" w:hAnsi="Arial"/>
                <w:sz w:val="18"/>
                <w:szCs w:val="18"/>
                <w:color w:val="auto"/>
              </w:rPr>
              <w:t>Allowance for credit losses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300" w:type="dxa"/>
            <w:vAlign w:val="bottom"/>
            <w:gridSpan w:val="2"/>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1,417</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9,789</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8,905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85,330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84,011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Interest-bearing deposits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NOW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933</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311</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924</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333</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38,079</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13,388</w:t>
            </w:r>
          </w:p>
        </w:tc>
        <w:tc>
          <w:tcPr>
            <w:tcW w:w="2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36,990</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13,733</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3,617</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4,630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6,129</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414</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217</w:t>
            </w:r>
          </w:p>
        </w:tc>
        <w:tc>
          <w:tcPr>
            <w:tcW w:w="2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.21</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392</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213</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interest-bearing deposits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43,043</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18,546</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42,234</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20,408</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620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5,009</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49,391</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49,112</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gridSpan w:val="2"/>
          </w:tcPr>
          <w:p>
            <w:pPr>
              <w:ind w:left="700"/>
              <w:spacing w:after="0"/>
              <w:rPr>
                <w:sz w:val="20"/>
                <w:szCs w:val="20"/>
                <w:color w:val="auto"/>
              </w:rPr>
            </w:pPr>
            <w:r>
              <w:rPr>
                <w:rFonts w:ascii="Arial" w:cs="Arial" w:eastAsia="Arial" w:hAnsi="Arial"/>
                <w:sz w:val="18"/>
                <w:szCs w:val="18"/>
                <w:b w:val="1"/>
                <w:bCs w:val="1"/>
                <w:color w:val="auto"/>
              </w:rPr>
              <w:t>Total interest-bearing liabilities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48,339</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67,982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47,543</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69,578</w:t>
            </w:r>
          </w:p>
        </w:tc>
        <w:tc>
          <w:tcPr>
            <w:tcW w:w="3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24,169</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23,998</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1,713</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1,589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74,221</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73,130</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11,109</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10,881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85,330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84,011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8"/>
                <w:szCs w:val="18"/>
                <w:color w:val="auto"/>
              </w:rPr>
              <w:t>Net interest spread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3.36</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line="20" w:lineRule="exact"/>
              <w:rPr>
                <w:sz w:val="1"/>
                <w:szCs w:val="1"/>
                <w:color w:val="auto"/>
              </w:rPr>
            </w:pPr>
          </w:p>
        </w:tc>
      </w:tr>
      <w:tr>
        <w:trPr>
          <w:trHeight w:val="210"/>
        </w:trPr>
        <w:tc>
          <w:tcPr>
            <w:tcW w:w="62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gridSpan w:val="3"/>
          </w:tcPr>
          <w:p>
            <w:pPr>
              <w:spacing w:after="0"/>
              <w:rPr>
                <w:sz w:val="20"/>
                <w:szCs w:val="20"/>
                <w:color w:val="auto"/>
              </w:rPr>
            </w:pPr>
            <w:r>
              <w:rPr>
                <w:rFonts w:ascii="Arial" w:cs="Arial" w:eastAsia="Arial" w:hAnsi="Arial"/>
                <w:sz w:val="18"/>
                <w:szCs w:val="18"/>
                <w:color w:val="auto"/>
              </w:rPr>
              <w:t>Net interest income/margin on earning assets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672,683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3.56%</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679,213</w:t>
            </w:r>
          </w:p>
        </w:tc>
        <w:tc>
          <w:tcPr>
            <w:tcW w:w="3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- 101 -</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firstLine="464"/>
        <w:spacing w:after="0" w:line="312" w:lineRule="auto"/>
        <w:tabs>
          <w:tab w:leader="none" w:pos="701" w:val="left"/>
        </w:tabs>
        <w:numPr>
          <w:ilvl w:val="0"/>
          <w:numId w:val="79"/>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September 30, 2014.</w:t>
      </w:r>
    </w:p>
    <w:p>
      <w:pPr>
        <w:spacing w:after="0" w:line="146" w:lineRule="exact"/>
        <w:rPr>
          <w:rFonts w:ascii="Arial" w:cs="Arial" w:eastAsia="Arial" w:hAnsi="Arial"/>
          <w:sz w:val="16"/>
          <w:szCs w:val="16"/>
          <w:color w:val="auto"/>
        </w:rPr>
      </w:pPr>
    </w:p>
    <w:p>
      <w:pPr>
        <w:ind w:right="360" w:firstLine="464"/>
        <w:spacing w:after="0" w:line="302" w:lineRule="auto"/>
        <w:tabs>
          <w:tab w:leader="none" w:pos="711" w:val="left"/>
        </w:tabs>
        <w:numPr>
          <w:ilvl w:val="0"/>
          <w:numId w:val="79"/>
        </w:numPr>
        <w:rPr>
          <w:rFonts w:ascii="Arial" w:cs="Arial" w:eastAsia="Arial" w:hAnsi="Arial"/>
          <w:sz w:val="16"/>
          <w:szCs w:val="16"/>
          <w:color w:val="auto"/>
        </w:rPr>
      </w:pPr>
      <w:r>
        <w:rPr>
          <w:rFonts w:ascii="Arial" w:cs="Arial" w:eastAsia="Arial" w:hAnsi="Arial"/>
          <w:sz w:val="16"/>
          <w:szCs w:val="16"/>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September 30, 2014 that have materially affected, or are reasonably likely to materially affect, M&amp;T’s internal control over financial reporting.</w:t>
      </w: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On an on-going basis management, after consultation with legal counsel, assesses the Company’s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Wilmington Trust Corporation Investigative and Litigation Matters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M&amp;T’s Wilmington Trust Corporation (“Wilmington Trust”) subsidiary is the subject of a governmental investigation arising from actions undertaken by Wilmington Trust prior to M&amp;T’s acquisition of Wilmington Trust and its subsidiaries, as set forth below.</w:t>
      </w:r>
    </w:p>
    <w:p>
      <w:pPr>
        <w:spacing w:after="0" w:line="170"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i w:val="1"/>
          <w:iCs w:val="1"/>
          <w:color w:val="auto"/>
        </w:rPr>
        <w:t xml:space="preserve">DOJ Investigation: </w:t>
      </w:r>
      <w:r>
        <w:rPr>
          <w:rFonts w:ascii="Arial" w:cs="Arial" w:eastAsia="Arial" w:hAnsi="Arial"/>
          <w:sz w:val="17"/>
          <w:szCs w:val="17"/>
          <w:color w:val="auto"/>
        </w:rPr>
        <w:t>Prior to M&amp;T’s acquisition of Wilmington Trust, the Department of Justice (“DOJ”) commenced an investigation of Wilmington</w:t>
      </w:r>
      <w:r>
        <w:rPr>
          <w:rFonts w:ascii="Arial" w:cs="Arial" w:eastAsia="Arial" w:hAnsi="Arial"/>
          <w:sz w:val="17"/>
          <w:szCs w:val="17"/>
          <w:i w:val="1"/>
          <w:iCs w:val="1"/>
          <w:color w:val="auto"/>
        </w:rPr>
        <w:t xml:space="preserve"> </w:t>
      </w:r>
      <w:r>
        <w:rPr>
          <w:rFonts w:ascii="Arial" w:cs="Arial" w:eastAsia="Arial" w:hAnsi="Arial"/>
          <w:sz w:val="17"/>
          <w:szCs w:val="17"/>
          <w:color w:val="auto"/>
        </w:rPr>
        <w:t>Trust, relating to Wilmington Trust’s financial reporting and securities filings, as well as certain commercial real estate lending relationships involving its subsidiary bank, Wilmington Trust Company, all of which relate to filings and activities occurring prior to the acquisition of Wilmington Trust by M&amp;T. Counsel for Wilmington Trust has met with the DOJ to discuss the DOJ investigation. The DOJ investigation is ongoing.</w:t>
      </w:r>
    </w:p>
    <w:p>
      <w:pPr>
        <w:spacing w:after="0" w:line="17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This investigation could lead to administrative or legal proceedings resulting in potential civil and/or criminal remedies, or settlements, including, among other things, enforcement actions, fines, penalties, restitution or additional costs and expenses.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- 102 -</w:t>
      </w:r>
    </w:p>
    <w:p>
      <w:pPr>
        <w:sectPr>
          <w:pgSz w:w="11900" w:h="16838" w:orient="portrait"/>
          <w:cols w:equalWidth="0" w:num="1">
            <w:col w:w="11340"/>
          </w:cols>
          <w:pgMar w:left="240" w:top="459" w:right="3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 xml:space="preserve">In Re Wilmington Trust Securities Litigation (U.S. District Court, District of Delaware, Case No. 10-CV-0990-SLR): </w:t>
      </w:r>
      <w:r>
        <w:rPr>
          <w:rFonts w:ascii="Arial" w:cs="Arial" w:eastAsia="Arial" w:hAnsi="Arial"/>
          <w:sz w:val="16"/>
          <w:szCs w:val="16"/>
          <w:color w:val="auto"/>
        </w:rPr>
        <w:t>Beginning on November 18, 2010,</w:t>
      </w:r>
      <w:r>
        <w:rPr>
          <w:rFonts w:ascii="Arial" w:cs="Arial" w:eastAsia="Arial" w:hAnsi="Arial"/>
          <w:sz w:val="16"/>
          <w:szCs w:val="16"/>
          <w:i w:val="1"/>
          <w:iCs w:val="1"/>
          <w:color w:val="auto"/>
        </w:rPr>
        <w:t xml:space="preserve"> </w:t>
      </w:r>
      <w:r>
        <w:rPr>
          <w:rFonts w:ascii="Arial" w:cs="Arial" w:eastAsia="Arial" w:hAnsi="Arial"/>
          <w:sz w:val="16"/>
          <w:szCs w:val="16"/>
          <w:color w:val="auto"/>
        </w:rPr>
        <w:t>a series of parties, purporting to be class representatives, commenced a putative class action lawsuit against Wilmington Trust, alleging that Wilmington Trust’s financial reporting and securities filings were in violation of securities laws. The cases were consolidated and Wilmington Trust moved to dismiss. On March 29, 2012, the Court granted Wilmington Trust’s motion to dismiss in its entirety, but allowed plaintiffs to re-file their Complaint. Plaintiffs subsequently filed a Second, Third and Fourth Amended Complaint. Wilmington Trust moved to dismiss the Fourth Amended Complaint on July 17, 2013. The Court issued an order denying Wilmington Trust’s motion to dismiss on March 20, 2014. The case is now proceeding with discovery.</w:t>
      </w:r>
    </w:p>
    <w:p>
      <w:pPr>
        <w:spacing w:after="0" w:line="165"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Due to their complex nature, it is difficult to estimate when litigation and investigatory matters such as these may be resolved. As set forth in the introductory paragraph to this Item 1 — Legal Proceedings, current litigation and regulatory matters which the Company is subject to, including those involving Wilmington Trust-related entities, although not currently considered probable, are within a range of reasonably possible losses for such matters in the aggregate, beyond the existing recorded liability, and are included in the range of reasonably possible losses set forth above.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There have been no material changes in risk factors relating to M&amp;T to those disclosed in response to Item 1A. to Part I of Form 10-K for the year ended December 31, 2013.</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- 103 -</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700" w:hanging="236"/>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(b) Not applicable.</w:t>
      </w:r>
    </w:p>
    <w:p>
      <w:pPr>
        <w:spacing w:after="0" w:line="225" w:lineRule="exact"/>
        <w:rPr>
          <w:rFonts w:ascii="Arial" w:cs="Arial" w:eastAsia="Arial" w:hAnsi="Arial"/>
          <w:sz w:val="18"/>
          <w:szCs w:val="18"/>
          <w:color w:val="auto"/>
        </w:rPr>
      </w:pPr>
    </w:p>
    <w:p>
      <w:pPr>
        <w:spacing w:after="0"/>
        <w:tabs>
          <w:tab w:leader="none" w:pos="0" w:val="left"/>
        </w:tabs>
        <w:numPr>
          <w:ilvl w:val="0"/>
          <w:numId w:val="81"/>
        </w:numPr>
        <w:rPr>
          <w:rFonts w:ascii="Arial" w:cs="Arial" w:eastAsia="Arial" w:hAnsi="Arial"/>
          <w:sz w:val="18"/>
          <w:szCs w:val="18"/>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Issuer Purchases of Equity Securities</w:t>
      </w:r>
    </w:p>
    <w:p>
      <w:pPr>
        <w:spacing w:after="0" w:line="20" w:lineRule="exact"/>
        <w:rPr>
          <w:sz w:val="20"/>
          <w:szCs w:val="20"/>
          <w:color w:val="auto"/>
        </w:rPr>
      </w:pPr>
    </w:p>
    <w:tbl>
      <w:tblPr>
        <w:tblLayout w:type="fixed"/>
        <w:tblInd w:w="46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5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(d)Maximum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(c)Total</w:t>
            </w:r>
          </w:p>
        </w:tc>
        <w:tc>
          <w:tcPr>
            <w:tcW w:w="5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5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5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rPr>
              <w:t>(or Units)</w:t>
            </w:r>
          </w:p>
        </w:tc>
        <w:tc>
          <w:tcPr>
            <w:tcW w:w="5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6"/>
              </w:rPr>
              <w:t>Purchased</w:t>
            </w:r>
          </w:p>
        </w:tc>
        <w:tc>
          <w:tcPr>
            <w:tcW w:w="5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5"/>
              </w:rPr>
              <w:t>(a)Total</w:t>
            </w: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0"/>
              </w:rPr>
              <w:t>as Part of</w:t>
            </w:r>
          </w:p>
        </w:tc>
        <w:tc>
          <w:tcPr>
            <w:tcW w:w="5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2"/>
              </w:rPr>
              <w:t>Number</w:t>
            </w: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2"/>
              </w:rPr>
              <w:t>(b)Average</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9"/>
              </w:rPr>
              <w:t>Publicly</w:t>
            </w:r>
          </w:p>
        </w:tc>
        <w:tc>
          <w:tcPr>
            <w:tcW w:w="5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0"/>
              </w:rPr>
              <w:t>of Shares</w:t>
            </w: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3"/>
              </w:rPr>
              <w:t>Price Paid</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Announced</w:t>
            </w:r>
          </w:p>
        </w:tc>
        <w:tc>
          <w:tcPr>
            <w:tcW w:w="5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Under the</w:t>
            </w:r>
          </w:p>
        </w:tc>
        <w:tc>
          <w:tcPr>
            <w:tcW w:w="0" w:type="dxa"/>
            <w:vAlign w:val="bottom"/>
          </w:tcPr>
          <w:p>
            <w:pPr>
              <w:spacing w:after="0"/>
              <w:rPr>
                <w:sz w:val="1"/>
                <w:szCs w:val="1"/>
                <w:color w:val="auto"/>
              </w:rPr>
            </w:pPr>
          </w:p>
        </w:tc>
      </w:tr>
      <w:tr>
        <w:trPr>
          <w:trHeight w:val="149"/>
        </w:trPr>
        <w:tc>
          <w:tcPr>
            <w:tcW w:w="5880" w:type="dxa"/>
            <w:vAlign w:val="bottom"/>
            <w:gridSpan w:val="3"/>
            <w:vMerge w:val="restart"/>
          </w:tcPr>
          <w:p>
            <w:pPr>
              <w:spacing w:after="0"/>
              <w:rPr>
                <w:sz w:val="20"/>
                <w:szCs w:val="20"/>
                <w:color w:val="auto"/>
              </w:rPr>
            </w:pPr>
            <w:r>
              <w:rPr>
                <w:rFonts w:ascii="Arial" w:cs="Arial" w:eastAsia="Arial" w:hAnsi="Arial"/>
                <w:sz w:val="14"/>
                <w:szCs w:val="14"/>
                <w:color w:val="auto"/>
              </w:rPr>
              <w:t>Period</w:t>
            </w: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7"/>
              </w:rPr>
              <w:t>(or Units)</w:t>
            </w:r>
          </w:p>
        </w:tc>
        <w:tc>
          <w:tcPr>
            <w:tcW w:w="120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7"/>
              </w:rPr>
              <w:t>per Share</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9"/>
              </w:rPr>
              <w:t>Plans or</w:t>
            </w:r>
          </w:p>
        </w:tc>
        <w:tc>
          <w:tcPr>
            <w:tcW w:w="5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Plans or</w:t>
            </w:r>
          </w:p>
        </w:tc>
        <w:tc>
          <w:tcPr>
            <w:tcW w:w="0" w:type="dxa"/>
            <w:vAlign w:val="bottom"/>
          </w:tcPr>
          <w:p>
            <w:pPr>
              <w:spacing w:after="0"/>
              <w:rPr>
                <w:sz w:val="1"/>
                <w:szCs w:val="1"/>
                <w:color w:val="auto"/>
              </w:rPr>
            </w:pPr>
          </w:p>
        </w:tc>
      </w:tr>
      <w:tr>
        <w:trPr>
          <w:trHeight w:val="167"/>
        </w:trPr>
        <w:tc>
          <w:tcPr>
            <w:tcW w:w="5880" w:type="dxa"/>
            <w:vAlign w:val="bottom"/>
            <w:gridSpan w:val="3"/>
            <w:vMerge w:val="continue"/>
          </w:tcPr>
          <w:p>
            <w:pPr>
              <w:spacing w:after="0"/>
              <w:rPr>
                <w:sz w:val="14"/>
                <w:szCs w:val="1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4"/>
                <w:szCs w:val="14"/>
                <w:color w:val="auto"/>
                <w:w w:val="88"/>
              </w:rPr>
              <w:t>Purchased(1)</w:t>
            </w: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color w:val="auto"/>
                <w:w w:val="98"/>
              </w:rPr>
              <w:t>(or Unit)</w:t>
            </w:r>
          </w:p>
        </w:tc>
        <w:tc>
          <w:tcPr>
            <w:tcW w:w="660" w:type="dxa"/>
            <w:vAlign w:val="bottom"/>
          </w:tcPr>
          <w:p>
            <w:pPr>
              <w:jc w:val="center"/>
              <w:spacing w:after="0"/>
              <w:rPr>
                <w:sz w:val="20"/>
                <w:szCs w:val="20"/>
                <w:color w:val="auto"/>
              </w:rPr>
            </w:pPr>
            <w:r>
              <w:rPr>
                <w:rFonts w:ascii="Arial" w:cs="Arial" w:eastAsia="Arial" w:hAnsi="Arial"/>
                <w:sz w:val="14"/>
                <w:szCs w:val="14"/>
                <w:color w:val="auto"/>
                <w:w w:val="88"/>
              </w:rPr>
              <w:t>Programs</w:t>
            </w:r>
          </w:p>
        </w:tc>
        <w:tc>
          <w:tcPr>
            <w:tcW w:w="56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Programs (2)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55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 July 31, 2014</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885</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$ 123.23</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880" w:type="dxa"/>
            <w:vAlign w:val="bottom"/>
            <w:gridSpan w:val="3"/>
          </w:tcPr>
          <w:p>
            <w:pPr>
              <w:spacing w:after="0"/>
              <w:rPr>
                <w:sz w:val="20"/>
                <w:szCs w:val="20"/>
                <w:color w:val="auto"/>
              </w:rPr>
            </w:pPr>
            <w:r>
              <w:rPr>
                <w:rFonts w:ascii="Arial" w:cs="Arial" w:eastAsia="Arial" w:hAnsi="Arial"/>
                <w:sz w:val="18"/>
                <w:szCs w:val="18"/>
                <w:color w:val="auto"/>
              </w:rPr>
              <w:t>August 1 – August 31, 2014</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976</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123.73</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 September 30, 2014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126.06</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880" w:type="dxa"/>
            <w:vAlign w:val="bottom"/>
            <w:gridSpan w:val="3"/>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jc w:val="right"/>
              <w:spacing w:after="0"/>
              <w:rPr>
                <w:sz w:val="20"/>
                <w:szCs w:val="20"/>
                <w:color w:val="auto"/>
              </w:rPr>
            </w:pPr>
            <w:r>
              <w:rPr>
                <w:rFonts w:ascii="Arial" w:cs="Arial" w:eastAsia="Arial" w:hAnsi="Arial"/>
                <w:sz w:val="18"/>
                <w:szCs w:val="18"/>
                <w:color w:val="auto"/>
              </w:rPr>
              <w:t>9,614</w:t>
            </w:r>
          </w:p>
        </w:tc>
        <w:tc>
          <w:tcPr>
            <w:tcW w:w="540" w:type="dxa"/>
            <w:vAlign w:val="bottom"/>
          </w:tcPr>
          <w:p>
            <w:pPr>
              <w:spacing w:after="0"/>
              <w:rPr>
                <w:sz w:val="24"/>
                <w:szCs w:val="2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$ 125.57</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88" w:lineRule="auto"/>
        <w:tabs>
          <w:tab w:leader="none" w:pos="46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The total number of shares purchased during the periods indicated includes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ind w:left="460" w:right="200" w:hanging="452"/>
        <w:spacing w:after="0" w:line="261" w:lineRule="auto"/>
        <w:tabs>
          <w:tab w:leader="none" w:pos="460" w:val="left"/>
        </w:tabs>
        <w:numPr>
          <w:ilvl w:val="0"/>
          <w:numId w:val="82"/>
        </w:numPr>
        <w:rPr>
          <w:rFonts w:ascii="Arial" w:cs="Arial" w:eastAsia="Arial" w:hAnsi="Arial"/>
          <w:sz w:val="18"/>
          <w:szCs w:val="18"/>
          <w:i w:val="1"/>
          <w:iCs w:val="1"/>
          <w:color w:val="auto"/>
        </w:rPr>
      </w:pPr>
      <w:r>
        <w:rPr>
          <w:rFonts w:ascii="Arial" w:cs="Arial" w:eastAsia="Arial" w:hAnsi="Arial"/>
          <w:sz w:val="18"/>
          <w:szCs w:val="18"/>
          <w:i w:val="1"/>
          <w:iCs w:val="1"/>
          <w:color w:val="auto"/>
        </w:rPr>
        <w:t>On February 22, 2007, M&amp;T announced a program to purchase up to 5,000,000 shares of its common stock. No shares were purchased under such program during the periods indicated.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ind w:right="8880"/>
        <w:spacing w:after="0"/>
        <w:rPr>
          <w:sz w:val="20"/>
          <w:szCs w:val="20"/>
          <w:color w:val="auto"/>
        </w:rPr>
      </w:pPr>
      <w:r>
        <w:rPr>
          <w:rFonts w:ascii="Arial" w:cs="Arial" w:eastAsia="Arial" w:hAnsi="Arial"/>
          <w:sz w:val="16"/>
          <w:szCs w:val="16"/>
          <w:color w:val="auto"/>
        </w:rPr>
        <w:t>Item 4. Mine Safety Disclosures.</w:t>
      </w:r>
    </w:p>
    <w:p>
      <w:pPr>
        <w:spacing w:after="0" w:line="140" w:lineRule="exact"/>
        <w:rPr>
          <w:sz w:val="20"/>
          <w:szCs w:val="20"/>
          <w:color w:val="auto"/>
        </w:rPr>
      </w:pPr>
    </w:p>
    <w:p>
      <w:pPr>
        <w:jc w:val="center"/>
        <w:ind w:right="888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- 104 -</w:t>
      </w:r>
    </w:p>
    <w:p>
      <w:pPr>
        <w:sectPr>
          <w:pgSz w:w="11900" w:h="16838" w:orient="portrait"/>
          <w:cols w:equalWidth="0" w:num="1">
            <w:col w:w="11260"/>
          </w:cols>
          <w:pgMar w:left="240" w:top="459" w:right="3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200" w:type="dxa"/>
            <w:vAlign w:val="bottom"/>
            <w:gridSpan w:val="2"/>
          </w:tcPr>
          <w:p>
            <w:pPr>
              <w:ind w:left="440"/>
              <w:spacing w:after="0"/>
              <w:rPr>
                <w:sz w:val="20"/>
                <w:szCs w:val="20"/>
                <w:color w:val="auto"/>
              </w:rPr>
            </w:pPr>
            <w:r>
              <w:rPr>
                <w:rFonts w:ascii="Arial" w:cs="Arial" w:eastAsia="Arial" w:hAnsi="Arial"/>
                <w:sz w:val="18"/>
                <w:szCs w:val="18"/>
                <w:color w:val="auto"/>
              </w:rPr>
              <w:t>The following exhibits are filed as a part of this report.</w:t>
            </w:r>
          </w:p>
        </w:tc>
      </w:tr>
      <w:tr>
        <w:trPr>
          <w:trHeight w:val="405"/>
        </w:trPr>
        <w:tc>
          <w:tcPr>
            <w:tcW w:w="2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10520" w:type="dxa"/>
            <w:vAlign w:val="bottom"/>
          </w:tcPr>
          <w:p>
            <w:pPr>
              <w:spacing w:after="0"/>
              <w:rPr>
                <w:sz w:val="24"/>
                <w:szCs w:val="24"/>
                <w:color w:val="auto"/>
              </w:rPr>
            </w:pPr>
          </w:p>
        </w:tc>
      </w:tr>
      <w:tr>
        <w:trPr>
          <w:trHeight w:val="30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10520" w:type="dxa"/>
            <w:vAlign w:val="bottom"/>
          </w:tcPr>
          <w:p>
            <w:pPr>
              <w:ind w:left="46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32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10520" w:type="dxa"/>
            <w:vAlign w:val="bottom"/>
          </w:tcPr>
          <w:p>
            <w:pPr>
              <w:ind w:left="46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32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10520" w:type="dxa"/>
            <w:vAlign w:val="bottom"/>
          </w:tcPr>
          <w:p>
            <w:pPr>
              <w:ind w:left="460"/>
              <w:spacing w:after="0"/>
              <w:rPr>
                <w:sz w:val="20"/>
                <w:szCs w:val="20"/>
                <w:color w:val="auto"/>
              </w:rPr>
            </w:pPr>
            <w:r>
              <w:rPr>
                <w:rFonts w:ascii="Arial" w:cs="Arial" w:eastAsia="Arial" w:hAnsi="Arial"/>
                <w:sz w:val="18"/>
                <w:szCs w:val="18"/>
                <w:color w:val="auto"/>
                <w:w w:val="91"/>
              </w:rPr>
              <w:t>Certification of Chief Executive Officer under 18 U.S.C. §1350 pursuant to Section 906 of the Sarbanes-Oxley Act of 2002. Filed herewith.</w:t>
            </w:r>
          </w:p>
        </w:tc>
      </w:tr>
      <w:tr>
        <w:trPr>
          <w:trHeight w:val="32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10520" w:type="dxa"/>
            <w:vAlign w:val="bottom"/>
          </w:tcPr>
          <w:p>
            <w:pPr>
              <w:ind w:left="460"/>
              <w:spacing w:after="0"/>
              <w:rPr>
                <w:sz w:val="20"/>
                <w:szCs w:val="20"/>
                <w:color w:val="auto"/>
              </w:rPr>
            </w:pPr>
            <w:r>
              <w:rPr>
                <w:rFonts w:ascii="Arial" w:cs="Arial" w:eastAsia="Arial" w:hAnsi="Arial"/>
                <w:sz w:val="18"/>
                <w:szCs w:val="18"/>
                <w:color w:val="auto"/>
                <w:w w:val="92"/>
              </w:rPr>
              <w:t>Certification of Chief Financial Officer under 18 U.S.C. §1350 pursuant to Section 906 of the Sarbanes-Oxley Act of 2002. Filed herewith.</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520" w:type="dxa"/>
            <w:vAlign w:val="bottom"/>
          </w:tcPr>
          <w:p>
            <w:pPr>
              <w:ind w:left="460"/>
              <w:spacing w:after="0"/>
              <w:rPr>
                <w:sz w:val="20"/>
                <w:szCs w:val="20"/>
                <w:color w:val="auto"/>
              </w:rPr>
            </w:pPr>
            <w:r>
              <w:rPr>
                <w:rFonts w:ascii="Arial" w:cs="Arial" w:eastAsia="Arial" w:hAnsi="Arial"/>
                <w:sz w:val="18"/>
                <w:szCs w:val="18"/>
                <w:color w:val="auto"/>
              </w:rPr>
              <w:t>XBRL Instance Document. Filed herewith.</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3"/>
              </w:rPr>
              <w:t>101.SCH</w:t>
            </w:r>
          </w:p>
        </w:tc>
        <w:tc>
          <w:tcPr>
            <w:tcW w:w="10520" w:type="dxa"/>
            <w:vAlign w:val="bottom"/>
          </w:tcPr>
          <w:p>
            <w:pPr>
              <w:ind w:left="460"/>
              <w:spacing w:after="0"/>
              <w:rPr>
                <w:sz w:val="20"/>
                <w:szCs w:val="20"/>
                <w:color w:val="auto"/>
              </w:rPr>
            </w:pPr>
            <w:r>
              <w:rPr>
                <w:rFonts w:ascii="Arial" w:cs="Arial" w:eastAsia="Arial" w:hAnsi="Arial"/>
                <w:sz w:val="18"/>
                <w:szCs w:val="18"/>
                <w:color w:val="auto"/>
              </w:rPr>
              <w:t>XBRL Taxonomy Extension Schema. Filed herewith.</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7"/>
              </w:rPr>
              <w:t>101.CAL</w:t>
            </w:r>
          </w:p>
        </w:tc>
        <w:tc>
          <w:tcPr>
            <w:tcW w:w="10520" w:type="dxa"/>
            <w:vAlign w:val="bottom"/>
          </w:tcPr>
          <w:p>
            <w:pPr>
              <w:ind w:left="46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8"/>
              </w:rPr>
              <w:t>101.LAB</w:t>
            </w:r>
          </w:p>
        </w:tc>
        <w:tc>
          <w:tcPr>
            <w:tcW w:w="10520" w:type="dxa"/>
            <w:vAlign w:val="bottom"/>
          </w:tcPr>
          <w:p>
            <w:pPr>
              <w:ind w:left="460"/>
              <w:spacing w:after="0"/>
              <w:rPr>
                <w:sz w:val="20"/>
                <w:szCs w:val="20"/>
                <w:color w:val="auto"/>
              </w:rPr>
            </w:pPr>
            <w:r>
              <w:rPr>
                <w:rFonts w:ascii="Arial" w:cs="Arial" w:eastAsia="Arial" w:hAnsi="Arial"/>
                <w:sz w:val="18"/>
                <w:szCs w:val="18"/>
                <w:color w:val="auto"/>
              </w:rPr>
              <w:t>XBRL Taxonomy Extension Label Linkbase. Filed herewith.</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4"/>
              </w:rPr>
              <w:t>101.PRE</w:t>
            </w:r>
          </w:p>
        </w:tc>
        <w:tc>
          <w:tcPr>
            <w:tcW w:w="10520" w:type="dxa"/>
            <w:vAlign w:val="bottom"/>
          </w:tcPr>
          <w:p>
            <w:pPr>
              <w:ind w:left="460"/>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5"/>
              </w:rPr>
              <w:t>101.DEF</w:t>
            </w:r>
          </w:p>
        </w:tc>
        <w:tc>
          <w:tcPr>
            <w:tcW w:w="10520" w:type="dxa"/>
            <w:vAlign w:val="bottom"/>
          </w:tcPr>
          <w:p>
            <w:pPr>
              <w:ind w:left="460"/>
              <w:spacing w:after="0"/>
              <w:rPr>
                <w:sz w:val="20"/>
                <w:szCs w:val="20"/>
                <w:color w:val="auto"/>
              </w:rPr>
            </w:pPr>
            <w:r>
              <w:rPr>
                <w:rFonts w:ascii="Arial" w:cs="Arial" w:eastAsia="Arial" w:hAnsi="Arial"/>
                <w:sz w:val="18"/>
                <w:szCs w:val="18"/>
                <w:color w:val="auto"/>
              </w:rPr>
              <w:t>XBRL Taxonomy Definition Linkbase. Filed herewith.</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M&amp;T BANK CORPORATION</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November 5, 2014</w:t>
            </w:r>
          </w:p>
        </w:tc>
        <w:tc>
          <w:tcPr>
            <w:tcW w:w="7780" w:type="dxa"/>
            <w:vAlign w:val="bottom"/>
            <w:gridSpan w:val="2"/>
          </w:tcPr>
          <w:p>
            <w:pPr>
              <w:ind w:left="2260"/>
              <w:spacing w:after="0"/>
              <w:rPr>
                <w:sz w:val="20"/>
                <w:szCs w:val="20"/>
                <w:color w:val="auto"/>
              </w:rPr>
            </w:pPr>
            <w:r>
              <w:rPr>
                <w:rFonts w:ascii="Arial" w:cs="Arial" w:eastAsia="Arial" w:hAnsi="Arial"/>
                <w:sz w:val="18"/>
                <w:szCs w:val="18"/>
                <w:color w:val="auto"/>
              </w:rPr>
              <w:t>By:  /s/ René F. Jones</w:t>
            </w:r>
          </w:p>
        </w:tc>
      </w:tr>
      <w:tr>
        <w:trPr>
          <w:trHeight w:val="209"/>
        </w:trPr>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René F. Jones</w:t>
            </w:r>
          </w:p>
        </w:tc>
      </w:tr>
      <w:tr>
        <w:trPr>
          <w:trHeight w:val="230"/>
        </w:trPr>
        <w:tc>
          <w:tcPr>
            <w:tcW w:w="3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365"/>
        </w:trPr>
        <w:tc>
          <w:tcPr>
            <w:tcW w:w="3640" w:type="dxa"/>
            <w:vAlign w:val="bottom"/>
          </w:tcPr>
          <w:p>
            <w:pPr>
              <w:spacing w:after="0"/>
              <w:rPr>
                <w:sz w:val="24"/>
                <w:szCs w:val="24"/>
                <w:color w:val="auto"/>
              </w:rPr>
            </w:pPr>
          </w:p>
        </w:tc>
        <w:tc>
          <w:tcPr>
            <w:tcW w:w="2640" w:type="dxa"/>
            <w:vAlign w:val="bottom"/>
          </w:tcPr>
          <w:p>
            <w:pPr>
              <w:jc w:val="right"/>
              <w:ind w:right="230"/>
              <w:spacing w:after="0"/>
              <w:rPr>
                <w:sz w:val="20"/>
                <w:szCs w:val="20"/>
                <w:color w:val="auto"/>
              </w:rPr>
            </w:pPr>
            <w:r>
              <w:rPr>
                <w:rFonts w:ascii="Arial" w:cs="Arial" w:eastAsia="Arial" w:hAnsi="Arial"/>
                <w:sz w:val="18"/>
                <w:szCs w:val="18"/>
                <w:color w:val="auto"/>
              </w:rPr>
              <w:t>- 105 -</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520" w:type="dxa"/>
            <w:vAlign w:val="bottom"/>
          </w:tcPr>
          <w:p>
            <w:pPr>
              <w:ind w:left="4360"/>
              <w:spacing w:after="0"/>
              <w:rPr>
                <w:sz w:val="20"/>
                <w:szCs w:val="20"/>
                <w:color w:val="auto"/>
              </w:rPr>
            </w:pPr>
            <w:r>
              <w:rPr>
                <w:rFonts w:ascii="Arial" w:cs="Arial" w:eastAsia="Arial" w:hAnsi="Arial"/>
                <w:sz w:val="18"/>
                <w:szCs w:val="18"/>
                <w:color w:val="auto"/>
              </w:rPr>
              <w:t>EXHIBIT INDEX</w:t>
            </w:r>
          </w:p>
        </w:tc>
      </w:tr>
      <w:tr>
        <w:trPr>
          <w:trHeight w:val="405"/>
        </w:trPr>
        <w:tc>
          <w:tcPr>
            <w:tcW w:w="2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10520" w:type="dxa"/>
            <w:vAlign w:val="bottom"/>
          </w:tcPr>
          <w:p>
            <w:pPr>
              <w:spacing w:after="0"/>
              <w:rPr>
                <w:sz w:val="24"/>
                <w:szCs w:val="24"/>
                <w:color w:val="auto"/>
              </w:rPr>
            </w:pPr>
          </w:p>
        </w:tc>
      </w:tr>
      <w:tr>
        <w:trPr>
          <w:trHeight w:val="30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10520" w:type="dxa"/>
            <w:vAlign w:val="bottom"/>
          </w:tcPr>
          <w:p>
            <w:pPr>
              <w:ind w:left="46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32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10520" w:type="dxa"/>
            <w:vAlign w:val="bottom"/>
          </w:tcPr>
          <w:p>
            <w:pPr>
              <w:ind w:left="46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32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10520" w:type="dxa"/>
            <w:vAlign w:val="bottom"/>
          </w:tcPr>
          <w:p>
            <w:pPr>
              <w:ind w:left="460"/>
              <w:spacing w:after="0"/>
              <w:rPr>
                <w:sz w:val="20"/>
                <w:szCs w:val="20"/>
                <w:color w:val="auto"/>
              </w:rPr>
            </w:pPr>
            <w:r>
              <w:rPr>
                <w:rFonts w:ascii="Arial" w:cs="Arial" w:eastAsia="Arial" w:hAnsi="Arial"/>
                <w:sz w:val="18"/>
                <w:szCs w:val="18"/>
                <w:color w:val="auto"/>
                <w:w w:val="91"/>
              </w:rPr>
              <w:t>Certification of Chief Executive Officer under 18 U.S.C. §1350 pursuant to Section 906 of the Sarbanes-Oxley Act of 2002. Filed herewith.</w:t>
            </w:r>
          </w:p>
        </w:tc>
      </w:tr>
      <w:tr>
        <w:trPr>
          <w:trHeight w:val="32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10520" w:type="dxa"/>
            <w:vAlign w:val="bottom"/>
          </w:tcPr>
          <w:p>
            <w:pPr>
              <w:ind w:left="460"/>
              <w:spacing w:after="0"/>
              <w:rPr>
                <w:sz w:val="20"/>
                <w:szCs w:val="20"/>
                <w:color w:val="auto"/>
              </w:rPr>
            </w:pPr>
            <w:r>
              <w:rPr>
                <w:rFonts w:ascii="Arial" w:cs="Arial" w:eastAsia="Arial" w:hAnsi="Arial"/>
                <w:sz w:val="18"/>
                <w:szCs w:val="18"/>
                <w:color w:val="auto"/>
                <w:w w:val="92"/>
              </w:rPr>
              <w:t>Certification of Chief Financial Officer under 18 U.S.C. §1350 pursuant to Section 906 of the Sarbanes-Oxley Act of 2002. Filed herewith.</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520" w:type="dxa"/>
            <w:vAlign w:val="bottom"/>
          </w:tcPr>
          <w:p>
            <w:pPr>
              <w:ind w:left="460"/>
              <w:spacing w:after="0"/>
              <w:rPr>
                <w:sz w:val="20"/>
                <w:szCs w:val="20"/>
                <w:color w:val="auto"/>
              </w:rPr>
            </w:pPr>
            <w:r>
              <w:rPr>
                <w:rFonts w:ascii="Arial" w:cs="Arial" w:eastAsia="Arial" w:hAnsi="Arial"/>
                <w:sz w:val="18"/>
                <w:szCs w:val="18"/>
                <w:color w:val="auto"/>
              </w:rPr>
              <w:t>XBRL Instance Document. Filed herewith.</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3"/>
              </w:rPr>
              <w:t>101.SCH</w:t>
            </w:r>
          </w:p>
        </w:tc>
        <w:tc>
          <w:tcPr>
            <w:tcW w:w="10520" w:type="dxa"/>
            <w:vAlign w:val="bottom"/>
          </w:tcPr>
          <w:p>
            <w:pPr>
              <w:ind w:left="460"/>
              <w:spacing w:after="0"/>
              <w:rPr>
                <w:sz w:val="20"/>
                <w:szCs w:val="20"/>
                <w:color w:val="auto"/>
              </w:rPr>
            </w:pPr>
            <w:r>
              <w:rPr>
                <w:rFonts w:ascii="Arial" w:cs="Arial" w:eastAsia="Arial" w:hAnsi="Arial"/>
                <w:sz w:val="18"/>
                <w:szCs w:val="18"/>
                <w:color w:val="auto"/>
              </w:rPr>
              <w:t>XBRL Taxonomy Extension Schema. Filed herewith.</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7"/>
              </w:rPr>
              <w:t>101.CAL</w:t>
            </w:r>
          </w:p>
        </w:tc>
        <w:tc>
          <w:tcPr>
            <w:tcW w:w="10520" w:type="dxa"/>
            <w:vAlign w:val="bottom"/>
          </w:tcPr>
          <w:p>
            <w:pPr>
              <w:ind w:left="46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8"/>
              </w:rPr>
              <w:t>101.LAB</w:t>
            </w:r>
          </w:p>
        </w:tc>
        <w:tc>
          <w:tcPr>
            <w:tcW w:w="10520" w:type="dxa"/>
            <w:vAlign w:val="bottom"/>
          </w:tcPr>
          <w:p>
            <w:pPr>
              <w:ind w:left="460"/>
              <w:spacing w:after="0"/>
              <w:rPr>
                <w:sz w:val="20"/>
                <w:szCs w:val="20"/>
                <w:color w:val="auto"/>
              </w:rPr>
            </w:pPr>
            <w:r>
              <w:rPr>
                <w:rFonts w:ascii="Arial" w:cs="Arial" w:eastAsia="Arial" w:hAnsi="Arial"/>
                <w:sz w:val="18"/>
                <w:szCs w:val="18"/>
                <w:color w:val="auto"/>
              </w:rPr>
              <w:t>XBRL Taxonomy Extension Label Linkbase. Filed herewith.</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4"/>
              </w:rPr>
              <w:t>101.PRE</w:t>
            </w:r>
          </w:p>
        </w:tc>
        <w:tc>
          <w:tcPr>
            <w:tcW w:w="10520" w:type="dxa"/>
            <w:vAlign w:val="bottom"/>
          </w:tcPr>
          <w:p>
            <w:pPr>
              <w:ind w:left="460"/>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5"/>
              </w:rPr>
              <w:t>101.DEF</w:t>
            </w:r>
          </w:p>
        </w:tc>
        <w:tc>
          <w:tcPr>
            <w:tcW w:w="10520" w:type="dxa"/>
            <w:vAlign w:val="bottom"/>
          </w:tcPr>
          <w:p>
            <w:pPr>
              <w:ind w:left="460"/>
              <w:spacing w:after="0"/>
              <w:rPr>
                <w:sz w:val="20"/>
                <w:szCs w:val="20"/>
                <w:color w:val="auto"/>
              </w:rPr>
            </w:pPr>
            <w:r>
              <w:rPr>
                <w:rFonts w:ascii="Arial" w:cs="Arial" w:eastAsia="Arial" w:hAnsi="Arial"/>
                <w:sz w:val="18"/>
                <w:szCs w:val="18"/>
                <w:color w:val="auto"/>
              </w:rPr>
              <w:t>XBRL Taxonomy Definition Linkbase. Filed herewith.</w:t>
            </w:r>
          </w:p>
        </w:tc>
      </w:tr>
      <w:tr>
        <w:trPr>
          <w:trHeight w:val="365"/>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520" w:type="dxa"/>
            <w:vAlign w:val="bottom"/>
          </w:tcPr>
          <w:p>
            <w:pPr>
              <w:ind w:left="4780"/>
              <w:spacing w:after="0"/>
              <w:rPr>
                <w:sz w:val="20"/>
                <w:szCs w:val="20"/>
                <w:color w:val="auto"/>
              </w:rPr>
            </w:pPr>
            <w:r>
              <w:rPr>
                <w:rFonts w:ascii="Arial" w:cs="Arial" w:eastAsia="Arial" w:hAnsi="Arial"/>
                <w:sz w:val="18"/>
                <w:szCs w:val="18"/>
                <w:color w:val="auto"/>
              </w:rPr>
              <w:t>- 106 -</w:t>
            </w:r>
          </w:p>
        </w:tc>
      </w:tr>
    </w:tbl>
    <w:p>
      <w:pPr>
        <w:sectPr>
          <w:pgSz w:w="11900" w:h="16838" w:orient="portrait"/>
          <w:cols w:equalWidth="0" w:num="1">
            <w:col w:w="11220"/>
          </w:cols>
          <w:pgMar w:left="240" w:top="459" w:right="4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131"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460" w:right="280" w:hanging="452"/>
        <w:spacing w:after="0" w:line="264"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sz w:val="20"/>
          <w:szCs w:val="20"/>
          <w:color w:val="auto"/>
        </w:rPr>
      </w:pPr>
    </w:p>
    <w:p>
      <w:pPr>
        <w:ind w:left="460" w:right="200" w:hanging="452"/>
        <w:spacing w:after="0" w:line="308" w:lineRule="auto"/>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460" w:right="60" w:hanging="452"/>
        <w:spacing w:after="0" w:line="277"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Chairman of the Board and Chief Executive Officer</w:t>
      </w:r>
    </w:p>
    <w:p>
      <w:pPr>
        <w:sectPr>
          <w:pgSz w:w="11900" w:h="16838" w:orient="portrait"/>
          <w:cols w:equalWidth="0" w:num="1">
            <w:col w:w="11420"/>
          </w:cols>
          <w:pgMar w:left="240" w:top="125"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131"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460" w:right="280" w:hanging="452"/>
        <w:spacing w:after="0" w:line="264"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sz w:val="20"/>
          <w:szCs w:val="20"/>
          <w:color w:val="auto"/>
        </w:rPr>
      </w:pPr>
    </w:p>
    <w:p>
      <w:pPr>
        <w:ind w:left="460" w:right="200" w:hanging="452"/>
        <w:spacing w:after="0" w:line="308" w:lineRule="auto"/>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460" w:right="60" w:hanging="452"/>
        <w:spacing w:after="0" w:line="277"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76" w:lineRule="exact"/>
        <w:rPr>
          <w:sz w:val="20"/>
          <w:szCs w:val="20"/>
          <w:color w:val="auto"/>
        </w:rPr>
      </w:pPr>
    </w:p>
    <w:p>
      <w:pPr>
        <w:ind w:left="900" w:right="120" w:hanging="446"/>
        <w:spacing w:after="0" w:line="308" w:lineRule="auto"/>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Quarterly Report on Form 10-Q of M&amp;T Bank Corporation for the quarterly period ended September 30, 2014 (the “Report”) fully complies with the requirements of Section 13(a) or 15(d) of the Securities Exchange Act of 1934 (15 U.S.C. 78m or 78o(d)); and</w:t>
      </w:r>
    </w:p>
    <w:p>
      <w:pPr>
        <w:spacing w:after="0" w:line="51" w:lineRule="exact"/>
        <w:rPr>
          <w:rFonts w:ascii="Arial" w:cs="Arial" w:eastAsia="Arial" w:hAnsi="Arial"/>
          <w:sz w:val="17"/>
          <w:szCs w:val="17"/>
          <w:color w:val="auto"/>
        </w:rPr>
      </w:pPr>
    </w:p>
    <w:p>
      <w:pPr>
        <w:ind w:left="900" w:right="30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5, 2014</w:t>
      </w:r>
    </w:p>
    <w:p>
      <w:pPr>
        <w:spacing w:after="0" w:line="21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76" w:lineRule="exact"/>
        <w:rPr>
          <w:sz w:val="20"/>
          <w:szCs w:val="20"/>
          <w:color w:val="auto"/>
        </w:rPr>
      </w:pPr>
    </w:p>
    <w:p>
      <w:pPr>
        <w:ind w:left="900" w:right="120" w:hanging="446"/>
        <w:spacing w:after="0" w:line="308" w:lineRule="auto"/>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Quarterly Report on Form 10-Q of M&amp;T Bank Corporation for the quarterly period ended September 30, 2014 (the “Report”) fully complies with the requirements of Section 13(a) or 15(d) of the Securities Exchange Act of 1934 (15 U.S.C. 78m or 78o(d)); and</w:t>
      </w:r>
    </w:p>
    <w:p>
      <w:pPr>
        <w:spacing w:after="0" w:line="51" w:lineRule="exact"/>
        <w:rPr>
          <w:rFonts w:ascii="Arial" w:cs="Arial" w:eastAsia="Arial" w:hAnsi="Arial"/>
          <w:sz w:val="17"/>
          <w:szCs w:val="17"/>
          <w:color w:val="auto"/>
        </w:rPr>
      </w:pPr>
    </w:p>
    <w:p>
      <w:pPr>
        <w:ind w:left="900" w:right="30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5, 2014</w:t>
      </w:r>
    </w:p>
    <w:p>
      <w:pPr>
        <w:spacing w:after="0" w:line="21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1."/>
      <w:numFmt w:val="decimal"/>
      <w:start w:val="1"/>
    </w:lvl>
  </w:abstractNum>
  <w:abstractNum w:abstractNumId="3">
    <w:nsid w:val="7644A45C"/>
    <w:multiLevelType w:val="hybridMultilevel"/>
    <w:lvl w:ilvl="0">
      <w:lvlJc w:val="left"/>
      <w:lvlText w:val="%1."/>
      <w:numFmt w:val="decimal"/>
      <w:start w:val="2"/>
    </w:lvl>
  </w:abstractNum>
  <w:abstractNum w:abstractNumId="4">
    <w:nsid w:val="32FFF902"/>
    <w:multiLevelType w:val="hybridMultilevel"/>
    <w:lvl w:ilvl="0">
      <w:lvlJc w:val="left"/>
      <w:lvlText w:val="%1."/>
      <w:numFmt w:val="decimal"/>
      <w:start w:val="2"/>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1."/>
      <w:numFmt w:val="decimal"/>
      <w:start w:val="3"/>
    </w:lvl>
  </w:abstractNum>
  <w:abstractNum w:abstractNumId="8">
    <w:nsid w:val="3DC240FB"/>
    <w:multiLevelType w:val="hybridMultilevel"/>
    <w:lvl w:ilvl="0">
      <w:lvlJc w:val="left"/>
      <w:lvlText w:val="%1."/>
      <w:numFmt w:val="decimal"/>
      <w:start w:val="3"/>
    </w:lvl>
  </w:abstractNum>
  <w:abstractNum w:abstractNumId="9">
    <w:nsid w:val="1BA026FA"/>
    <w:multiLevelType w:val="hybridMultilevel"/>
    <w:lvl w:ilvl="0">
      <w:lvlJc w:val="left"/>
      <w:lvlText w:val="%1."/>
      <w:numFmt w:val="decimal"/>
      <w:start w:val="3"/>
    </w:lvl>
  </w:abstractNum>
  <w:abstractNum w:abstractNumId="10">
    <w:nsid w:val="79A1DEAA"/>
    <w:multiLevelType w:val="hybridMultilevel"/>
    <w:lvl w:ilvl="0">
      <w:lvlJc w:val="left"/>
      <w:lvlText w:val="%1."/>
      <w:numFmt w:val="decimal"/>
      <w:start w:val="3"/>
    </w:lvl>
  </w:abstractNum>
  <w:abstractNum w:abstractNumId="11">
    <w:nsid w:val="75C6C33A"/>
    <w:multiLevelType w:val="hybridMultilevel"/>
    <w:lvl w:ilvl="0">
      <w:lvlJc w:val="left"/>
      <w:lvlText w:val="%1."/>
      <w:numFmt w:val="decimal"/>
      <w:start w:val="4"/>
    </w:lvl>
  </w:abstractNum>
  <w:abstractNum w:abstractNumId="12">
    <w:nsid w:val="12E685FB"/>
    <w:multiLevelType w:val="hybridMultilevel"/>
    <w:lvl w:ilvl="0">
      <w:lvlJc w:val="left"/>
      <w:lvlText w:val="(%1)"/>
      <w:numFmt w:val="lowerLetter"/>
      <w:start w:val="1"/>
    </w:lvl>
    <w:lvl w:ilvl="1">
      <w:lvlJc w:val="left"/>
      <w:lvlText w:val="-"/>
      <w:numFmt w:val="bullet"/>
      <w:start w:val="1"/>
    </w:lvl>
  </w:abstractNum>
  <w:abstractNum w:abstractNumId="13">
    <w:nsid w:val="70C6A529"/>
    <w:multiLevelType w:val="hybridMultilevel"/>
    <w:lvl w:ilvl="0">
      <w:lvlJc w:val="left"/>
      <w:lvlText w:val="%1."/>
      <w:numFmt w:val="decimal"/>
      <w:start w:val="4"/>
    </w:lvl>
  </w:abstractNum>
  <w:abstractNum w:abstractNumId="14">
    <w:nsid w:val="520EEDD1"/>
    <w:multiLevelType w:val="hybridMultilevel"/>
    <w:lvl w:ilvl="0">
      <w:lvlJc w:val="left"/>
      <w:lvlText w:val="(%1)"/>
      <w:numFmt w:val="lowerLetter"/>
      <w:start w:val="1"/>
    </w:lvl>
    <w:lvl w:ilvl="1">
      <w:lvlJc w:val="left"/>
      <w:lvlText w:val="-"/>
      <w:numFmt w:val="bullet"/>
      <w:start w:val="1"/>
    </w:lvl>
  </w:abstractNum>
  <w:abstractNum w:abstractNumId="15">
    <w:nsid w:val="374A3FE6"/>
    <w:multiLevelType w:val="hybridMultilevel"/>
    <w:lvl w:ilvl="0">
      <w:lvlJc w:val="left"/>
      <w:lvlText w:val="%1."/>
      <w:numFmt w:val="decimal"/>
      <w:start w:val="4"/>
    </w:lvl>
  </w:abstractNum>
  <w:abstractNum w:abstractNumId="16">
    <w:nsid w:val="4F4EF005"/>
    <w:multiLevelType w:val="hybridMultilevel"/>
    <w:lvl w:ilvl="0">
      <w:lvlJc w:val="left"/>
      <w:lvlText w:val="%1."/>
      <w:numFmt w:val="decimal"/>
      <w:start w:val="4"/>
    </w:lvl>
  </w:abstractNum>
  <w:abstractNum w:abstractNumId="17">
    <w:nsid w:val="23F9C13C"/>
    <w:multiLevelType w:val="hybridMultilevel"/>
    <w:lvl w:ilvl="0">
      <w:lvlJc w:val="left"/>
      <w:lvlText w:val="%1."/>
      <w:numFmt w:val="decimal"/>
      <w:start w:val="4"/>
    </w:lvl>
  </w:abstractNum>
  <w:abstractNum w:abstractNumId="18">
    <w:nsid w:val="649BB77C"/>
    <w:multiLevelType w:val="hybridMultilevel"/>
    <w:lvl w:ilvl="0">
      <w:lvlJc w:val="left"/>
      <w:lvlText w:val="%1."/>
      <w:numFmt w:val="decimal"/>
      <w:start w:val="4"/>
    </w:lvl>
  </w:abstractNum>
  <w:abstractNum w:abstractNumId="19">
    <w:nsid w:val="275AC794"/>
    <w:multiLevelType w:val="hybridMultilevel"/>
    <w:lvl w:ilvl="0">
      <w:lvlJc w:val="left"/>
      <w:lvlText w:val="%1."/>
      <w:numFmt w:val="decimal"/>
      <w:start w:val="4"/>
    </w:lvl>
  </w:abstractNum>
  <w:abstractNum w:abstractNumId="20">
    <w:nsid w:val="39386575"/>
    <w:multiLevelType w:val="hybridMultilevel"/>
    <w:lvl w:ilvl="0">
      <w:lvlJc w:val="left"/>
      <w:lvlText w:val="%1."/>
      <w:numFmt w:val="decimal"/>
      <w:start w:val="4"/>
    </w:lvl>
  </w:abstractNum>
  <w:abstractNum w:abstractNumId="21">
    <w:nsid w:val="1CF10FD8"/>
    <w:multiLevelType w:val="hybridMultilevel"/>
    <w:lvl w:ilvl="0">
      <w:lvlJc w:val="left"/>
      <w:lvlText w:val="%1."/>
      <w:numFmt w:val="decimal"/>
      <w:start w:val="4"/>
    </w:lvl>
  </w:abstractNum>
  <w:abstractNum w:abstractNumId="22">
    <w:nsid w:val="180115BE"/>
    <w:multiLevelType w:val="hybridMultilevel"/>
    <w:lvl w:ilvl="0">
      <w:lvlJc w:val="left"/>
      <w:lvlText w:val="%1."/>
      <w:numFmt w:val="decimal"/>
      <w:start w:val="4"/>
    </w:lvl>
  </w:abstractNum>
  <w:abstractNum w:abstractNumId="23">
    <w:nsid w:val="235BA861"/>
    <w:multiLevelType w:val="hybridMultilevel"/>
    <w:lvl w:ilvl="0">
      <w:lvlJc w:val="left"/>
      <w:lvlText w:val="(%1)"/>
      <w:numFmt w:val="lowerLetter"/>
      <w:start w:val="1"/>
    </w:lvl>
    <w:lvl w:ilvl="1">
      <w:lvlJc w:val="left"/>
      <w:lvlText w:val="-"/>
      <w:numFmt w:val="bullet"/>
      <w:start w:val="1"/>
    </w:lvl>
  </w:abstractNum>
  <w:abstractNum w:abstractNumId="24">
    <w:nsid w:val="47398C89"/>
    <w:multiLevelType w:val="hybridMultilevel"/>
    <w:lvl w:ilvl="0">
      <w:lvlJc w:val="left"/>
      <w:lvlText w:val="%1."/>
      <w:numFmt w:val="decimal"/>
      <w:start w:val="4"/>
    </w:lvl>
  </w:abstractNum>
  <w:abstractNum w:abstractNumId="25">
    <w:nsid w:val="354FE9F9"/>
    <w:multiLevelType w:val="hybridMultilevel"/>
    <w:lvl w:ilvl="0">
      <w:lvlJc w:val="left"/>
      <w:lvlText w:val="(%1)"/>
      <w:numFmt w:val="lowerLetter"/>
      <w:start w:val="1"/>
    </w:lvl>
    <w:lvl w:ilvl="1">
      <w:lvlJc w:val="left"/>
      <w:lvlText w:val="-"/>
      <w:numFmt w:val="bullet"/>
      <w:start w:val="1"/>
    </w:lvl>
  </w:abstractNum>
  <w:abstractNum w:abstractNumId="26">
    <w:nsid w:val="15B5AF5C"/>
    <w:multiLevelType w:val="hybridMultilevel"/>
    <w:lvl w:ilvl="0">
      <w:lvlJc w:val="left"/>
      <w:lvlText w:val="%1."/>
      <w:numFmt w:val="decimal"/>
      <w:start w:val="4"/>
    </w:lvl>
  </w:abstractNum>
  <w:abstractNum w:abstractNumId="27">
    <w:nsid w:val="741226BB"/>
    <w:multiLevelType w:val="hybridMultilevel"/>
    <w:lvl w:ilvl="0">
      <w:lvlJc w:val="left"/>
      <w:lvlText w:val="(%1)"/>
      <w:numFmt w:val="lowerLetter"/>
      <w:start w:val="1"/>
    </w:lvl>
    <w:lvl w:ilvl="1">
      <w:lvlJc w:val="left"/>
      <w:lvlText w:val="-"/>
      <w:numFmt w:val="bullet"/>
      <w:start w:val="1"/>
    </w:lvl>
  </w:abstractNum>
  <w:abstractNum w:abstractNumId="28">
    <w:nsid w:val="D34B6A8"/>
    <w:multiLevelType w:val="hybridMultilevel"/>
    <w:lvl w:ilvl="0">
      <w:lvlJc w:val="left"/>
      <w:lvlText w:val="%1."/>
      <w:numFmt w:val="decimal"/>
      <w:start w:val="4"/>
    </w:lvl>
  </w:abstractNum>
  <w:abstractNum w:abstractNumId="29">
    <w:nsid w:val="10233C99"/>
    <w:multiLevelType w:val="hybridMultilevel"/>
    <w:lvl w:ilvl="0">
      <w:lvlJc w:val="left"/>
      <w:lvlText w:val="(%1)"/>
      <w:numFmt w:val="lowerLetter"/>
      <w:start w:val="1"/>
    </w:lvl>
  </w:abstractNum>
  <w:abstractNum w:abstractNumId="30">
    <w:nsid w:val="3F6AB60F"/>
    <w:multiLevelType w:val="hybridMultilevel"/>
    <w:lvl w:ilvl="0">
      <w:lvlJc w:val="left"/>
      <w:lvlText w:val="%1."/>
      <w:numFmt w:val="decimal"/>
      <w:start w:val="5"/>
    </w:lvl>
  </w:abstractNum>
  <w:abstractNum w:abstractNumId="31">
    <w:nsid w:val="61574095"/>
    <w:multiLevelType w:val="hybridMultilevel"/>
    <w:lvl w:ilvl="0">
      <w:lvlJc w:val="left"/>
      <w:lvlText w:val="%1."/>
      <w:numFmt w:val="decimal"/>
      <w:start w:val="6"/>
    </w:lvl>
  </w:abstractNum>
  <w:abstractNum w:abstractNumId="32">
    <w:nsid w:val="7E0C57B1"/>
    <w:multiLevelType w:val="hybridMultilevel"/>
    <w:lvl w:ilvl="0">
      <w:lvlJc w:val="left"/>
      <w:lvlText w:val="(%1)"/>
      <w:numFmt w:val="lowerLetter"/>
      <w:start w:val="1"/>
    </w:lvl>
    <w:lvl w:ilvl="1">
      <w:lvlJc w:val="left"/>
      <w:lvlText w:val="-"/>
      <w:numFmt w:val="bullet"/>
      <w:start w:val="1"/>
    </w:lvl>
  </w:abstractNum>
  <w:abstractNum w:abstractNumId="33">
    <w:nsid w:val="77AE35EB"/>
    <w:multiLevelType w:val="hybridMultilevel"/>
    <w:lvl w:ilvl="0">
      <w:lvlJc w:val="left"/>
      <w:lvlText w:val="%1."/>
      <w:numFmt w:val="decimal"/>
      <w:start w:val="6"/>
    </w:lvl>
  </w:abstractNum>
  <w:abstractNum w:abstractNumId="34">
    <w:nsid w:val="579BE4F1"/>
    <w:multiLevelType w:val="hybridMultilevel"/>
    <w:lvl w:ilvl="0">
      <w:lvlJc w:val="left"/>
      <w:lvlText w:val="%1."/>
      <w:numFmt w:val="decimal"/>
      <w:start w:val="7"/>
    </w:lvl>
  </w:abstractNum>
  <w:abstractNum w:abstractNumId="35">
    <w:nsid w:val="310C50B3"/>
    <w:multiLevelType w:val="hybridMultilevel"/>
    <w:lvl w:ilvl="0">
      <w:lvlJc w:val="left"/>
      <w:lvlText w:val="%1."/>
      <w:numFmt w:val="decimal"/>
      <w:start w:val="8"/>
    </w:lvl>
  </w:abstractNum>
  <w:abstractNum w:abstractNumId="36">
    <w:nsid w:val="5FF87E05"/>
    <w:multiLevelType w:val="hybridMultilevel"/>
    <w:lvl w:ilvl="0">
      <w:lvlJc w:val="left"/>
      <w:lvlText w:val="%1."/>
      <w:numFmt w:val="decimal"/>
      <w:start w:val="9"/>
    </w:lvl>
  </w:abstractNum>
  <w:abstractNum w:abstractNumId="37">
    <w:nsid w:val="2F305DEF"/>
    <w:multiLevelType w:val="hybridMultilevel"/>
    <w:lvl w:ilvl="0">
      <w:lvlJc w:val="left"/>
      <w:lvlText w:val="(%1)"/>
      <w:numFmt w:val="lowerLetter"/>
      <w:start w:val="1"/>
    </w:lvl>
  </w:abstractNum>
  <w:abstractNum w:abstractNumId="38">
    <w:nsid w:val="25A70BF7"/>
    <w:multiLevelType w:val="hybridMultilevel"/>
    <w:lvl w:ilvl="0">
      <w:lvlJc w:val="left"/>
      <w:lvlText w:val="%1."/>
      <w:numFmt w:val="decimal"/>
      <w:start w:val="10"/>
    </w:lvl>
  </w:abstractNum>
  <w:abstractNum w:abstractNumId="39">
    <w:nsid w:val="1DBABF00"/>
    <w:multiLevelType w:val="hybridMultilevel"/>
    <w:lvl w:ilvl="0">
      <w:lvlJc w:val="left"/>
      <w:lvlText w:val="(%1)"/>
      <w:numFmt w:val="lowerLetter"/>
      <w:start w:val="1"/>
    </w:lvl>
  </w:abstractNum>
  <w:abstractNum w:abstractNumId="40">
    <w:nsid w:val="4AD084E9"/>
    <w:multiLevelType w:val="hybridMultilevel"/>
    <w:lvl w:ilvl="0">
      <w:lvlJc w:val="left"/>
      <w:lvlText w:val="%1."/>
      <w:numFmt w:val="decimal"/>
      <w:start w:val="10"/>
    </w:lvl>
  </w:abstractNum>
  <w:abstractNum w:abstractNumId="41">
    <w:nsid w:val="1F48EAA1"/>
    <w:multiLevelType w:val="hybridMultilevel"/>
    <w:lvl w:ilvl="0">
      <w:lvlJc w:val="left"/>
      <w:lvlText w:val="(%1)"/>
      <w:numFmt w:val="lowerLetter"/>
      <w:start w:val="1"/>
    </w:lvl>
    <w:lvl w:ilvl="1">
      <w:lvlJc w:val="left"/>
      <w:lvlText w:val="-"/>
      <w:numFmt w:val="bullet"/>
      <w:start w:val="1"/>
    </w:lvl>
  </w:abstractNum>
  <w:abstractNum w:abstractNumId="42">
    <w:nsid w:val="1381823A"/>
    <w:multiLevelType w:val="hybridMultilevel"/>
    <w:lvl w:ilvl="0">
      <w:lvlJc w:val="left"/>
      <w:lvlText w:val="(%1)"/>
      <w:numFmt w:val="lowerLetter"/>
      <w:start w:val="1"/>
    </w:lvl>
  </w:abstractNum>
  <w:abstractNum w:abstractNumId="43">
    <w:nsid w:val="5DB70AE5"/>
    <w:multiLevelType w:val="hybridMultilevel"/>
    <w:lvl w:ilvl="0">
      <w:lvlJc w:val="left"/>
      <w:lvlText w:val="%1."/>
      <w:numFmt w:val="decimal"/>
      <w:start w:val="10"/>
    </w:lvl>
  </w:abstractNum>
  <w:abstractNum w:abstractNumId="44">
    <w:nsid w:val="100F8FCA"/>
    <w:multiLevelType w:val="hybridMultilevel"/>
    <w:lvl w:ilvl="0">
      <w:lvlJc w:val="left"/>
      <w:lvlText w:val="%1."/>
      <w:numFmt w:val="decimal"/>
      <w:start w:val="10"/>
    </w:lvl>
  </w:abstractNum>
  <w:abstractNum w:abstractNumId="45">
    <w:nsid w:val="6590700B"/>
    <w:multiLevelType w:val="hybridMultilevel"/>
    <w:lvl w:ilvl="0">
      <w:lvlJc w:val="left"/>
      <w:lvlText w:val="%1."/>
      <w:numFmt w:val="decimal"/>
      <w:start w:val="11"/>
    </w:lvl>
  </w:abstractNum>
  <w:abstractNum w:abstractNumId="46">
    <w:nsid w:val="15014ACB"/>
    <w:multiLevelType w:val="hybridMultilevel"/>
    <w:lvl w:ilvl="0">
      <w:lvlJc w:val="left"/>
      <w:lvlText w:val="%1."/>
      <w:numFmt w:val="decimal"/>
      <w:start w:val="11"/>
    </w:lvl>
  </w:abstractNum>
  <w:abstractNum w:abstractNumId="47">
    <w:nsid w:val="5F5E7FD0"/>
    <w:multiLevelType w:val="hybridMultilevel"/>
    <w:lvl w:ilvl="0">
      <w:lvlJc w:val="left"/>
      <w:lvlText w:val="%1."/>
      <w:numFmt w:val="decimal"/>
      <w:start w:val="12"/>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1."/>
      <w:numFmt w:val="decimal"/>
      <w:start w:val="12"/>
    </w:lvl>
  </w:abstractNum>
  <w:abstractNum w:abstractNumId="50">
    <w:nsid w:val="6B94764"/>
    <w:multiLevelType w:val="hybridMultilevel"/>
    <w:lvl w:ilvl="0">
      <w:lvlJc w:val="left"/>
      <w:lvlText w:val="%1."/>
      <w:numFmt w:val="decimal"/>
      <w:start w:val="12"/>
    </w:lvl>
  </w:abstractNum>
  <w:abstractNum w:abstractNumId="51">
    <w:nsid w:val="42C296BD"/>
    <w:multiLevelType w:val="hybridMultilevel"/>
    <w:lvl w:ilvl="0">
      <w:lvlJc w:val="left"/>
      <w:lvlText w:val="%1."/>
      <w:numFmt w:val="decimal"/>
      <w:start w:val="12"/>
    </w:lvl>
  </w:abstractNum>
  <w:abstractNum w:abstractNumId="52">
    <w:nsid w:val="168E121F"/>
    <w:multiLevelType w:val="hybridMultilevel"/>
    <w:lvl w:ilvl="0">
      <w:lvlJc w:val="left"/>
      <w:lvlText w:val="(%1)"/>
      <w:numFmt w:val="lowerLetter"/>
      <w:start w:val="1"/>
    </w:lvl>
    <w:lvl w:ilvl="1">
      <w:lvlJc w:val="left"/>
      <w:lvlText w:val="-"/>
      <w:numFmt w:val="bullet"/>
      <w:start w:val="1"/>
    </w:lvl>
  </w:abstractNum>
  <w:abstractNum w:abstractNumId="53">
    <w:nsid w:val="1EBA5D23"/>
    <w:multiLevelType w:val="hybridMultilevel"/>
    <w:lvl w:ilvl="0">
      <w:lvlJc w:val="left"/>
      <w:lvlText w:val="%1."/>
      <w:numFmt w:val="decimal"/>
      <w:start w:val="12"/>
    </w:lvl>
  </w:abstractNum>
  <w:abstractNum w:abstractNumId="54">
    <w:nsid w:val="661E3F1E"/>
    <w:multiLevelType w:val="hybridMultilevel"/>
    <w:lvl w:ilvl="0">
      <w:lvlJc w:val="left"/>
      <w:lvlText w:val="%1."/>
      <w:numFmt w:val="decimal"/>
      <w:start w:val="12"/>
    </w:lvl>
  </w:abstractNum>
  <w:abstractNum w:abstractNumId="55">
    <w:nsid w:val="5DC79EA8"/>
    <w:multiLevelType w:val="hybridMultilevel"/>
    <w:lvl w:ilvl="0">
      <w:lvlJc w:val="left"/>
      <w:lvlText w:val="%1."/>
      <w:numFmt w:val="decimal"/>
      <w:start w:val="12"/>
    </w:lvl>
  </w:abstractNum>
  <w:abstractNum w:abstractNumId="56">
    <w:nsid w:val="540A471C"/>
    <w:multiLevelType w:val="hybridMultilevel"/>
    <w:lvl w:ilvl="0">
      <w:lvlJc w:val="left"/>
      <w:lvlText w:val="(%1)"/>
      <w:numFmt w:val="lowerLetter"/>
      <w:start w:val="1"/>
    </w:lvl>
  </w:abstractNum>
  <w:abstractNum w:abstractNumId="57">
    <w:nsid w:val="7BD3EE7B"/>
    <w:multiLevelType w:val="hybridMultilevel"/>
    <w:lvl w:ilvl="0">
      <w:lvlJc w:val="left"/>
      <w:lvlText w:val="%1."/>
      <w:numFmt w:val="decimal"/>
      <w:start w:val="12"/>
    </w:lvl>
  </w:abstractNum>
  <w:abstractNum w:abstractNumId="58">
    <w:nsid w:val="51D9C564"/>
    <w:multiLevelType w:val="hybridMultilevel"/>
    <w:lvl w:ilvl="0">
      <w:lvlJc w:val="left"/>
      <w:lvlText w:val="(%1)"/>
      <w:numFmt w:val="lowerLetter"/>
      <w:start w:val="1"/>
    </w:lvl>
    <w:lvl w:ilvl="1">
      <w:lvlJc w:val="left"/>
      <w:lvlText w:val="-"/>
      <w:numFmt w:val="bullet"/>
      <w:start w:val="1"/>
    </w:lvl>
  </w:abstractNum>
  <w:abstractNum w:abstractNumId="59">
    <w:nsid w:val="613EFDC5"/>
    <w:multiLevelType w:val="hybridMultilevel"/>
    <w:lvl w:ilvl="0">
      <w:lvlJc w:val="left"/>
      <w:lvlText w:val="%1."/>
      <w:numFmt w:val="decimal"/>
      <w:start w:val="12"/>
    </w:lvl>
  </w:abstractNum>
  <w:abstractNum w:abstractNumId="60">
    <w:nsid w:val="BF72B14"/>
    <w:multiLevelType w:val="hybridMultilevel"/>
    <w:lvl w:ilvl="0">
      <w:lvlJc w:val="left"/>
      <w:lvlText w:val="%1."/>
      <w:numFmt w:val="decimal"/>
      <w:start w:val="12"/>
    </w:lvl>
  </w:abstractNum>
  <w:abstractNum w:abstractNumId="61">
    <w:nsid w:val="11447B73"/>
    <w:multiLevelType w:val="hybridMultilevel"/>
    <w:lvl w:ilvl="0">
      <w:lvlJc w:val="left"/>
      <w:lvlText w:val="%1."/>
      <w:numFmt w:val="decimal"/>
      <w:start w:val="12"/>
    </w:lvl>
  </w:abstractNum>
  <w:abstractNum w:abstractNumId="62">
    <w:nsid w:val="42963E5A"/>
    <w:multiLevelType w:val="hybridMultilevel"/>
    <w:lvl w:ilvl="0">
      <w:lvlJc w:val="left"/>
      <w:lvlText w:val="%1."/>
      <w:numFmt w:val="decimal"/>
      <w:start w:val="13"/>
    </w:lvl>
  </w:abstractNum>
  <w:abstractNum w:abstractNumId="63">
    <w:nsid w:val="A0382C5"/>
    <w:multiLevelType w:val="hybridMultilevel"/>
    <w:lvl w:ilvl="0">
      <w:lvlJc w:val="left"/>
      <w:lvlText w:val="%1."/>
      <w:numFmt w:val="decimal"/>
      <w:start w:val="13"/>
    </w:lvl>
  </w:abstractNum>
  <w:abstractNum w:abstractNumId="64">
    <w:nsid w:val="8F2B15E"/>
    <w:multiLevelType w:val="hybridMultilevel"/>
    <w:lvl w:ilvl="0">
      <w:lvlJc w:val="left"/>
      <w:lvlText w:val="%1."/>
      <w:numFmt w:val="decimal"/>
      <w:start w:val="13"/>
    </w:lvl>
  </w:abstractNum>
  <w:abstractNum w:abstractNumId="65">
    <w:nsid w:val="1A32234B"/>
    <w:multiLevelType w:val="hybridMultilevel"/>
    <w:lvl w:ilvl="0">
      <w:lvlJc w:val="left"/>
      <w:lvlText w:val="%1."/>
      <w:numFmt w:val="decimal"/>
      <w:start w:val="14"/>
    </w:lvl>
  </w:abstractNum>
  <w:abstractNum w:abstractNumId="66">
    <w:nsid w:val="3B0FD379"/>
    <w:multiLevelType w:val="hybridMultilevel"/>
    <w:lvl w:ilvl="0">
      <w:lvlJc w:val="left"/>
      <w:lvlText w:val="(%1)"/>
      <w:numFmt w:val="lowerLetter"/>
      <w:start w:val="1"/>
    </w:lvl>
    <w:lvl w:ilvl="1">
      <w:lvlJc w:val="left"/>
      <w:lvlText w:val="-"/>
      <w:numFmt w:val="bullet"/>
      <w:start w:val="1"/>
    </w:lvl>
  </w:abstractNum>
  <w:abstractNum w:abstractNumId="67">
    <w:nsid w:val="68EB2F63"/>
    <w:multiLevelType w:val="hybridMultilevel"/>
    <w:lvl w:ilvl="0">
      <w:lvlJc w:val="left"/>
      <w:lvlText w:val="%1."/>
      <w:numFmt w:val="decimal"/>
      <w:start w:val="15"/>
    </w:lvl>
  </w:abstractNum>
  <w:abstractNum w:abstractNumId="68">
    <w:nsid w:val="4962813B"/>
    <w:multiLevelType w:val="hybridMultilevel"/>
    <w:lvl w:ilvl="0">
      <w:lvlJc w:val="left"/>
      <w:lvlText w:val="(%1)"/>
      <w:numFmt w:val="lowerLetter"/>
      <w:start w:val="1"/>
    </w:lvl>
  </w:abstractNum>
  <w:abstractNum w:abstractNumId="69">
    <w:nsid w:val="60B6DF70"/>
    <w:multiLevelType w:val="hybridMultilevel"/>
    <w:lvl w:ilvl="0">
      <w:lvlJc w:val="left"/>
      <w:lvlText w:val="(%1)"/>
      <w:numFmt w:val="lowerLetter"/>
      <w:start w:val="1"/>
    </w:lvl>
  </w:abstractNum>
  <w:abstractNum w:abstractNumId="70">
    <w:nsid w:val="6A5EE64"/>
    <w:multiLevelType w:val="hybridMultilevel"/>
    <w:lvl w:ilvl="0">
      <w:lvlJc w:val="left"/>
      <w:lvlText w:val="(%1)"/>
      <w:numFmt w:val="lowerLetter"/>
      <w:start w:val="1"/>
    </w:lvl>
  </w:abstractNum>
  <w:abstractNum w:abstractNumId="71">
    <w:nsid w:val="14330624"/>
    <w:multiLevelType w:val="hybridMultilevel"/>
    <w:lvl w:ilvl="0">
      <w:lvlJc w:val="left"/>
      <w:lvlText w:val="(%1)"/>
      <w:numFmt w:val="lowerRoman"/>
      <w:start w:val="3"/>
    </w:lvl>
  </w:abstractNum>
  <w:abstractNum w:abstractNumId="72">
    <w:nsid w:val="7FFFCA11"/>
    <w:multiLevelType w:val="hybridMultilevel"/>
    <w:lvl w:ilvl="0">
      <w:lvlJc w:val="left"/>
      <w:lvlText w:val="(%1)"/>
      <w:numFmt w:val="decimal"/>
      <w:start w:val="4"/>
    </w:lvl>
  </w:abstractNum>
  <w:abstractNum w:abstractNumId="73">
    <w:nsid w:val="1A27709E"/>
    <w:multiLevelType w:val="hybridMultilevel"/>
    <w:lvl w:ilvl="0">
      <w:lvlJc w:val="left"/>
      <w:lvlText w:val="(%1)"/>
      <w:numFmt w:val="lowerLetter"/>
      <w:start w:val="1"/>
    </w:lvl>
    <w:lvl w:ilvl="1">
      <w:lvlJc w:val="left"/>
      <w:lvlText w:val="-"/>
      <w:numFmt w:val="bullet"/>
      <w:start w:val="1"/>
    </w:lvl>
  </w:abstractNum>
  <w:abstractNum w:abstractNumId="74">
    <w:nsid w:val="71EA1109"/>
    <w:multiLevelType w:val="hybridMultilevel"/>
    <w:lvl w:ilvl="0">
      <w:lvlJc w:val="left"/>
      <w:lvlText w:val="*"/>
      <w:numFmt w:val="bullet"/>
      <w:start w:val="1"/>
    </w:lvl>
  </w:abstractNum>
  <w:abstractNum w:abstractNumId="75">
    <w:nsid w:val="100F59DC"/>
    <w:multiLevelType w:val="hybridMultilevel"/>
    <w:lvl w:ilvl="0">
      <w:lvlJc w:val="left"/>
      <w:lvlText w:val="**"/>
      <w:numFmt w:val="bullet"/>
      <w:start w:val="1"/>
    </w:lvl>
  </w:abstractNum>
  <w:abstractNum w:abstractNumId="76">
    <w:nsid w:val="7FB7E0AA"/>
    <w:multiLevelType w:val="hybridMultilevel"/>
    <w:lvl w:ilvl="0">
      <w:lvlJc w:val="left"/>
      <w:lvlText w:val="*"/>
      <w:numFmt w:val="bullet"/>
      <w:start w:val="1"/>
    </w:lvl>
  </w:abstractNum>
  <w:abstractNum w:abstractNumId="77">
    <w:nsid w:val="6EB5BD4"/>
    <w:multiLevelType w:val="hybridMultilevel"/>
    <w:lvl w:ilvl="0">
      <w:lvlJc w:val="left"/>
      <w:lvlText w:val="**"/>
      <w:numFmt w:val="bullet"/>
      <w:start w:val="1"/>
    </w:lvl>
  </w:abstractNum>
  <w:abstractNum w:abstractNumId="78">
    <w:nsid w:val="6F6DD9AC"/>
    <w:multiLevelType w:val="hybridMultilevel"/>
    <w:lvl w:ilvl="0">
      <w:lvlJc w:val="left"/>
      <w:lvlText w:val="(%1)"/>
      <w:numFmt w:val="lowerLetter"/>
      <w:start w:val="1"/>
    </w:lvl>
  </w:abstractNum>
  <w:abstractNum w:abstractNumId="79">
    <w:nsid w:val="94211F2"/>
    <w:multiLevelType w:val="hybridMultilevel"/>
    <w:lvl w:ilvl="0">
      <w:lvlJc w:val="left"/>
      <w:lvlText w:val="(%1)"/>
      <w:numFmt w:val="lowerLetter"/>
      <w:start w:val="1"/>
    </w:lvl>
  </w:abstractNum>
  <w:abstractNum w:abstractNumId="80">
    <w:nsid w:val="885E1B"/>
    <w:multiLevelType w:val="hybridMultilevel"/>
    <w:lvl w:ilvl="0">
      <w:lvlJc w:val="left"/>
      <w:lvlText w:val="(%1)"/>
      <w:numFmt w:val="lowerLetter"/>
      <w:start w:val="3"/>
    </w:lvl>
  </w:abstractNum>
  <w:abstractNum w:abstractNumId="81">
    <w:nsid w:val="76272110"/>
    <w:multiLevelType w:val="hybridMultilevel"/>
    <w:lvl w:ilvl="0">
      <w:lvlJc w:val="left"/>
      <w:lvlText w:val="(%1)"/>
      <w:numFmt w:val="decimal"/>
      <w:start w:val="1"/>
    </w:lvl>
  </w:abstractNum>
  <w:abstractNum w:abstractNumId="82">
    <w:nsid w:val="4C04A8AF"/>
    <w:multiLevelType w:val="hybridMultilevel"/>
    <w:lvl w:ilvl="0">
      <w:lvlJc w:val="left"/>
      <w:lvlText w:val="%1."/>
      <w:numFmt w:val="decimal"/>
      <w:start w:val="1"/>
    </w:lvl>
  </w:abstractNum>
  <w:abstractNum w:abstractNumId="83">
    <w:nsid w:val="1716703B"/>
    <w:multiLevelType w:val="hybridMultilevel"/>
    <w:lvl w:ilvl="0">
      <w:lvlJc w:val="left"/>
      <w:lvlText w:val="%1)"/>
      <w:numFmt w:val="lowerLetter"/>
      <w:start w:val="1"/>
    </w:lvl>
  </w:abstractNum>
  <w:abstractNum w:abstractNumId="84">
    <w:nsid w:val="14E17E33"/>
    <w:multiLevelType w:val="hybridMultilevel"/>
    <w:lvl w:ilvl="0">
      <w:lvlJc w:val="left"/>
      <w:lvlText w:val="%1."/>
      <w:numFmt w:val="decimal"/>
      <w:start w:val="5"/>
    </w:lvl>
  </w:abstractNum>
  <w:abstractNum w:abstractNumId="85">
    <w:nsid w:val="3222E7CD"/>
    <w:multiLevelType w:val="hybridMultilevel"/>
    <w:lvl w:ilvl="0">
      <w:lvlJc w:val="left"/>
      <w:lvlText w:val="%1)"/>
      <w:numFmt w:val="lowerLetter"/>
      <w:start w:val="1"/>
    </w:lvl>
  </w:abstractNum>
  <w:abstractNum w:abstractNumId="86">
    <w:nsid w:val="74DE0EE3"/>
    <w:multiLevelType w:val="hybridMultilevel"/>
    <w:lvl w:ilvl="0">
      <w:lvlJc w:val="left"/>
      <w:lvlText w:val="%1."/>
      <w:numFmt w:val="decimal"/>
      <w:start w:val="1"/>
    </w:lvl>
  </w:abstractNum>
  <w:abstractNum w:abstractNumId="87">
    <w:nsid w:val="68EBC550"/>
    <w:multiLevelType w:val="hybridMultilevel"/>
    <w:lvl w:ilvl="0">
      <w:lvlJc w:val="left"/>
      <w:lvlText w:val="%1)"/>
      <w:numFmt w:val="lowerLetter"/>
      <w:start w:val="1"/>
    </w:lvl>
  </w:abstractNum>
  <w:abstractNum w:abstractNumId="88">
    <w:nsid w:val="2DF6D648"/>
    <w:multiLevelType w:val="hybridMultilevel"/>
    <w:lvl w:ilvl="0">
      <w:lvlJc w:val="left"/>
      <w:lvlText w:val="%1."/>
      <w:numFmt w:val="decimal"/>
      <w:start w:val="5"/>
    </w:lvl>
  </w:abstractNum>
  <w:abstractNum w:abstractNumId="89">
    <w:nsid w:val="46B7D447"/>
    <w:multiLevelType w:val="hybridMultilevel"/>
    <w:lvl w:ilvl="0">
      <w:lvlJc w:val="left"/>
      <w:lvlText w:val="%1)"/>
      <w:numFmt w:val="lowerLetter"/>
      <w:start w:val="1"/>
    </w:lvl>
  </w:abstractNum>
  <w:abstractNum w:abstractNumId="90">
    <w:nsid w:val="4A2AC315"/>
    <w:multiLevelType w:val="hybridMultilevel"/>
    <w:lvl w:ilvl="0">
      <w:lvlJc w:val="left"/>
      <w:lvlText w:val="(%1)"/>
      <w:numFmt w:val="decimal"/>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2019-12-05T09:46:29Z</dcterms:created>
  <dcterms:modified xsi:type="dcterms:W3CDTF">2019-12-05T09:46:29Z</dcterms:modified>
</cp:coreProperties>
</file>