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1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4"/>
              </w:rPr>
              <w:t>New York</w:t>
            </w:r>
          </w:p>
        </w:tc>
        <w:tc>
          <w:tcPr>
            <w:tcW w:w="3460" w:type="dxa"/>
            <w:vAlign w:val="bottom"/>
          </w:tcPr>
          <w:p>
            <w:pPr>
              <w:jc w:val="right"/>
              <w:ind w:right="150"/>
              <w:spacing w:after="0"/>
              <w:rPr>
                <w:sz w:val="20"/>
                <w:szCs w:val="20"/>
                <w:color w:val="auto"/>
              </w:rPr>
            </w:pPr>
            <w:r>
              <w:rPr>
                <w:rFonts w:ascii="Arial" w:cs="Arial" w:eastAsia="Arial" w:hAnsi="Arial"/>
                <w:sz w:val="18"/>
                <w:szCs w:val="18"/>
                <w:color w:val="auto"/>
              </w:rPr>
              <w:t>16-0968385</w:t>
            </w:r>
          </w:p>
        </w:tc>
      </w:tr>
      <w:tr>
        <w:trPr>
          <w:trHeight w:val="216"/>
        </w:trPr>
        <w:tc>
          <w:tcPr>
            <w:tcW w:w="4280" w:type="dxa"/>
            <w:vAlign w:val="bottom"/>
          </w:tcPr>
          <w:p>
            <w:pPr>
              <w:jc w:val="center"/>
              <w:ind w:right="209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left="20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2070"/>
              <w:spacing w:after="0"/>
              <w:rPr>
                <w:sz w:val="20"/>
                <w:szCs w:val="20"/>
                <w:color w:val="auto"/>
              </w:rPr>
            </w:pPr>
            <w:r>
              <w:rPr>
                <w:rFonts w:ascii="Arial" w:cs="Arial" w:eastAsia="Arial" w:hAnsi="Arial"/>
                <w:sz w:val="18"/>
                <w:szCs w:val="18"/>
                <w:color w:val="auto"/>
                <w:w w:val="93"/>
              </w:rPr>
              <w:t>One M &amp; T Plaza</w:t>
            </w:r>
          </w:p>
        </w:tc>
        <w:tc>
          <w:tcPr>
            <w:tcW w:w="3460" w:type="dxa"/>
            <w:vAlign w:val="bottom"/>
          </w:tcPr>
          <w:p>
            <w:pPr>
              <w:spacing w:after="0"/>
              <w:rPr>
                <w:sz w:val="24"/>
                <w:szCs w:val="24"/>
                <w:color w:val="auto"/>
              </w:rPr>
            </w:pPr>
          </w:p>
        </w:tc>
      </w:tr>
      <w:tr>
        <w:trPr>
          <w:trHeight w:val="216"/>
        </w:trPr>
        <w:tc>
          <w:tcPr>
            <w:tcW w:w="4280" w:type="dxa"/>
            <w:vAlign w:val="bottom"/>
          </w:tcPr>
          <w:p>
            <w:pPr>
              <w:jc w:val="center"/>
              <w:ind w:right="2050"/>
              <w:spacing w:after="0"/>
              <w:rPr>
                <w:sz w:val="20"/>
                <w:szCs w:val="20"/>
                <w:color w:val="auto"/>
              </w:rPr>
            </w:pPr>
            <w:r>
              <w:rPr>
                <w:rFonts w:ascii="Arial" w:cs="Arial" w:eastAsia="Arial" w:hAnsi="Arial"/>
                <w:sz w:val="18"/>
                <w:szCs w:val="18"/>
                <w:color w:val="auto"/>
                <w:w w:val="95"/>
              </w:rPr>
              <w:t>Buffalo, New York</w:t>
            </w:r>
          </w:p>
        </w:tc>
        <w:tc>
          <w:tcPr>
            <w:tcW w:w="346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(Address of principal</w:t>
            </w:r>
          </w:p>
        </w:tc>
        <w:tc>
          <w:tcPr>
            <w:tcW w:w="3460" w:type="dxa"/>
            <w:vAlign w:val="bottom"/>
          </w:tcPr>
          <w:p>
            <w:pPr>
              <w:jc w:val="center"/>
              <w:ind w:left="2010"/>
              <w:spacing w:after="0"/>
              <w:rPr>
                <w:sz w:val="20"/>
                <w:szCs w:val="20"/>
                <w:color w:val="auto"/>
              </w:rPr>
            </w:pPr>
            <w:r>
              <w:rPr>
                <w:rFonts w:ascii="Arial" w:cs="Arial" w:eastAsia="Arial" w:hAnsi="Arial"/>
                <w:sz w:val="18"/>
                <w:szCs w:val="18"/>
                <w:color w:val="auto"/>
                <w:w w:val="94"/>
              </w:rPr>
              <w:t>(Zip Code)</w:t>
            </w:r>
          </w:p>
        </w:tc>
      </w:tr>
      <w:tr>
        <w:trPr>
          <w:trHeight w:val="230"/>
        </w:trPr>
        <w:tc>
          <w:tcPr>
            <w:tcW w:w="4280" w:type="dxa"/>
            <w:vAlign w:val="bottom"/>
          </w:tcPr>
          <w:p>
            <w:pPr>
              <w:jc w:val="center"/>
              <w:ind w:right="2030"/>
              <w:spacing w:after="0"/>
              <w:rPr>
                <w:sz w:val="20"/>
                <w:szCs w:val="20"/>
                <w:color w:val="auto"/>
              </w:rPr>
            </w:pPr>
            <w:r>
              <w:rPr>
                <w:rFonts w:ascii="Arial" w:cs="Arial" w:eastAsia="Arial" w:hAnsi="Arial"/>
                <w:sz w:val="18"/>
                <w:szCs w:val="18"/>
                <w:color w:val="auto"/>
                <w:w w:val="92"/>
              </w:rPr>
              <w:t>executive offices)</w:t>
            </w:r>
          </w:p>
        </w:tc>
        <w:tc>
          <w:tcPr>
            <w:tcW w:w="34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1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28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July 24, 2009: 117,956,043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6. Exhibits</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EX-101 INSTANCE DOCUMENT</w:t>
      </w:r>
    </w:p>
    <w:p>
      <w:pPr>
        <w:spacing w:after="0" w:line="231" w:lineRule="auto"/>
        <w:rPr>
          <w:sz w:val="20"/>
          <w:szCs w:val="20"/>
          <w:color w:val="auto"/>
        </w:rPr>
      </w:pPr>
      <w:r>
        <w:rPr>
          <w:rFonts w:ascii="Arial" w:cs="Arial" w:eastAsia="Arial" w:hAnsi="Arial"/>
          <w:sz w:val="22"/>
          <w:szCs w:val="22"/>
          <w:u w:val="single" w:color="auto"/>
          <w:color w:val="0000EE"/>
        </w:rPr>
        <w:t>EX-101 SCHEMA DOCUMENT</w:t>
      </w:r>
    </w:p>
    <w:p>
      <w:pPr>
        <w:spacing w:after="0" w:line="230" w:lineRule="auto"/>
        <w:rPr>
          <w:sz w:val="20"/>
          <w:szCs w:val="20"/>
          <w:color w:val="auto"/>
        </w:rPr>
      </w:pPr>
      <w:r>
        <w:rPr>
          <w:rFonts w:ascii="Arial" w:cs="Arial" w:eastAsia="Arial" w:hAnsi="Arial"/>
          <w:sz w:val="22"/>
          <w:szCs w:val="22"/>
          <w:u w:val="single" w:color="auto"/>
          <w:color w:val="0000EE"/>
        </w:rPr>
        <w:t>EX-101 CALCULATION LINKBASE DOCUMENT</w:t>
      </w:r>
    </w:p>
    <w:p>
      <w:pPr>
        <w:spacing w:after="0" w:line="231" w:lineRule="auto"/>
        <w:rPr>
          <w:sz w:val="20"/>
          <w:szCs w:val="20"/>
          <w:color w:val="auto"/>
        </w:rPr>
      </w:pPr>
      <w:r>
        <w:rPr>
          <w:rFonts w:ascii="Arial" w:cs="Arial" w:eastAsia="Arial" w:hAnsi="Arial"/>
          <w:sz w:val="22"/>
          <w:szCs w:val="22"/>
          <w:u w:val="single" w:color="auto"/>
          <w:color w:val="0000EE"/>
        </w:rPr>
        <w:t>EX-101 LABELS LINKBASE DOCUMENT</w:t>
      </w:r>
    </w:p>
    <w:p>
      <w:pPr>
        <w:spacing w:after="0" w:line="231" w:lineRule="auto"/>
        <w:rPr>
          <w:sz w:val="20"/>
          <w:szCs w:val="20"/>
          <w:color w:val="auto"/>
        </w:rPr>
      </w:pPr>
      <w:r>
        <w:rPr>
          <w:rFonts w:ascii="Arial" w:cs="Arial" w:eastAsia="Arial" w:hAnsi="Arial"/>
          <w:sz w:val="22"/>
          <w:szCs w:val="22"/>
          <w:u w:val="single" w:color="auto"/>
          <w:color w:val="0000EE"/>
        </w:rPr>
        <w:t>EX-101 PRESENTATION LINKBASE DOCUMENT</w:t>
      </w:r>
    </w:p>
    <w:p>
      <w:pPr>
        <w:spacing w:after="0"/>
        <w:rPr>
          <w:sz w:val="20"/>
          <w:szCs w:val="20"/>
          <w:color w:val="auto"/>
        </w:rPr>
      </w:pPr>
      <w:r>
        <w:rPr>
          <w:rFonts w:ascii="Arial" w:cs="Arial" w:eastAsia="Arial" w:hAnsi="Arial"/>
          <w:sz w:val="22"/>
          <w:szCs w:val="22"/>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purpose of this Amendment No. 1 to the M&amp;T Bank Corporation (“M&amp;T”) Quarterly Report on Form 10-Q for the quarterly period ended June 30, 2009, filed with the Securities and Exchange Commission on August 4, 2009, is to furnish Exhibit 101 to the Form 10-Q, as required by Rule 405 of Regulation S-T. Exhibit 101 contains information from M&amp;T’s Form 10-Q formatted in Extensible Business Reporting Language (“XBRL”).</w:t>
      </w:r>
    </w:p>
    <w:p>
      <w:pPr>
        <w:spacing w:after="0" w:line="5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Users of this data are advised pursuant to Rule 401 of Regulation S-T that the information contained in the XBRL documents is unaudited and these are not the official publicly filed financial statements of M&amp;T. Investors should continue to rely of the official filed version of the Form 10-Q in making investment decisions. No other changes have been made to the Form 10-Q. This Form 10-Q/A Amendment No. 1 does not reflect subsequent events occurring after the original filing date of the Form 10-Q or modify or update any disclosures made in the Form 10-Q.</w:t>
      </w:r>
    </w:p>
    <w:p>
      <w:pPr>
        <w:spacing w:after="0" w:line="6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Users of this data are advised that pursuant to Rule 406T of Regulation S-T these interactive data files included in Exhibit 101 are deemed not filed or part of a registration statement or prospectus for purposes of Section 11 or 12 of the Securities Act of 1933, as amended, are deemed not filed for purposes of Section 18 of the Securities Exchange Act of 1934, as amended, and otherwise are not subject to liability under those sections.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20" w:lineRule="exact"/>
        <w:rPr>
          <w:sz w:val="20"/>
          <w:szCs w:val="20"/>
          <w:color w:val="auto"/>
        </w:rPr>
      </w:pPr>
    </w:p>
    <w:p>
      <w:pPr>
        <w:jc w:val="center"/>
        <w:ind w:right="10240"/>
        <w:spacing w:after="0"/>
        <w:rPr>
          <w:sz w:val="20"/>
          <w:szCs w:val="20"/>
          <w:color w:val="auto"/>
        </w:rPr>
      </w:pPr>
      <w:r>
        <w:rPr>
          <w:rFonts w:ascii="Arial" w:cs="Arial" w:eastAsia="Arial" w:hAnsi="Arial"/>
          <w:sz w:val="14"/>
          <w:szCs w:val="14"/>
          <w:color w:val="auto"/>
        </w:rPr>
        <w:t>Exhibit</w:t>
      </w:r>
    </w:p>
    <w:p>
      <w:pPr>
        <w:jc w:val="center"/>
        <w:ind w:right="1024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Restated Certificate of Incorporation of M&amp;T Bank Corporation dated May 22, 2009. Incorporated by reference to Exhibit 3.1 to the Form 8-K dated May 28, 2009 (File No. 1-9861).</w:t>
      </w:r>
    </w:p>
    <w:p>
      <w:pPr>
        <w:spacing w:after="0" w:line="170" w:lineRule="exact"/>
        <w:rPr>
          <w:sz w:val="20"/>
          <w:szCs w:val="20"/>
          <w:color w:val="auto"/>
        </w:rPr>
      </w:pPr>
    </w:p>
    <w:p>
      <w:pPr>
        <w:sectPr>
          <w:pgSz w:w="11900" w:h="16838" w:orient="portrait"/>
          <w:cols w:equalWidth="0" w:num="2">
            <w:col w:w="780" w:space="720"/>
            <w:col w:w="9900"/>
          </w:cols>
          <w:pgMar w:left="240" w:top="419" w:right="259" w:bottom="1440" w:gutter="0" w:footer="0" w:header="0"/>
          <w:type w:val="continuous"/>
        </w:sectPr>
      </w:pPr>
    </w:p>
    <w:p>
      <w:pPr>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Chief Executive Officer under Section 302 of the Sarbanes-Oxley Act of 2002. Filed herewith.</w:t>
      </w:r>
    </w:p>
    <w:p>
      <w:pPr>
        <w:spacing w:after="0" w:line="211" w:lineRule="exact"/>
        <w:rPr>
          <w:sz w:val="20"/>
          <w:szCs w:val="20"/>
          <w:color w:val="auto"/>
        </w:rPr>
      </w:pPr>
    </w:p>
    <w:p>
      <w:pPr>
        <w:sectPr>
          <w:pgSz w:w="11900" w:h="16838" w:orient="portrait"/>
          <w:cols w:equalWidth="0" w:num="2">
            <w:col w:w="780" w:space="720"/>
            <w:col w:w="9900"/>
          </w:cols>
          <w:pgMar w:left="240" w:top="419"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31.2*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 under Section 302 of the Sarbanes-Oxley Act of 2002. Filed herewith.</w:t>
      </w:r>
    </w:p>
    <w:p>
      <w:pPr>
        <w:spacing w:after="0" w:line="211" w:lineRule="exact"/>
        <w:rPr>
          <w:sz w:val="20"/>
          <w:szCs w:val="20"/>
          <w:color w:val="auto"/>
        </w:rPr>
      </w:pPr>
    </w:p>
    <w:p>
      <w:pPr>
        <w:sectPr>
          <w:pgSz w:w="11900" w:h="16838" w:orient="portrait"/>
          <w:cols w:equalWidth="0" w:num="2">
            <w:col w:w="780" w:space="720"/>
            <w:col w:w="9900"/>
          </w:cols>
          <w:pgMar w:left="240" w:top="419"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Certification of Chief Executive Officer under 18 U.S.C. §1350 pursuant to Section 906 of the Sarbanes-Oxley Act of 2002. Filed herewith.</w:t>
      </w:r>
    </w:p>
    <w:p>
      <w:pPr>
        <w:spacing w:after="0" w:line="170" w:lineRule="exact"/>
        <w:rPr>
          <w:sz w:val="20"/>
          <w:szCs w:val="20"/>
          <w:color w:val="auto"/>
        </w:rPr>
      </w:pPr>
    </w:p>
    <w:p>
      <w:pPr>
        <w:sectPr>
          <w:pgSz w:w="11900" w:h="16838" w:orient="portrait"/>
          <w:cols w:equalWidth="0" w:num="2">
            <w:col w:w="780" w:space="720"/>
            <w:col w:w="9900"/>
          </w:cols>
          <w:pgMar w:left="240" w:top="419" w:right="259" w:bottom="1440" w:gutter="0" w:footer="0" w:header="0"/>
          <w:type w:val="continuous"/>
        </w:sectPr>
      </w:pPr>
    </w:p>
    <w:p>
      <w:pPr>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Certification of Chief Financial Officer under 18 U.S.C. §1350 pursuant to Section 906 of the Sarbanes-Oxley Act of 2002. Filed herewith.</w:t>
      </w:r>
    </w:p>
    <w:p>
      <w:pPr>
        <w:spacing w:after="0" w:line="170" w:lineRule="exact"/>
        <w:rPr>
          <w:sz w:val="20"/>
          <w:szCs w:val="20"/>
          <w:color w:val="auto"/>
        </w:rPr>
      </w:pPr>
    </w:p>
    <w:p>
      <w:pPr>
        <w:sectPr>
          <w:pgSz w:w="11900" w:h="16838" w:orient="portrait"/>
          <w:cols w:equalWidth="0" w:num="2">
            <w:col w:w="780" w:space="720"/>
            <w:col w:w="9900"/>
          </w:cols>
          <w:pgMar w:left="240" w:top="419" w:right="259" w:bottom="1440" w:gutter="0" w:footer="0" w:header="0"/>
          <w:type w:val="continuous"/>
        </w:sectPr>
      </w:pPr>
    </w:p>
    <w:p>
      <w:pPr>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22" w:lineRule="exact"/>
        <w:rPr>
          <w:sz w:val="20"/>
          <w:szCs w:val="20"/>
          <w:color w:val="auto"/>
        </w:rPr>
      </w:pPr>
    </w:p>
    <w:p>
      <w:pPr>
        <w:sectPr>
          <w:pgSz w:w="11900" w:h="16838" w:orient="portrait"/>
          <w:cols w:equalWidth="0" w:num="2">
            <w:col w:w="800" w:space="700"/>
            <w:col w:w="9900"/>
          </w:cols>
          <w:pgMar w:left="240" w:top="419"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w:t>
      </w:r>
    </w:p>
    <w:p>
      <w:pPr>
        <w:spacing w:after="0" w:line="211" w:lineRule="exact"/>
        <w:rPr>
          <w:sz w:val="20"/>
          <w:szCs w:val="20"/>
          <w:color w:val="auto"/>
        </w:rPr>
      </w:pPr>
    </w:p>
    <w:p>
      <w:pPr>
        <w:sectPr>
          <w:pgSz w:w="11900" w:h="16838" w:orient="portrait"/>
          <w:cols w:equalWidth="0" w:num="2">
            <w:col w:w="860" w:space="640"/>
            <w:col w:w="9900"/>
          </w:cols>
          <w:pgMar w:left="240" w:top="419"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22" w:lineRule="exact"/>
        <w:rPr>
          <w:sz w:val="20"/>
          <w:szCs w:val="20"/>
          <w:color w:val="auto"/>
        </w:rPr>
      </w:pPr>
    </w:p>
    <w:p>
      <w:pPr>
        <w:sectPr>
          <w:pgSz w:w="11900" w:h="16838" w:orient="portrait"/>
          <w:cols w:equalWidth="0" w:num="2">
            <w:col w:w="860" w:space="640"/>
            <w:col w:w="9900"/>
          </w:cols>
          <w:pgMar w:left="240" w:top="419"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222" w:lineRule="exact"/>
        <w:rPr>
          <w:sz w:val="20"/>
          <w:szCs w:val="20"/>
          <w:color w:val="auto"/>
        </w:rPr>
      </w:pPr>
    </w:p>
    <w:p>
      <w:pPr>
        <w:sectPr>
          <w:pgSz w:w="11900" w:h="16838" w:orient="portrait"/>
          <w:cols w:equalWidth="0" w:num="2">
            <w:col w:w="860" w:space="640"/>
            <w:col w:w="9900"/>
          </w:cols>
          <w:pgMar w:left="240" w:top="419"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11" w:lineRule="exact"/>
        <w:rPr>
          <w:sz w:val="20"/>
          <w:szCs w:val="20"/>
          <w:color w:val="auto"/>
        </w:rPr>
      </w:pPr>
    </w:p>
    <w:p>
      <w:pPr>
        <w:sectPr>
          <w:pgSz w:w="11900" w:h="16838" w:orient="portrait"/>
          <w:cols w:equalWidth="0" w:num="2">
            <w:col w:w="840" w:space="660"/>
            <w:col w:w="9900"/>
          </w:cols>
          <w:pgMar w:left="240" w:top="419" w:right="2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XBRL Taxonomy Definition Linkbase</w:t>
      </w:r>
    </w:p>
    <w:p>
      <w:pPr>
        <w:spacing w:after="0" w:line="200" w:lineRule="exact"/>
        <w:rPr>
          <w:sz w:val="20"/>
          <w:szCs w:val="20"/>
          <w:color w:val="auto"/>
        </w:rPr>
      </w:pPr>
    </w:p>
    <w:p>
      <w:pPr>
        <w:sectPr>
          <w:pgSz w:w="11900" w:h="16838" w:orient="portrait"/>
          <w:cols w:equalWidth="0" w:num="2">
            <w:col w:w="840" w:space="660"/>
            <w:col w:w="9900"/>
          </w:cols>
          <w:pgMar w:left="240" w:top="419" w:right="259" w:bottom="1440" w:gutter="0" w:footer="0" w:header="0"/>
          <w:type w:val="continuous"/>
        </w:sectPr>
      </w:pPr>
    </w:p>
    <w:p>
      <w:pPr>
        <w:spacing w:after="0" w:line="199" w:lineRule="exact"/>
        <w:rPr>
          <w:sz w:val="20"/>
          <w:szCs w:val="20"/>
          <w:color w:val="auto"/>
        </w:rPr>
      </w:pPr>
    </w:p>
    <w:p>
      <w:pPr>
        <w:ind w:right="4700" w:firstLine="8"/>
        <w:spacing w:after="0" w:line="356"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with M&amp;T’s Form 10-Q as filed on August 4, 2009 or incorporated by reference. ** Furnished with this Form 10-Q/A Amendment No. 1.</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M&amp;T BANK CORPORATION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September 3, 2009</w:t>
            </w:r>
          </w:p>
        </w:tc>
        <w:tc>
          <w:tcPr>
            <w:tcW w:w="6160" w:type="dxa"/>
            <w:vAlign w:val="bottom"/>
            <w:gridSpan w:val="2"/>
          </w:tcPr>
          <w:p>
            <w:pPr>
              <w:ind w:left="1780"/>
              <w:spacing w:after="0"/>
              <w:rPr>
                <w:sz w:val="20"/>
                <w:szCs w:val="20"/>
                <w:color w:val="auto"/>
              </w:rPr>
            </w:pPr>
            <w:r>
              <w:rPr>
                <w:rFonts w:ascii="Arial" w:cs="Arial" w:eastAsia="Arial" w:hAnsi="Arial"/>
                <w:sz w:val="18"/>
                <w:szCs w:val="18"/>
                <w:color w:val="auto"/>
              </w:rPr>
              <w:t>By: /s/ René F. Jones</w:t>
            </w:r>
          </w:p>
        </w:tc>
      </w:tr>
      <w:tr>
        <w:trPr>
          <w:trHeight w:val="195"/>
        </w:trPr>
        <w:tc>
          <w:tcPr>
            <w:tcW w:w="3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René F. Jones</w:t>
            </w:r>
          </w:p>
        </w:tc>
      </w:tr>
      <w:tr>
        <w:trPr>
          <w:trHeight w:val="216"/>
        </w:trPr>
        <w:tc>
          <w:tcPr>
            <w:tcW w:w="3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5"/>
              </w:rPr>
              <w:t>Restated Certificate of Incorporation of M&amp;T Bank Corporation dated May 22, 2009. Incorporated by reference to Exhibit 3.1 to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8-K dated May 28, 2009 (File No. 1-9861).</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Certification of Chief Executive Officer under 18 U.S.C. §1350 pursuant to Section 906 of the Sarbanes-Oxley Act of 2002. Filed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7"/>
              </w:rPr>
              <w:t>Certification of Chief Financial Officer under 18 U.S.C. §1350 pursuant to Section 906 of the Sarbanes-Oxley Act of 2002. Filed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Definition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right="4720" w:firstLine="8"/>
        <w:spacing w:after="0" w:line="356"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with M&amp;T’s Form 10-Q as filed on August 4, 2009 or incorporated by reference. ** Furnished with this Form 10-Q/A Amendment No. 1.</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4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2019-12-09T23:02:29Z</dcterms:created>
  <dcterms:modified xsi:type="dcterms:W3CDTF">2019-12-09T23:02:29Z</dcterms:modified>
</cp:coreProperties>
</file>