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422910</wp:posOffset>
            </wp:positionH>
            <wp:positionV relativeFrom="page">
              <wp:posOffset>476250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491490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45" w:lineRule="exact"/>
        <w:rPr>
          <w:sz w:val="24"/>
          <w:szCs w:val="24"/>
          <w:color w:val="auto"/>
        </w:rPr>
      </w:pPr>
    </w:p>
    <w:p>
      <w:pPr>
        <w:jc w:val="center"/>
        <w:ind w:right="-45"/>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5"/>
        <w:spacing w:after="0"/>
        <w:rPr>
          <w:sz w:val="20"/>
          <w:szCs w:val="20"/>
          <w:color w:val="auto"/>
        </w:rPr>
      </w:pPr>
      <w:r>
        <w:rPr>
          <w:rFonts w:ascii="Arial" w:cs="Arial" w:eastAsia="Arial" w:hAnsi="Arial"/>
          <w:sz w:val="19"/>
          <w:szCs w:val="19"/>
          <w:b w:val="1"/>
          <w:bCs w:val="1"/>
          <w:color w:val="auto"/>
        </w:rPr>
        <w:t>Washington, D.C. 20549</w:t>
      </w:r>
    </w:p>
    <w:p>
      <w:pPr>
        <w:spacing w:after="0" w:line="259" w:lineRule="exact"/>
        <w:rPr>
          <w:sz w:val="24"/>
          <w:szCs w:val="24"/>
          <w:color w:val="auto"/>
        </w:rPr>
      </w:pPr>
    </w:p>
    <w:p>
      <w:pPr>
        <w:jc w:val="center"/>
        <w:ind w:right="-25"/>
        <w:spacing w:after="0"/>
        <w:rPr>
          <w:sz w:val="20"/>
          <w:szCs w:val="20"/>
          <w:color w:val="auto"/>
        </w:rPr>
      </w:pPr>
      <w:r>
        <w:rPr>
          <w:rFonts w:ascii="Arial" w:cs="Arial" w:eastAsia="Arial" w:hAnsi="Arial"/>
          <w:sz w:val="29"/>
          <w:szCs w:val="29"/>
          <w:b w:val="1"/>
          <w:bCs w:val="1"/>
          <w:color w:val="auto"/>
        </w:rPr>
        <w:t>FORM 10-Q/A</w:t>
      </w:r>
    </w:p>
    <w:p>
      <w:pPr>
        <w:spacing w:after="0" w:line="40"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(Amendment No. 1)</w:t>
      </w:r>
    </w:p>
    <w:p>
      <w:pPr>
        <w:spacing w:after="0" w:line="287" w:lineRule="exact"/>
        <w:rPr>
          <w:sz w:val="24"/>
          <w:szCs w:val="24"/>
          <w:color w:val="auto"/>
        </w:rPr>
      </w:pPr>
    </w:p>
    <w:p>
      <w:pPr>
        <w:ind w:left="226" w:hanging="226"/>
        <w:spacing w:after="0"/>
        <w:tabs>
          <w:tab w:leader="none" w:pos="226" w:val="left"/>
        </w:tabs>
        <w:numPr>
          <w:ilvl w:val="0"/>
          <w:numId w:val="1"/>
        </w:numPr>
        <w:rPr>
          <w:rFonts w:ascii="MS PGothic" w:cs="MS PGothic" w:eastAsia="MS PGothic" w:hAnsi="MS PGothic"/>
          <w:sz w:val="18"/>
          <w:szCs w:val="18"/>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39" w:lineRule="exact"/>
        <w:rPr>
          <w:sz w:val="24"/>
          <w:szCs w:val="24"/>
          <w:color w:val="auto"/>
        </w:rPr>
      </w:pPr>
    </w:p>
    <w:p>
      <w:pPr>
        <w:jc w:val="center"/>
        <w:ind w:right="-25"/>
        <w:spacing w:after="0"/>
        <w:rPr>
          <w:sz w:val="20"/>
          <w:szCs w:val="20"/>
          <w:color w:val="auto"/>
        </w:rPr>
      </w:pPr>
      <w:r>
        <w:rPr>
          <w:rFonts w:ascii="Arial" w:cs="Arial" w:eastAsia="Arial" w:hAnsi="Arial"/>
          <w:sz w:val="14"/>
          <w:szCs w:val="14"/>
          <w:b w:val="1"/>
          <w:bCs w:val="1"/>
          <w:color w:val="auto"/>
        </w:rPr>
        <w:t>For the quarterly period ended March 31, 2023</w:t>
      </w:r>
    </w:p>
    <w:p>
      <w:pPr>
        <w:spacing w:after="0" w:line="85" w:lineRule="exact"/>
        <w:rPr>
          <w:sz w:val="24"/>
          <w:szCs w:val="24"/>
          <w:color w:val="auto"/>
        </w:rPr>
      </w:pPr>
    </w:p>
    <w:p>
      <w:pPr>
        <w:jc w:val="center"/>
        <w:ind w:right="-25"/>
        <w:spacing w:after="0"/>
        <w:rPr>
          <w:sz w:val="20"/>
          <w:szCs w:val="20"/>
          <w:color w:val="auto"/>
        </w:rPr>
      </w:pPr>
      <w:r>
        <w:rPr>
          <w:rFonts w:ascii="Arial" w:cs="Arial" w:eastAsia="Arial" w:hAnsi="Arial"/>
          <w:sz w:val="14"/>
          <w:szCs w:val="14"/>
          <w:b w:val="1"/>
          <w:bCs w:val="1"/>
          <w:color w:val="auto"/>
        </w:rPr>
        <w:t>or</w:t>
      </w:r>
    </w:p>
    <w:p>
      <w:pPr>
        <w:spacing w:after="0" w:line="115" w:lineRule="exact"/>
        <w:rPr>
          <w:sz w:val="24"/>
          <w:szCs w:val="24"/>
          <w:color w:val="auto"/>
        </w:rPr>
      </w:pPr>
    </w:p>
    <w:p>
      <w:pPr>
        <w:ind w:left="226" w:hanging="226"/>
        <w:spacing w:after="0"/>
        <w:tabs>
          <w:tab w:leader="none" w:pos="226" w:val="left"/>
        </w:tabs>
        <w:numPr>
          <w:ilvl w:val="0"/>
          <w:numId w:val="2"/>
        </w:numPr>
        <w:rPr>
          <w:rFonts w:ascii="MS PGothic" w:cs="MS PGothic" w:eastAsia="MS PGothic" w:hAnsi="MS PGothic"/>
          <w:sz w:val="19"/>
          <w:szCs w:val="19"/>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8" w:lineRule="exact"/>
        <w:rPr>
          <w:sz w:val="24"/>
          <w:szCs w:val="24"/>
          <w:color w:val="auto"/>
        </w:rPr>
      </w:pPr>
    </w:p>
    <w:p>
      <w:pPr>
        <w:jc w:val="center"/>
        <w:ind w:right="-45"/>
        <w:spacing w:after="0"/>
        <w:rPr>
          <w:sz w:val="20"/>
          <w:szCs w:val="20"/>
          <w:color w:val="auto"/>
        </w:rPr>
      </w:pPr>
      <w:r>
        <w:rPr>
          <w:rFonts w:ascii="Arial" w:cs="Arial" w:eastAsia="Arial" w:hAnsi="Arial"/>
          <w:sz w:val="14"/>
          <w:szCs w:val="14"/>
          <w:b w:val="1"/>
          <w:bCs w:val="1"/>
          <w:color w:val="auto"/>
        </w:rPr>
        <w:t>Commission File Number 1-9861</w:t>
      </w:r>
    </w:p>
    <w:p>
      <w:pPr>
        <w:spacing w:after="0" w:line="198" w:lineRule="exact"/>
        <w:rPr>
          <w:sz w:val="24"/>
          <w:szCs w:val="24"/>
          <w:color w:val="auto"/>
        </w:rPr>
      </w:pPr>
    </w:p>
    <w:p>
      <w:pPr>
        <w:jc w:val="center"/>
        <w:ind w:right="-25"/>
        <w:spacing w:after="0"/>
        <w:rPr>
          <w:sz w:val="20"/>
          <w:szCs w:val="20"/>
          <w:color w:val="auto"/>
        </w:rPr>
      </w:pPr>
      <w:r>
        <w:rPr>
          <w:rFonts w:ascii="Arial" w:cs="Arial" w:eastAsia="Arial" w:hAnsi="Arial"/>
          <w:sz w:val="35"/>
          <w:szCs w:val="35"/>
          <w:b w:val="1"/>
          <w:bCs w:val="1"/>
          <w:color w:val="auto"/>
        </w:rPr>
        <w:t>M&amp;T BANK CORPORATION</w:t>
      </w:r>
    </w:p>
    <w:p>
      <w:pPr>
        <w:spacing w:after="0" w:line="42" w:lineRule="exact"/>
        <w:rPr>
          <w:sz w:val="24"/>
          <w:szCs w:val="24"/>
          <w:color w:val="auto"/>
        </w:rPr>
      </w:pPr>
    </w:p>
    <w:p>
      <w:pPr>
        <w:jc w:val="center"/>
        <w:ind w:right="-25"/>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14" w:lineRule="exact"/>
        <w:rPr>
          <w:sz w:val="24"/>
          <w:szCs w:val="24"/>
          <w:color w:val="auto"/>
        </w:rPr>
      </w:pPr>
    </w:p>
    <w:tbl>
      <w:tblPr>
        <w:tblLayout w:type="fixed"/>
        <w:tblInd w:w="886" w:type="dxa"/>
        <w:tblCellMar>
          <w:top w:w="0" w:type="dxa"/>
          <w:left w:w="0" w:type="dxa"/>
          <w:bottom w:w="0" w:type="dxa"/>
          <w:right w:w="0" w:type="dxa"/>
        </w:tblCellMar>
      </w:tblPr>
      <w:tr>
        <w:trPr>
          <w:trHeight w:val="204"/>
        </w:trPr>
        <w:tc>
          <w:tcPr>
            <w:tcW w:w="2620" w:type="dxa"/>
            <w:vAlign w:val="bottom"/>
          </w:tcPr>
          <w:p>
            <w:pPr>
              <w:jc w:val="center"/>
              <w:ind w:right="68"/>
              <w:spacing w:after="0"/>
              <w:rPr>
                <w:sz w:val="20"/>
                <w:szCs w:val="20"/>
                <w:color w:val="auto"/>
              </w:rPr>
            </w:pPr>
            <w:r>
              <w:rPr>
                <w:rFonts w:ascii="Arial" w:cs="Arial" w:eastAsia="Arial" w:hAnsi="Arial"/>
                <w:sz w:val="16"/>
                <w:szCs w:val="16"/>
                <w:b w:val="1"/>
                <w:bCs w:val="1"/>
                <w:color w:val="auto"/>
                <w:w w:val="98"/>
              </w:rPr>
              <w:t>New York</w:t>
            </w:r>
          </w:p>
        </w:tc>
        <w:tc>
          <w:tcPr>
            <w:tcW w:w="5520" w:type="dxa"/>
            <w:vAlign w:val="bottom"/>
          </w:tcPr>
          <w:p>
            <w:pPr>
              <w:jc w:val="right"/>
              <w:ind w:right="69"/>
              <w:spacing w:after="0"/>
              <w:rPr>
                <w:sz w:val="20"/>
                <w:szCs w:val="20"/>
                <w:color w:val="auto"/>
              </w:rPr>
            </w:pPr>
            <w:r>
              <w:rPr>
                <w:rFonts w:ascii="Arial" w:cs="Arial" w:eastAsia="Arial" w:hAnsi="Arial"/>
                <w:sz w:val="16"/>
                <w:szCs w:val="16"/>
                <w:b w:val="1"/>
                <w:bCs w:val="1"/>
                <w:color w:val="auto"/>
              </w:rPr>
              <w:t>16-0968385</w:t>
            </w:r>
          </w:p>
        </w:tc>
      </w:tr>
      <w:tr>
        <w:trPr>
          <w:trHeight w:val="156"/>
        </w:trPr>
        <w:tc>
          <w:tcPr>
            <w:tcW w:w="2620" w:type="dxa"/>
            <w:vAlign w:val="bottom"/>
          </w:tcPr>
          <w:p>
            <w:pPr>
              <w:jc w:val="center"/>
              <w:ind w:right="68"/>
              <w:spacing w:after="0"/>
              <w:rPr>
                <w:sz w:val="20"/>
                <w:szCs w:val="20"/>
                <w:color w:val="auto"/>
              </w:rPr>
            </w:pPr>
            <w:r>
              <w:rPr>
                <w:rFonts w:ascii="Arial" w:cs="Arial" w:eastAsia="Arial" w:hAnsi="Arial"/>
                <w:sz w:val="13"/>
                <w:szCs w:val="13"/>
                <w:b w:val="1"/>
                <w:bCs w:val="1"/>
                <w:color w:val="auto"/>
              </w:rPr>
              <w:t>(State or other jurisdiction of</w:t>
            </w:r>
          </w:p>
        </w:tc>
        <w:tc>
          <w:tcPr>
            <w:tcW w:w="5520" w:type="dxa"/>
            <w:vAlign w:val="bottom"/>
          </w:tcPr>
          <w:p>
            <w:pPr>
              <w:jc w:val="center"/>
              <w:ind w:left="4329"/>
              <w:spacing w:after="0"/>
              <w:rPr>
                <w:sz w:val="20"/>
                <w:szCs w:val="20"/>
                <w:color w:val="auto"/>
              </w:rPr>
            </w:pPr>
            <w:r>
              <w:rPr>
                <w:rFonts w:ascii="Arial" w:cs="Arial" w:eastAsia="Arial" w:hAnsi="Arial"/>
                <w:sz w:val="13"/>
                <w:szCs w:val="13"/>
                <w:b w:val="1"/>
                <w:bCs w:val="1"/>
                <w:color w:val="auto"/>
              </w:rPr>
              <w:t>(I.R.S. Employer</w:t>
            </w:r>
          </w:p>
        </w:tc>
      </w:tr>
      <w:tr>
        <w:trPr>
          <w:trHeight w:val="183"/>
        </w:trPr>
        <w:tc>
          <w:tcPr>
            <w:tcW w:w="2620" w:type="dxa"/>
            <w:vAlign w:val="bottom"/>
          </w:tcPr>
          <w:p>
            <w:pPr>
              <w:jc w:val="center"/>
              <w:ind w:right="68"/>
              <w:spacing w:after="0"/>
              <w:rPr>
                <w:sz w:val="20"/>
                <w:szCs w:val="20"/>
                <w:color w:val="auto"/>
              </w:rPr>
            </w:pPr>
            <w:r>
              <w:rPr>
                <w:rFonts w:ascii="Arial" w:cs="Arial" w:eastAsia="Arial" w:hAnsi="Arial"/>
                <w:sz w:val="13"/>
                <w:szCs w:val="13"/>
                <w:b w:val="1"/>
                <w:bCs w:val="1"/>
                <w:color w:val="auto"/>
              </w:rPr>
              <w:t>incorporation or organization)</w:t>
            </w:r>
          </w:p>
        </w:tc>
        <w:tc>
          <w:tcPr>
            <w:tcW w:w="5520" w:type="dxa"/>
            <w:vAlign w:val="bottom"/>
          </w:tcPr>
          <w:p>
            <w:pPr>
              <w:jc w:val="center"/>
              <w:ind w:left="4329"/>
              <w:spacing w:after="0"/>
              <w:rPr>
                <w:sz w:val="20"/>
                <w:szCs w:val="20"/>
                <w:color w:val="auto"/>
              </w:rPr>
            </w:pPr>
            <w:r>
              <w:rPr>
                <w:rFonts w:ascii="Arial" w:cs="Arial" w:eastAsia="Arial" w:hAnsi="Arial"/>
                <w:sz w:val="13"/>
                <w:szCs w:val="13"/>
                <w:b w:val="1"/>
                <w:bCs w:val="1"/>
                <w:color w:val="auto"/>
              </w:rPr>
              <w:t>Identification No.)</w:t>
            </w:r>
          </w:p>
        </w:tc>
      </w:tr>
      <w:tr>
        <w:trPr>
          <w:trHeight w:val="321"/>
        </w:trPr>
        <w:tc>
          <w:tcPr>
            <w:tcW w:w="2620" w:type="dxa"/>
            <w:vAlign w:val="bottom"/>
          </w:tcPr>
          <w:p>
            <w:pPr>
              <w:jc w:val="center"/>
              <w:ind w:right="68"/>
              <w:spacing w:after="0"/>
              <w:rPr>
                <w:sz w:val="20"/>
                <w:szCs w:val="20"/>
                <w:color w:val="auto"/>
              </w:rPr>
            </w:pPr>
            <w:r>
              <w:rPr>
                <w:rFonts w:ascii="Arial" w:cs="Arial" w:eastAsia="Arial" w:hAnsi="Arial"/>
                <w:sz w:val="16"/>
                <w:szCs w:val="16"/>
                <w:b w:val="1"/>
                <w:bCs w:val="1"/>
                <w:color w:val="auto"/>
                <w:w w:val="96"/>
              </w:rPr>
              <w:t>One M &amp; T Plaza</w:t>
            </w:r>
          </w:p>
        </w:tc>
        <w:tc>
          <w:tcPr>
            <w:tcW w:w="5520" w:type="dxa"/>
            <w:vAlign w:val="bottom"/>
          </w:tcPr>
          <w:p>
            <w:pPr>
              <w:spacing w:after="0"/>
              <w:rPr>
                <w:sz w:val="24"/>
                <w:szCs w:val="24"/>
                <w:color w:val="auto"/>
              </w:rPr>
            </w:pPr>
          </w:p>
        </w:tc>
      </w:tr>
      <w:tr>
        <w:trPr>
          <w:trHeight w:val="204"/>
        </w:trPr>
        <w:tc>
          <w:tcPr>
            <w:tcW w:w="2620" w:type="dxa"/>
            <w:vAlign w:val="bottom"/>
          </w:tcPr>
          <w:p>
            <w:pPr>
              <w:jc w:val="center"/>
              <w:ind w:right="68"/>
              <w:spacing w:after="0"/>
              <w:rPr>
                <w:sz w:val="20"/>
                <w:szCs w:val="20"/>
                <w:color w:val="auto"/>
              </w:rPr>
            </w:pPr>
            <w:r>
              <w:rPr>
                <w:rFonts w:ascii="Arial" w:cs="Arial" w:eastAsia="Arial" w:hAnsi="Arial"/>
                <w:sz w:val="16"/>
                <w:szCs w:val="16"/>
                <w:b w:val="1"/>
                <w:bCs w:val="1"/>
                <w:color w:val="auto"/>
                <w:w w:val="96"/>
              </w:rPr>
              <w:t>Buffalo, New York</w:t>
            </w:r>
          </w:p>
        </w:tc>
        <w:tc>
          <w:tcPr>
            <w:tcW w:w="5520" w:type="dxa"/>
            <w:vAlign w:val="bottom"/>
          </w:tcPr>
          <w:p>
            <w:pPr>
              <w:jc w:val="right"/>
              <w:ind w:right="269"/>
              <w:spacing w:after="0"/>
              <w:rPr>
                <w:sz w:val="20"/>
                <w:szCs w:val="20"/>
                <w:color w:val="auto"/>
              </w:rPr>
            </w:pPr>
            <w:r>
              <w:rPr>
                <w:rFonts w:ascii="Arial" w:cs="Arial" w:eastAsia="Arial" w:hAnsi="Arial"/>
                <w:sz w:val="16"/>
                <w:szCs w:val="16"/>
                <w:b w:val="1"/>
                <w:bCs w:val="1"/>
                <w:color w:val="auto"/>
              </w:rPr>
              <w:t>14203</w:t>
            </w:r>
          </w:p>
        </w:tc>
      </w:tr>
      <w:tr>
        <w:trPr>
          <w:trHeight w:val="183"/>
        </w:trPr>
        <w:tc>
          <w:tcPr>
            <w:tcW w:w="2620" w:type="dxa"/>
            <w:vAlign w:val="bottom"/>
          </w:tcPr>
          <w:p>
            <w:pPr>
              <w:jc w:val="center"/>
              <w:ind w:right="68"/>
              <w:spacing w:after="0"/>
              <w:rPr>
                <w:sz w:val="20"/>
                <w:szCs w:val="20"/>
                <w:color w:val="auto"/>
              </w:rPr>
            </w:pPr>
            <w:r>
              <w:rPr>
                <w:rFonts w:ascii="Arial" w:cs="Arial" w:eastAsia="Arial" w:hAnsi="Arial"/>
                <w:sz w:val="13"/>
                <w:szCs w:val="13"/>
                <w:b w:val="1"/>
                <w:bCs w:val="1"/>
                <w:color w:val="auto"/>
              </w:rPr>
              <w:t>(Address of principal executive offices)</w:t>
            </w:r>
          </w:p>
        </w:tc>
        <w:tc>
          <w:tcPr>
            <w:tcW w:w="5520" w:type="dxa"/>
            <w:vAlign w:val="bottom"/>
          </w:tcPr>
          <w:p>
            <w:pPr>
              <w:jc w:val="center"/>
              <w:ind w:left="4329"/>
              <w:spacing w:after="0"/>
              <w:rPr>
                <w:sz w:val="20"/>
                <w:szCs w:val="20"/>
                <w:color w:val="auto"/>
              </w:rPr>
            </w:pPr>
            <w:r>
              <w:rPr>
                <w:rFonts w:ascii="Arial" w:cs="Arial" w:eastAsia="Arial" w:hAnsi="Arial"/>
                <w:sz w:val="13"/>
                <w:szCs w:val="13"/>
                <w:b w:val="1"/>
                <w:bCs w:val="1"/>
                <w:color w:val="auto"/>
                <w:w w:val="99"/>
              </w:rPr>
              <w:t>(Zip Code)</w:t>
            </w:r>
          </w:p>
        </w:tc>
      </w:tr>
      <w:tr>
        <w:trPr>
          <w:trHeight w:val="264"/>
        </w:trPr>
        <w:tc>
          <w:tcPr>
            <w:tcW w:w="2620" w:type="dxa"/>
            <w:vAlign w:val="bottom"/>
          </w:tcPr>
          <w:p>
            <w:pPr>
              <w:spacing w:after="0"/>
              <w:rPr>
                <w:sz w:val="22"/>
                <w:szCs w:val="22"/>
                <w:color w:val="auto"/>
              </w:rPr>
            </w:pPr>
          </w:p>
        </w:tc>
        <w:tc>
          <w:tcPr>
            <w:tcW w:w="5520" w:type="dxa"/>
            <w:vAlign w:val="bottom"/>
          </w:tcPr>
          <w:p>
            <w:pPr>
              <w:jc w:val="center"/>
              <w:ind w:right="1869"/>
              <w:spacing w:after="0"/>
              <w:rPr>
                <w:sz w:val="20"/>
                <w:szCs w:val="20"/>
                <w:color w:val="auto"/>
              </w:rPr>
            </w:pPr>
            <w:r>
              <w:rPr>
                <w:rFonts w:ascii="Arial" w:cs="Arial" w:eastAsia="Arial" w:hAnsi="Arial"/>
                <w:sz w:val="13"/>
                <w:szCs w:val="13"/>
                <w:b w:val="1"/>
                <w:bCs w:val="1"/>
                <w:color w:val="auto"/>
              </w:rPr>
              <w:t>Registrant's telephone number, including area code:</w:t>
            </w:r>
          </w:p>
        </w:tc>
      </w:tr>
      <w:tr>
        <w:trPr>
          <w:trHeight w:val="238"/>
        </w:trPr>
        <w:tc>
          <w:tcPr>
            <w:tcW w:w="2620" w:type="dxa"/>
            <w:vAlign w:val="bottom"/>
          </w:tcPr>
          <w:p>
            <w:pPr>
              <w:spacing w:after="0"/>
              <w:rPr>
                <w:sz w:val="20"/>
                <w:szCs w:val="20"/>
                <w:color w:val="auto"/>
              </w:rPr>
            </w:pPr>
          </w:p>
        </w:tc>
        <w:tc>
          <w:tcPr>
            <w:tcW w:w="5520" w:type="dxa"/>
            <w:vAlign w:val="bottom"/>
          </w:tcPr>
          <w:p>
            <w:pPr>
              <w:jc w:val="right"/>
              <w:ind w:right="3129"/>
              <w:spacing w:after="0"/>
              <w:rPr>
                <w:sz w:val="20"/>
                <w:szCs w:val="20"/>
                <w:color w:val="auto"/>
              </w:rPr>
            </w:pPr>
            <w:r>
              <w:rPr>
                <w:rFonts w:ascii="Arial" w:cs="Arial" w:eastAsia="Arial" w:hAnsi="Arial"/>
                <w:sz w:val="16"/>
                <w:szCs w:val="16"/>
                <w:b w:val="1"/>
                <w:bCs w:val="1"/>
                <w:color w:val="auto"/>
              </w:rPr>
              <w:t>(716) 635-4000</w:t>
            </w:r>
          </w:p>
        </w:tc>
      </w:tr>
    </w:tbl>
    <w:p>
      <w:pPr>
        <w:spacing w:after="0" w:line="11" w:lineRule="exact"/>
        <w:rPr>
          <w:sz w:val="24"/>
          <w:szCs w:val="24"/>
          <w:color w:val="auto"/>
        </w:rPr>
      </w:pPr>
    </w:p>
    <w:p>
      <w:pPr>
        <w:sectPr>
          <w:pgSz w:w="11900" w:h="16840" w:orient="portrait"/>
          <w:cols w:equalWidth="0" w:num="1">
            <w:col w:w="10546"/>
          </w:cols>
          <w:pgMar w:left="654" w:top="898" w:right="700" w:bottom="1440" w:gutter="0" w:footer="0" w:header="0"/>
        </w:sectPr>
      </w:pPr>
    </w:p>
    <w:p>
      <w:pPr>
        <w:spacing w:after="0" w:line="288" w:lineRule="exact"/>
        <w:rPr>
          <w:sz w:val="24"/>
          <w:szCs w:val="24"/>
          <w:color w:val="auto"/>
        </w:rPr>
      </w:pPr>
    </w:p>
    <w:p>
      <w:pPr>
        <w:ind w:left="1546"/>
        <w:spacing w:after="0"/>
        <w:rPr>
          <w:sz w:val="20"/>
          <w:szCs w:val="20"/>
          <w:color w:val="auto"/>
        </w:rPr>
      </w:pPr>
      <w:r>
        <w:rPr>
          <w:rFonts w:ascii="Arial" w:cs="Arial" w:eastAsia="Arial" w:hAnsi="Arial"/>
          <w:sz w:val="13"/>
          <w:szCs w:val="13"/>
          <w:b w:val="1"/>
          <w:bCs w:val="1"/>
          <w:u w:val="single" w:color="auto"/>
          <w:color w:val="auto"/>
        </w:rPr>
        <w:t>Title of Each Class</w:t>
      </w:r>
    </w:p>
    <w:p>
      <w:pPr>
        <w:spacing w:after="0" w:line="39" w:lineRule="exact"/>
        <w:rPr>
          <w:sz w:val="24"/>
          <w:szCs w:val="24"/>
          <w:color w:val="auto"/>
        </w:rPr>
      </w:pPr>
    </w:p>
    <w:p>
      <w:pPr>
        <w:ind w:left="1226"/>
        <w:spacing w:after="0"/>
        <w:rPr>
          <w:sz w:val="20"/>
          <w:szCs w:val="20"/>
          <w:color w:val="auto"/>
        </w:rPr>
      </w:pPr>
      <w:r>
        <w:rPr>
          <w:rFonts w:ascii="Arial" w:cs="Arial" w:eastAsia="Arial" w:hAnsi="Arial"/>
          <w:sz w:val="13"/>
          <w:szCs w:val="13"/>
          <w:color w:val="auto"/>
        </w:rPr>
        <w:t>Common Stock, $.50 par value</w:t>
      </w:r>
    </w:p>
    <w:p>
      <w:pPr>
        <w:spacing w:after="0" w:line="31" w:lineRule="exact"/>
        <w:rPr>
          <w:sz w:val="24"/>
          <w:szCs w:val="24"/>
          <w:color w:val="auto"/>
        </w:rPr>
      </w:pPr>
    </w:p>
    <w:p>
      <w:pPr>
        <w:ind w:left="1166"/>
        <w:spacing w:after="0"/>
        <w:rPr>
          <w:sz w:val="20"/>
          <w:szCs w:val="20"/>
          <w:color w:val="auto"/>
        </w:rPr>
      </w:pPr>
      <w:r>
        <w:rPr>
          <w:rFonts w:ascii="Arial" w:cs="Arial" w:eastAsia="Arial" w:hAnsi="Arial"/>
          <w:sz w:val="13"/>
          <w:szCs w:val="13"/>
          <w:color w:val="auto"/>
        </w:rPr>
        <w:t>Perpetual Fixed-to-Floating Rate</w:t>
      </w:r>
    </w:p>
    <w:p>
      <w:pPr>
        <w:spacing w:after="0" w:line="15" w:lineRule="exact"/>
        <w:rPr>
          <w:sz w:val="24"/>
          <w:szCs w:val="24"/>
          <w:color w:val="auto"/>
        </w:rPr>
      </w:pPr>
    </w:p>
    <w:p>
      <w:pPr>
        <w:ind w:left="886"/>
        <w:spacing w:after="0"/>
        <w:rPr>
          <w:sz w:val="20"/>
          <w:szCs w:val="20"/>
          <w:color w:val="auto"/>
        </w:rPr>
      </w:pPr>
      <w:r>
        <w:rPr>
          <w:rFonts w:ascii="Arial" w:cs="Arial" w:eastAsia="Arial" w:hAnsi="Arial"/>
          <w:sz w:val="13"/>
          <w:szCs w:val="13"/>
          <w:color w:val="auto"/>
        </w:rPr>
        <w:t>Non-Cumulative Preferred Stock, Series 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37" w:lineRule="exact"/>
        <w:rPr>
          <w:sz w:val="24"/>
          <w:szCs w:val="24"/>
          <w:color w:val="auto"/>
        </w:rPr>
      </w:pPr>
    </w:p>
    <w:tbl>
      <w:tblPr>
        <w:tblLayout w:type="fixed"/>
        <w:tblInd w:w="1260" w:type="dxa"/>
        <w:tblCellMar>
          <w:top w:w="0" w:type="dxa"/>
          <w:left w:w="0" w:type="dxa"/>
          <w:bottom w:w="0" w:type="dxa"/>
          <w:right w:w="0" w:type="dxa"/>
        </w:tblCellMar>
      </w:tblPr>
      <w:tr>
        <w:trPr>
          <w:trHeight w:val="149"/>
        </w:trPr>
        <w:tc>
          <w:tcPr>
            <w:tcW w:w="232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rPr>
              <w:t>Trading Symbols</w:t>
            </w:r>
          </w:p>
        </w:tc>
        <w:tc>
          <w:tcPr>
            <w:tcW w:w="2880" w:type="dxa"/>
            <w:vAlign w:val="bottom"/>
          </w:tcPr>
          <w:p>
            <w:pP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86"/>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MTB</w:t>
            </w:r>
          </w:p>
        </w:tc>
        <w:tc>
          <w:tcPr>
            <w:tcW w:w="1240" w:type="dxa"/>
            <w:vAlign w:val="bottom"/>
          </w:tcPr>
          <w:p>
            <w:pPr>
              <w:spacing w:after="0"/>
              <w:rPr>
                <w:sz w:val="16"/>
                <w:szCs w:val="16"/>
                <w:color w:val="auto"/>
              </w:rPr>
            </w:pPr>
          </w:p>
        </w:tc>
        <w:tc>
          <w:tcPr>
            <w:tcW w:w="2880" w:type="dxa"/>
            <w:vAlign w:val="bottom"/>
            <w:tcBorders>
              <w:top w:val="single" w:sz="8" w:color="auto"/>
            </w:tcBorders>
          </w:tcPr>
          <w:p>
            <w:pPr>
              <w:ind w:left="620"/>
              <w:spacing w:after="0"/>
              <w:rPr>
                <w:sz w:val="20"/>
                <w:szCs w:val="20"/>
                <w:color w:val="auto"/>
              </w:rPr>
            </w:pPr>
            <w:r>
              <w:rPr>
                <w:rFonts w:ascii="Arial" w:cs="Arial" w:eastAsia="Arial" w:hAnsi="Arial"/>
                <w:sz w:val="13"/>
                <w:szCs w:val="13"/>
                <w:color w:val="auto"/>
              </w:rPr>
              <w:t>New York Stock Exchange</w:t>
            </w:r>
          </w:p>
        </w:tc>
      </w:tr>
      <w:tr>
        <w:trPr>
          <w:trHeight w:val="252"/>
        </w:trPr>
        <w:tc>
          <w:tcPr>
            <w:tcW w:w="2320" w:type="dxa"/>
            <w:vAlign w:val="bottom"/>
            <w:gridSpan w:val="2"/>
          </w:tcPr>
          <w:p>
            <w:pPr>
              <w:jc w:val="center"/>
              <w:ind w:right="1220"/>
              <w:spacing w:after="0"/>
              <w:rPr>
                <w:sz w:val="20"/>
                <w:szCs w:val="20"/>
                <w:color w:val="auto"/>
              </w:rPr>
            </w:pPr>
            <w:r>
              <w:rPr>
                <w:rFonts w:ascii="Arial" w:cs="Arial" w:eastAsia="Arial" w:hAnsi="Arial"/>
                <w:sz w:val="13"/>
                <w:szCs w:val="13"/>
                <w:color w:val="auto"/>
              </w:rPr>
              <w:t>MTBPrH</w:t>
            </w:r>
          </w:p>
        </w:tc>
        <w:tc>
          <w:tcPr>
            <w:tcW w:w="2880" w:type="dxa"/>
            <w:vAlign w:val="bottom"/>
          </w:tcPr>
          <w:p>
            <w:pPr>
              <w:ind w:left="620"/>
              <w:spacing w:after="0"/>
              <w:rPr>
                <w:sz w:val="20"/>
                <w:szCs w:val="20"/>
                <w:color w:val="auto"/>
              </w:rPr>
            </w:pPr>
            <w:r>
              <w:rPr>
                <w:rFonts w:ascii="Arial" w:cs="Arial" w:eastAsia="Arial" w:hAnsi="Arial"/>
                <w:sz w:val="13"/>
                <w:szCs w:val="13"/>
                <w:color w:val="auto"/>
              </w:rPr>
              <w:t>New York Stock Exchange</w:t>
            </w:r>
          </w:p>
        </w:tc>
      </w:tr>
    </w:tbl>
    <w:p>
      <w:pPr>
        <w:spacing w:after="0" w:line="276" w:lineRule="exact"/>
        <w:rPr>
          <w:sz w:val="24"/>
          <w:szCs w:val="24"/>
          <w:color w:val="auto"/>
        </w:rPr>
      </w:pPr>
    </w:p>
    <w:p>
      <w:pPr>
        <w:sectPr>
          <w:pgSz w:w="11900" w:h="16840" w:orient="portrait"/>
          <w:cols w:equalWidth="0" w:num="2">
            <w:col w:w="3366" w:space="120"/>
            <w:col w:w="7060"/>
          </w:cols>
          <w:pgMar w:left="654" w:top="898" w:right="700" w:bottom="1440" w:gutter="0" w:footer="0" w:header="0"/>
          <w:type w:val="continuous"/>
        </w:sectPr>
      </w:pPr>
    </w:p>
    <w:p>
      <w:pPr>
        <w:spacing w:after="0" w:line="75" w:lineRule="exact"/>
        <w:rPr>
          <w:sz w:val="24"/>
          <w:szCs w:val="24"/>
          <w:color w:val="auto"/>
        </w:rPr>
      </w:pPr>
    </w:p>
    <w:p>
      <w:pPr>
        <w:ind w:left="6" w:right="14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66" w:lineRule="exact"/>
        <w:rPr>
          <w:sz w:val="24"/>
          <w:szCs w:val="24"/>
          <w:color w:val="auto"/>
        </w:rPr>
      </w:pPr>
    </w:p>
    <w:p>
      <w:pPr>
        <w:ind w:left="6" w:right="100"/>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6" w:hanging="194"/>
        <w:spacing w:after="0" w:line="150" w:lineRule="exact"/>
        <w:tabs>
          <w:tab w:leader="none" w:pos="206"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98" w:lineRule="exact"/>
        <w:rPr>
          <w:sz w:val="24"/>
          <w:szCs w:val="24"/>
          <w:color w:val="auto"/>
        </w:rPr>
      </w:pPr>
    </w:p>
    <w:p>
      <w:pPr>
        <w:ind w:left="6"/>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5" w:lineRule="exact"/>
        <w:rPr>
          <w:sz w:val="24"/>
          <w:szCs w:val="24"/>
          <w:color w:val="auto"/>
        </w:rPr>
      </w:pPr>
    </w:p>
    <w:p>
      <w:pPr>
        <w:ind w:left="6"/>
        <w:spacing w:after="0"/>
        <w:rPr>
          <w:sz w:val="20"/>
          <w:szCs w:val="20"/>
          <w:color w:val="auto"/>
        </w:rPr>
      </w:pPr>
      <w:r>
        <w:rPr>
          <w:rFonts w:ascii="Arial" w:cs="Arial" w:eastAsia="Arial" w:hAnsi="Arial"/>
          <w:sz w:val="13"/>
          <w:szCs w:val="13"/>
          <w:color w:val="auto"/>
        </w:rPr>
        <w:t>See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6" w:type="dxa"/>
        <w:tblCellMar>
          <w:top w:w="0" w:type="dxa"/>
          <w:left w:w="0" w:type="dxa"/>
          <w:bottom w:w="0" w:type="dxa"/>
          <w:right w:w="0" w:type="dxa"/>
        </w:tblCellMar>
      </w:tblPr>
      <w:tr>
        <w:trPr>
          <w:trHeight w:val="168"/>
        </w:trPr>
        <w:tc>
          <w:tcPr>
            <w:tcW w:w="2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1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400"/>
              <w:spacing w:after="0"/>
              <w:rPr>
                <w:sz w:val="20"/>
                <w:szCs w:val="20"/>
                <w:color w:val="auto"/>
              </w:rPr>
            </w:pPr>
            <w:r>
              <w:rPr>
                <w:rFonts w:ascii="Arial" w:cs="Arial" w:eastAsia="Arial" w:hAnsi="Arial"/>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8"/>
        </w:trPr>
        <w:tc>
          <w:tcPr>
            <w:tcW w:w="2180" w:type="dxa"/>
            <w:vAlign w:val="bottom"/>
          </w:tcPr>
          <w:p>
            <w:pPr>
              <w:spacing w:after="0"/>
              <w:rPr>
                <w:sz w:val="20"/>
                <w:szCs w:val="20"/>
                <w:color w:val="auto"/>
              </w:rPr>
            </w:pPr>
            <w:r>
              <w:rPr>
                <w:rFonts w:ascii="Arial" w:cs="Arial" w:eastAsia="Arial" w:hAnsi="Arial"/>
                <w:sz w:val="13"/>
                <w:szCs w:val="13"/>
                <w:color w:val="auto"/>
              </w:rPr>
              <w:t>Non-accelerated filer</w:t>
            </w:r>
          </w:p>
        </w:tc>
        <w:tc>
          <w:tcPr>
            <w:tcW w:w="31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400"/>
              <w:spacing w:after="0"/>
              <w:rPr>
                <w:sz w:val="20"/>
                <w:szCs w:val="20"/>
                <w:color w:val="auto"/>
              </w:rPr>
            </w:pPr>
            <w:r>
              <w:rPr>
                <w:rFonts w:ascii="Arial" w:cs="Arial" w:eastAsia="Arial" w:hAnsi="Arial"/>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21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1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77" w:lineRule="exact"/>
        <w:rPr>
          <w:sz w:val="24"/>
          <w:szCs w:val="24"/>
          <w:color w:val="auto"/>
        </w:rPr>
      </w:pPr>
    </w:p>
    <w:p>
      <w:pPr>
        <w:ind w:left="6" w:right="50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p>
      <w:pPr>
        <w:ind w:left="6"/>
        <w:spacing w:after="0" w:line="150" w:lineRule="exact"/>
        <w:tabs>
          <w:tab w:leader="none" w:pos="6766"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138" w:lineRule="exact"/>
        <w:rPr>
          <w:sz w:val="24"/>
          <w:szCs w:val="24"/>
          <w:color w:val="auto"/>
        </w:rPr>
      </w:pPr>
    </w:p>
    <w:p>
      <w:pPr>
        <w:ind w:left="6"/>
        <w:spacing w:after="0"/>
        <w:rPr>
          <w:sz w:val="20"/>
          <w:szCs w:val="20"/>
          <w:color w:val="auto"/>
        </w:rPr>
      </w:pPr>
      <w:r>
        <w:rPr>
          <w:rFonts w:ascii="Arial" w:cs="Arial" w:eastAsia="Arial" w:hAnsi="Arial"/>
          <w:sz w:val="13"/>
          <w:szCs w:val="13"/>
          <w:color w:val="auto"/>
        </w:rPr>
        <w:t>Number of shares of the registrant's Common Stock, $0.50 par value, outstanding as of the close of business on May 1, 2023: 165,869,832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92710</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107950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514350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6"/>
          </w:cols>
          <w:pgMar w:left="654" w:top="898" w:right="700"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i w:val="1"/>
          <w:iCs w:val="1"/>
          <w:color w:val="auto"/>
        </w:rPr>
        <w:t>Explanatory Note</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Amendment No. 1 amends M&amp;T Bank Corporation’s Quarterly Report on Form 10- Q for the quarterly period ended March 31, 2023, which was filed on May 5, 2023. This Amendment No. 1 is being filed on May 15, 2023 solely for the purpose of correcting a typographical error in Item 1, note 12 of Notes to Financial Statements – Fair Value Measurements in the table included within the "Disclosures of fair value of financial instruments" section on page 38. The estimated fair value of time deposits in the table presenting the carrying amounts and estimated fair value, in thousands, for financial instrument assets (liabilities) as of March 31, 2023 was incorrectly presented without parentheses. The parentheses have been added for time deposits in both the Estimated Fair Value column and the Level 2 column and correctly presented as $(12,808,615) in each column. Except for these corrections, there have been no changes in any of the financial information or other information contained in the original Form 10- Q. This Amendment No. 1 speaks as of the original filing date of the Form 10-Q and does not reflect events that may have occurred subsequent to the original filing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entire Form 10-Q as amended,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294640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737" w:right="7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500" w:type="dxa"/>
            <w:vAlign w:val="bottom"/>
            <w:gridSpan w:val="12"/>
          </w:tcPr>
          <w:p>
            <w:pPr>
              <w:jc w:val="center"/>
              <w:ind w:right="3500"/>
              <w:spacing w:after="0"/>
              <w:rPr>
                <w:sz w:val="20"/>
                <w:szCs w:val="20"/>
                <w:color w:val="auto"/>
              </w:rPr>
            </w:pPr>
            <w:r>
              <w:rPr>
                <w:rFonts w:ascii="Arial" w:cs="Arial" w:eastAsia="Arial" w:hAnsi="Arial"/>
                <w:sz w:val="16"/>
                <w:szCs w:val="16"/>
                <w:color w:val="auto"/>
                <w:w w:val="97"/>
              </w:rPr>
              <w:t>M&amp;T BANK CORPORATION</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gridSpan w:val="4"/>
          </w:tcPr>
          <w:p>
            <w:pPr>
              <w:jc w:val="center"/>
              <w:ind w:right="580"/>
              <w:spacing w:after="0"/>
              <w:rPr>
                <w:sz w:val="20"/>
                <w:szCs w:val="20"/>
                <w:color w:val="auto"/>
              </w:rPr>
            </w:pPr>
            <w:r>
              <w:rPr>
                <w:rFonts w:ascii="Arial" w:cs="Arial" w:eastAsia="Arial" w:hAnsi="Arial"/>
                <w:sz w:val="16"/>
                <w:szCs w:val="16"/>
                <w:color w:val="auto"/>
                <w:w w:val="96"/>
              </w:rPr>
              <w:t>FORM 10-Q</w:t>
            </w:r>
          </w:p>
        </w:tc>
        <w:tc>
          <w:tcPr>
            <w:tcW w:w="350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color w:val="auto"/>
                <w:w w:val="97"/>
              </w:rPr>
              <w:t>For the Quarterly Period Ended March 31, 2023</w:t>
            </w:r>
          </w:p>
        </w:tc>
        <w:tc>
          <w:tcPr>
            <w:tcW w:w="284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580" w:type="dxa"/>
            <w:vAlign w:val="bottom"/>
            <w:tcBorders>
              <w:bottom w:val="single" w:sz="8" w:color="auto"/>
            </w:tcBorders>
            <w:gridSpan w:val="12"/>
          </w:tcPr>
          <w:p>
            <w:pPr>
              <w:spacing w:after="0"/>
              <w:rPr>
                <w:sz w:val="20"/>
                <w:szCs w:val="20"/>
                <w:color w:val="auto"/>
              </w:rPr>
            </w:pPr>
            <w:r>
              <w:rPr>
                <w:rFonts w:ascii="Arial" w:cs="Arial" w:eastAsia="Arial" w:hAnsi="Arial"/>
                <w:sz w:val="16"/>
                <w:szCs w:val="16"/>
                <w:color w:val="auto"/>
                <w:w w:val="96"/>
              </w:rPr>
              <w:t>Table of Contents of Information Required in Report</w:t>
            </w:r>
          </w:p>
        </w:tc>
        <w:tc>
          <w:tcPr>
            <w:tcW w:w="6180" w:type="dxa"/>
            <w:vAlign w:val="bottom"/>
            <w:gridSpan w:val="15"/>
          </w:tcPr>
          <w:p>
            <w:pPr>
              <w:spacing w:after="0"/>
              <w:rPr>
                <w:sz w:val="24"/>
                <w:szCs w:val="24"/>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9760" w:type="dxa"/>
            <w:vAlign w:val="bottom"/>
            <w:gridSpan w:val="27"/>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Part I. FINANCIAL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1.</w:t>
            </w:r>
          </w:p>
        </w:tc>
        <w:tc>
          <w:tcPr>
            <w:tcW w:w="146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4">
              <w:r>
                <w:rPr>
                  <w:rFonts w:ascii="Arial" w:cs="Arial" w:eastAsia="Arial" w:hAnsi="Arial"/>
                  <w:sz w:val="16"/>
                  <w:szCs w:val="16"/>
                  <w:color w:val="0000FF"/>
                  <w:w w:val="96"/>
                </w:rPr>
                <w:t>Financial Statements</w:t>
              </w:r>
            </w:hyperlink>
          </w:p>
        </w:tc>
        <w:tc>
          <w:tcPr>
            <w:tcW w:w="7100" w:type="dxa"/>
            <w:vAlign w:val="bottom"/>
            <w:gridSpan w:val="18"/>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tcBorders>
              <w:bottom w:val="single" w:sz="8" w:color="0000FF"/>
            </w:tcBorders>
            <w:gridSpan w:val="19"/>
          </w:tcPr>
          <w:p>
            <w:pPr>
              <w:spacing w:after="0"/>
              <w:rPr>
                <w:rFonts w:ascii="Arial" w:cs="Arial" w:eastAsia="Arial" w:hAnsi="Arial"/>
                <w:sz w:val="16"/>
                <w:szCs w:val="16"/>
                <w:color w:val="0000FF"/>
                <w:w w:val="97"/>
              </w:rPr>
            </w:pPr>
            <w:hyperlink w:anchor="page4">
              <w:r>
                <w:rPr>
                  <w:rFonts w:ascii="Arial" w:cs="Arial" w:eastAsia="Arial" w:hAnsi="Arial"/>
                  <w:sz w:val="16"/>
                  <w:szCs w:val="16"/>
                  <w:color w:val="0000FF"/>
                  <w:w w:val="97"/>
                </w:rPr>
                <w:t>CONSOLIDATED BALANCE SHEET – March 31, 2023 and December 31, 2022</w:t>
              </w:r>
            </w:hyperlink>
          </w:p>
        </w:tc>
        <w:tc>
          <w:tcPr>
            <w:tcW w:w="302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tcBorders>
              <w:bottom w:val="single" w:sz="8" w:color="0000FF"/>
            </w:tcBorders>
            <w:gridSpan w:val="22"/>
          </w:tcPr>
          <w:p>
            <w:pPr>
              <w:spacing w:after="0"/>
              <w:rPr>
                <w:rFonts w:ascii="Arial" w:cs="Arial" w:eastAsia="Arial" w:hAnsi="Arial"/>
                <w:sz w:val="16"/>
                <w:szCs w:val="16"/>
                <w:color w:val="0000FF"/>
                <w:w w:val="97"/>
              </w:rPr>
            </w:pPr>
            <w:hyperlink w:anchor="page5">
              <w:r>
                <w:rPr>
                  <w:rFonts w:ascii="Arial" w:cs="Arial" w:eastAsia="Arial" w:hAnsi="Arial"/>
                  <w:sz w:val="16"/>
                  <w:szCs w:val="16"/>
                  <w:color w:val="0000FF"/>
                  <w:w w:val="97"/>
                </w:rPr>
                <w:t>CONSOLIDATED STATEMENT OF INCOME – Three months ended March 31, 2023 and 2022</w:t>
              </w:r>
            </w:hyperlink>
          </w:p>
        </w:tc>
        <w:tc>
          <w:tcPr>
            <w:tcW w:w="198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CONSOLIDATED STATEMENT OF COMPREHENSIVE INCOME – Three months ended March 31, 2023 and 2022</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top w:val="single" w:sz="8" w:color="0000FF"/>
              <w:bottom w:val="single" w:sz="8" w:color="0000FF"/>
            </w:tcBorders>
            <w:gridSpan w:val="23"/>
          </w:tcPr>
          <w:p>
            <w:pPr>
              <w:spacing w:after="0"/>
              <w:rPr>
                <w:rFonts w:ascii="Arial" w:cs="Arial" w:eastAsia="Arial" w:hAnsi="Arial"/>
                <w:sz w:val="16"/>
                <w:szCs w:val="16"/>
                <w:color w:val="0000FF"/>
                <w:w w:val="97"/>
              </w:rPr>
            </w:pPr>
            <w:hyperlink w:anchor="page7">
              <w:r>
                <w:rPr>
                  <w:rFonts w:ascii="Arial" w:cs="Arial" w:eastAsia="Arial" w:hAnsi="Arial"/>
                  <w:sz w:val="16"/>
                  <w:szCs w:val="16"/>
                  <w:color w:val="0000FF"/>
                  <w:w w:val="97"/>
                </w:rPr>
                <w:t>CONSOLIDATED STATEMENT OF CASH FLOWS – Three months ended March 31, 2023 and 2022</w:t>
              </w:r>
            </w:hyperlink>
          </w:p>
        </w:tc>
        <w:tc>
          <w:tcPr>
            <w:tcW w:w="100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tcBorders>
              <w:bottom w:val="single" w:sz="8" w:color="0000FF"/>
            </w:tcBorders>
            <w:gridSpan w:val="25"/>
          </w:tcPr>
          <w:p>
            <w:pPr>
              <w:spacing w:after="0"/>
              <w:rPr>
                <w:rFonts w:ascii="Arial" w:cs="Arial" w:eastAsia="Arial" w:hAnsi="Arial"/>
                <w:sz w:val="16"/>
                <w:szCs w:val="16"/>
                <w:color w:val="0000FF"/>
                <w:w w:val="97"/>
              </w:rPr>
            </w:pPr>
            <w:hyperlink w:anchor="page8">
              <w:r>
                <w:rPr>
                  <w:rFonts w:ascii="Arial" w:cs="Arial" w:eastAsia="Arial" w:hAnsi="Arial"/>
                  <w:sz w:val="16"/>
                  <w:szCs w:val="16"/>
                  <w:color w:val="0000FF"/>
                  <w:w w:val="97"/>
                </w:rPr>
                <w:t>CONSOLIDATED STATEMENT OF CHANGES IN SHAREHOLDERS' EQUITY – Three months ended March 31, 2023 and</w:t>
              </w:r>
            </w:hyperlink>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bottom w:val="single" w:sz="8" w:color="0000FF"/>
            </w:tcBorders>
          </w:tcPr>
          <w:p>
            <w:pPr>
              <w:spacing w:after="0" w:line="160" w:lineRule="exact"/>
              <w:rPr>
                <w:rFonts w:ascii="Arial" w:cs="Arial" w:eastAsia="Arial" w:hAnsi="Arial"/>
                <w:sz w:val="16"/>
                <w:szCs w:val="16"/>
                <w:color w:val="0000FF"/>
                <w:w w:val="89"/>
              </w:rPr>
            </w:pPr>
            <w:hyperlink w:anchor="page8">
              <w:r>
                <w:rPr>
                  <w:rFonts w:ascii="Arial" w:cs="Arial" w:eastAsia="Arial" w:hAnsi="Arial"/>
                  <w:sz w:val="16"/>
                  <w:szCs w:val="16"/>
                  <w:color w:val="0000FF"/>
                  <w:w w:val="89"/>
                </w:rPr>
                <w:t>2022</w:t>
              </w:r>
            </w:hyperlink>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60" w:type="dxa"/>
            <w:vAlign w:val="bottom"/>
            <w:gridSpan w:val="25"/>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NOTES TO FINANCIAL STATEMENTS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2.</w:t>
            </w:r>
          </w:p>
        </w:tc>
        <w:tc>
          <w:tcPr>
            <w:tcW w:w="6140" w:type="dxa"/>
            <w:vAlign w:val="bottom"/>
            <w:tcBorders>
              <w:bottom w:val="single" w:sz="8" w:color="0000FF"/>
            </w:tcBorders>
            <w:gridSpan w:val="21"/>
          </w:tcPr>
          <w:p>
            <w:pPr>
              <w:spacing w:after="0"/>
              <w:rPr>
                <w:rFonts w:ascii="Arial" w:cs="Arial" w:eastAsia="Arial" w:hAnsi="Arial"/>
                <w:sz w:val="16"/>
                <w:szCs w:val="16"/>
                <w:color w:val="0000FF"/>
                <w:w w:val="97"/>
              </w:rPr>
            </w:pPr>
            <w:hyperlink w:anchor="page46">
              <w:r>
                <w:rPr>
                  <w:rFonts w:ascii="Arial" w:cs="Arial" w:eastAsia="Arial" w:hAnsi="Arial"/>
                  <w:sz w:val="16"/>
                  <w:szCs w:val="16"/>
                  <w:color w:val="0000FF"/>
                  <w:w w:val="97"/>
                </w:rPr>
                <w:t>Management's Discussion and Analysis of Financial Condition and Results of Operations</w:t>
              </w:r>
            </w:hyperlink>
          </w:p>
        </w:tc>
        <w:tc>
          <w:tcPr>
            <w:tcW w:w="242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3.</w:t>
            </w:r>
          </w:p>
        </w:tc>
        <w:tc>
          <w:tcPr>
            <w:tcW w:w="4080" w:type="dxa"/>
            <w:vAlign w:val="bottom"/>
            <w:tcBorders>
              <w:bottom w:val="single" w:sz="8" w:color="0000FF"/>
            </w:tcBorders>
            <w:gridSpan w:val="15"/>
          </w:tcPr>
          <w:p>
            <w:pPr>
              <w:spacing w:after="0"/>
              <w:rPr>
                <w:rFonts w:ascii="Arial" w:cs="Arial" w:eastAsia="Arial" w:hAnsi="Arial"/>
                <w:sz w:val="16"/>
                <w:szCs w:val="16"/>
                <w:color w:val="0000FF"/>
                <w:w w:val="96"/>
              </w:rPr>
            </w:pPr>
            <w:hyperlink w:anchor="page81">
              <w:r>
                <w:rPr>
                  <w:rFonts w:ascii="Arial" w:cs="Arial" w:eastAsia="Arial" w:hAnsi="Arial"/>
                  <w:sz w:val="16"/>
                  <w:szCs w:val="16"/>
                  <w:color w:val="0000FF"/>
                  <w:w w:val="96"/>
                </w:rPr>
                <w:t>Quantitative and Qualitative Disclosures About Market Risk</w:t>
              </w:r>
            </w:hyperlink>
          </w:p>
        </w:tc>
        <w:tc>
          <w:tcPr>
            <w:tcW w:w="448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4.</w:t>
            </w:r>
          </w:p>
        </w:tc>
        <w:tc>
          <w:tcPr>
            <w:tcW w:w="8560" w:type="dxa"/>
            <w:vAlign w:val="bottom"/>
            <w:gridSpan w:val="25"/>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218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82">
              <w:r>
                <w:rPr>
                  <w:rFonts w:ascii="Arial" w:cs="Arial" w:eastAsia="Arial" w:hAnsi="Arial"/>
                  <w:sz w:val="16"/>
                  <w:szCs w:val="16"/>
                  <w:color w:val="0000FF"/>
                  <w:w w:val="96"/>
                </w:rPr>
                <w:t>Part II. OTHER INFORMATION</w:t>
              </w:r>
            </w:hyperlink>
          </w:p>
        </w:tc>
        <w:tc>
          <w:tcPr>
            <w:tcW w:w="7580" w:type="dxa"/>
            <w:vAlign w:val="bottom"/>
            <w:gridSpan w:val="21"/>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1.</w:t>
            </w:r>
          </w:p>
        </w:tc>
        <w:tc>
          <w:tcPr>
            <w:tcW w:w="130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82">
              <w:r>
                <w:rPr>
                  <w:rFonts w:ascii="Arial" w:cs="Arial" w:eastAsia="Arial" w:hAnsi="Arial"/>
                  <w:sz w:val="16"/>
                  <w:szCs w:val="16"/>
                  <w:color w:val="0000FF"/>
                  <w:w w:val="96"/>
                </w:rPr>
                <w:t>Legal Proceedings</w:t>
              </w:r>
            </w:hyperlink>
          </w:p>
        </w:tc>
        <w:tc>
          <w:tcPr>
            <w:tcW w:w="726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1A.</w:t>
            </w:r>
          </w:p>
        </w:tc>
        <w:tc>
          <w:tcPr>
            <w:tcW w:w="8560" w:type="dxa"/>
            <w:vAlign w:val="bottom"/>
            <w:gridSpan w:val="25"/>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Risk Factors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2.</w:t>
            </w:r>
          </w:p>
        </w:tc>
        <w:tc>
          <w:tcPr>
            <w:tcW w:w="4200" w:type="dxa"/>
            <w:vAlign w:val="bottom"/>
            <w:tcBorders>
              <w:bottom w:val="single" w:sz="8" w:color="0000FF"/>
            </w:tcBorders>
            <w:gridSpan w:val="16"/>
          </w:tcPr>
          <w:p>
            <w:pPr>
              <w:spacing w:after="0"/>
              <w:rPr>
                <w:rFonts w:ascii="Arial" w:cs="Arial" w:eastAsia="Arial" w:hAnsi="Arial"/>
                <w:sz w:val="16"/>
                <w:szCs w:val="16"/>
                <w:color w:val="0000FF"/>
                <w:w w:val="96"/>
              </w:rPr>
            </w:pPr>
            <w:hyperlink w:anchor="page82">
              <w:r>
                <w:rPr>
                  <w:rFonts w:ascii="Arial" w:cs="Arial" w:eastAsia="Arial" w:hAnsi="Arial"/>
                  <w:sz w:val="16"/>
                  <w:szCs w:val="16"/>
                  <w:color w:val="0000FF"/>
                  <w:w w:val="96"/>
                </w:rPr>
                <w:t>Unregistered Sales of Equity Securities and Use of Proceeds</w:t>
              </w:r>
            </w:hyperlink>
          </w:p>
        </w:tc>
        <w:tc>
          <w:tcPr>
            <w:tcW w:w="436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3.</w:t>
            </w:r>
          </w:p>
        </w:tc>
        <w:tc>
          <w:tcPr>
            <w:tcW w:w="8560" w:type="dxa"/>
            <w:vAlign w:val="bottom"/>
            <w:gridSpan w:val="25"/>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4.</w:t>
            </w:r>
          </w:p>
        </w:tc>
        <w:tc>
          <w:tcPr>
            <w:tcW w:w="2200" w:type="dxa"/>
            <w:vAlign w:val="bottom"/>
            <w:tcBorders>
              <w:top w:val="single" w:sz="8" w:color="0000FF"/>
            </w:tcBorders>
            <w:gridSpan w:val="9"/>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Mine Safety Disclosures</w:t>
              </w:r>
            </w:hyperlink>
          </w:p>
        </w:tc>
        <w:tc>
          <w:tcPr>
            <w:tcW w:w="636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5.</w:t>
            </w:r>
          </w:p>
        </w:tc>
        <w:tc>
          <w:tcPr>
            <w:tcW w:w="124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6"/>
              </w:rPr>
            </w:pPr>
            <w:hyperlink w:anchor="page82">
              <w:r>
                <w:rPr>
                  <w:rFonts w:ascii="Arial" w:cs="Arial" w:eastAsia="Arial" w:hAnsi="Arial"/>
                  <w:sz w:val="16"/>
                  <w:szCs w:val="16"/>
                  <w:color w:val="0000FF"/>
                  <w:w w:val="96"/>
                </w:rPr>
                <w:t>Other Information</w:t>
              </w:r>
            </w:hyperlink>
          </w:p>
        </w:tc>
        <w:tc>
          <w:tcPr>
            <w:tcW w:w="480" w:type="dxa"/>
            <w:vAlign w:val="bottom"/>
            <w:tcBorders>
              <w:top w:val="single" w:sz="8" w:color="0000FF"/>
            </w:tcBorders>
            <w:gridSpan w:val="3"/>
          </w:tcPr>
          <w:p>
            <w:pPr>
              <w:spacing w:after="0"/>
              <w:rPr>
                <w:sz w:val="24"/>
                <w:szCs w:val="24"/>
                <w:color w:val="auto"/>
              </w:rPr>
            </w:pPr>
          </w:p>
        </w:tc>
        <w:tc>
          <w:tcPr>
            <w:tcW w:w="684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6.</w:t>
            </w:r>
          </w:p>
        </w:tc>
        <w:tc>
          <w:tcPr>
            <w:tcW w:w="8560" w:type="dxa"/>
            <w:vAlign w:val="bottom"/>
            <w:gridSpan w:val="25"/>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Exhibits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SIGNATURES</w:t>
              </w:r>
            </w:hyperlink>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17"/>
          </w:tcPr>
          <w:p>
            <w:pPr>
              <w:jc w:val="center"/>
              <w:ind w:left="3562"/>
              <w:spacing w:after="0"/>
              <w:rPr>
                <w:sz w:val="20"/>
                <w:szCs w:val="20"/>
                <w:color w:val="auto"/>
              </w:rPr>
            </w:pPr>
            <w:r>
              <w:rPr>
                <w:rFonts w:ascii="Arial" w:cs="Arial" w:eastAsia="Arial" w:hAnsi="Arial"/>
                <w:sz w:val="16"/>
                <w:szCs w:val="16"/>
                <w:color w:val="auto"/>
                <w:w w:val="98"/>
              </w:rPr>
              <w:t>- 2 -</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34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48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580" w:type="dxa"/>
            <w:vAlign w:val="bottom"/>
            <w:tcBorders>
              <w:bottom w:val="single" w:sz="8" w:color="EEEEEE"/>
            </w:tcBorders>
          </w:tcPr>
          <w:p>
            <w:pPr>
              <w:spacing w:after="0"/>
              <w:rPr>
                <w:sz w:val="8"/>
                <w:szCs w:val="8"/>
                <w:color w:val="auto"/>
              </w:rPr>
            </w:pPr>
          </w:p>
        </w:tc>
        <w:tc>
          <w:tcPr>
            <w:tcW w:w="4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580" w:type="dxa"/>
            <w:vAlign w:val="bottom"/>
            <w:tcBorders>
              <w:bottom w:val="single" w:sz="8" w:color="EEEEEE"/>
            </w:tcBorders>
          </w:tcPr>
          <w:p>
            <w:pPr>
              <w:spacing w:after="0"/>
              <w:rPr>
                <w:sz w:val="8"/>
                <w:szCs w:val="8"/>
                <w:color w:val="auto"/>
              </w:rPr>
            </w:pPr>
          </w:p>
        </w:tc>
        <w:tc>
          <w:tcPr>
            <w:tcW w:w="48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440" w:type="dxa"/>
            <w:vAlign w:val="bottom"/>
            <w:tcBorders>
              <w:bottom w:val="single" w:sz="8" w:color="EEEEEE"/>
            </w:tcBorders>
          </w:tcPr>
          <w:p>
            <w:pPr>
              <w:spacing w:after="0"/>
              <w:rPr>
                <w:sz w:val="8"/>
                <w:szCs w:val="8"/>
                <w:color w:val="auto"/>
              </w:rPr>
            </w:pPr>
          </w:p>
        </w:tc>
        <w:tc>
          <w:tcPr>
            <w:tcW w:w="40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580" w:type="dxa"/>
            <w:vAlign w:val="bottom"/>
            <w:tcBorders>
              <w:bottom w:val="single" w:sz="8" w:color="EEEEEE"/>
            </w:tcBorders>
          </w:tcPr>
          <w:p>
            <w:pPr>
              <w:spacing w:after="0"/>
              <w:rPr>
                <w:sz w:val="8"/>
                <w:szCs w:val="8"/>
                <w:color w:val="auto"/>
              </w:rPr>
            </w:pPr>
          </w:p>
        </w:tc>
        <w:tc>
          <w:tcPr>
            <w:tcW w:w="7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-4153535</wp:posOffset>
            </wp:positionV>
            <wp:extent cx="30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-3932555</wp:posOffset>
            </wp:positionV>
            <wp:extent cx="304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40" w:orient="portrait"/>
          <w:cols w:equalWidth="0" w:num="1">
            <w:col w:w="10560"/>
          </w:cols>
          <w:pgMar w:left="660" w:top="722" w:right="68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PART I. FINANCIAL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0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M&amp;T BANK CORPORATION AND SUBSIDIARIES</w:t>
      </w:r>
    </w:p>
    <w:p>
      <w:pPr>
        <w:spacing w:after="0" w:line="10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CONSOLIDATED BALANCE SHEET (Unaudited)</w:t>
      </w:r>
    </w:p>
    <w:p>
      <w:pPr>
        <w:sectPr>
          <w:pgSz w:w="11900" w:h="16840" w:orient="portrait"/>
          <w:cols w:equalWidth="0" w:num="1">
            <w:col w:w="10560"/>
          </w:cols>
          <w:pgMar w:left="660" w:top="743" w:right="680" w:bottom="1440" w:gutter="0" w:footer="0" w:header="0"/>
        </w:sect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(Dollars in thousands, except per share)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March 31,</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December 31,</w:t>
      </w:r>
    </w:p>
    <w:p>
      <w:pPr>
        <w:spacing w:after="0" w:line="34"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2022</w:t>
      </w:r>
    </w:p>
    <w:p>
      <w:pPr>
        <w:spacing w:after="0" w:line="31" w:lineRule="exact"/>
        <w:rPr>
          <w:sz w:val="20"/>
          <w:szCs w:val="20"/>
          <w:color w:val="auto"/>
        </w:rPr>
      </w:pPr>
    </w:p>
    <w:p>
      <w:pPr>
        <w:sectPr>
          <w:pgSz w:w="11900" w:h="16840" w:orient="portrait"/>
          <w:cols w:equalWidth="0" w:num="3">
            <w:col w:w="7240" w:space="720"/>
            <w:col w:w="740" w:space="720"/>
            <w:col w:w="1140"/>
          </w:cols>
          <w:pgMar w:left="660" w:top="743" w:right="680"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ind w:left="20"/>
              <w:spacing w:after="0"/>
              <w:rPr>
                <w:sz w:val="20"/>
                <w:szCs w:val="20"/>
                <w:color w:val="auto"/>
              </w:rPr>
            </w:pPr>
            <w:r>
              <w:rPr>
                <w:rFonts w:ascii="Arial" w:cs="Arial" w:eastAsia="Arial" w:hAnsi="Arial"/>
                <w:sz w:val="13"/>
                <w:szCs w:val="13"/>
                <w:color w:val="auto"/>
              </w:rPr>
              <w:t>Cash and due from banks</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1,817,740</w:t>
            </w:r>
          </w:p>
        </w:tc>
        <w:tc>
          <w:tcPr>
            <w:tcW w:w="1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1,517,244</w:t>
            </w:r>
          </w:p>
        </w:tc>
        <w:tc>
          <w:tcPr>
            <w:tcW w:w="80" w:type="dxa"/>
            <w:vAlign w:val="bottom"/>
          </w:tcPr>
          <w:p>
            <w:pPr>
              <w:spacing w:after="0"/>
              <w:rPr>
                <w:sz w:val="14"/>
                <w:szCs w:val="14"/>
                <w:color w:val="auto"/>
              </w:rPr>
            </w:pPr>
          </w:p>
        </w:tc>
      </w:tr>
      <w:tr>
        <w:trPr>
          <w:trHeight w:val="184"/>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Interest-bearing deposits at banks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22,306,425</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24,958,719</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Federal funds sold</w:t>
            </w:r>
          </w:p>
        </w:tc>
        <w:tc>
          <w:tcPr>
            <w:tcW w:w="3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3,000</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Trading account</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165,216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117,847</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Investment securities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76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Available for sale (cost: $11,393,916 at March 31, 2023;</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76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$11,193,152 at December 31, 2022)</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11,038,922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10,748,961</w:t>
            </w:r>
          </w:p>
        </w:tc>
        <w:tc>
          <w:tcPr>
            <w:tcW w:w="80" w:type="dxa"/>
            <w:vAlign w:val="bottom"/>
            <w:shd w:val="clear" w:color="auto" w:fill="CFF0FC"/>
          </w:tcPr>
          <w:p>
            <w:pPr>
              <w:spacing w:after="0"/>
              <w:rPr>
                <w:sz w:val="15"/>
                <w:szCs w:val="15"/>
                <w:color w:val="auto"/>
              </w:rPr>
            </w:pPr>
          </w:p>
        </w:tc>
      </w:tr>
      <w:tr>
        <w:trPr>
          <w:trHeight w:val="161"/>
        </w:trPr>
        <w:tc>
          <w:tcPr>
            <w:tcW w:w="7620" w:type="dxa"/>
            <w:vAlign w:val="bottom"/>
          </w:tcPr>
          <w:p>
            <w:pPr>
              <w:ind w:left="180"/>
              <w:spacing w:after="0"/>
              <w:rPr>
                <w:sz w:val="20"/>
                <w:szCs w:val="20"/>
                <w:color w:val="auto"/>
              </w:rPr>
            </w:pPr>
            <w:r>
              <w:rPr>
                <w:rFonts w:ascii="Arial" w:cs="Arial" w:eastAsia="Arial" w:hAnsi="Arial"/>
                <w:sz w:val="13"/>
                <w:szCs w:val="13"/>
                <w:color w:val="auto"/>
              </w:rPr>
              <w:t>Held to maturity (fair value: $15,204,461 at March 31, 2023;</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7620" w:type="dxa"/>
            <w:vAlign w:val="bottom"/>
          </w:tcPr>
          <w:p>
            <w:pPr>
              <w:ind w:left="280"/>
              <w:spacing w:after="0"/>
              <w:rPr>
                <w:sz w:val="20"/>
                <w:szCs w:val="20"/>
                <w:color w:val="auto"/>
              </w:rPr>
            </w:pPr>
            <w:r>
              <w:rPr>
                <w:rFonts w:ascii="Arial" w:cs="Arial" w:eastAsia="Arial" w:hAnsi="Arial"/>
                <w:sz w:val="13"/>
                <w:szCs w:val="13"/>
                <w:color w:val="auto"/>
              </w:rPr>
              <w:t>$12,375,420 at December 31, 2022)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16,201,571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13,529,969</w:t>
            </w:r>
          </w:p>
        </w:tc>
        <w:tc>
          <w:tcPr>
            <w:tcW w:w="80" w:type="dxa"/>
            <w:vAlign w:val="bottom"/>
          </w:tcPr>
          <w:p>
            <w:pPr>
              <w:spacing w:after="0"/>
              <w:rPr>
                <w:sz w:val="14"/>
                <w:szCs w:val="14"/>
                <w:color w:val="auto"/>
              </w:rPr>
            </w:pPr>
          </w:p>
        </w:tc>
      </w:tr>
      <w:tr>
        <w:trPr>
          <w:trHeight w:val="166"/>
        </w:trPr>
        <w:tc>
          <w:tcPr>
            <w:tcW w:w="76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Equity and other securities (cost: $1,204,957 at March 31, 2023;</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76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$933,766 at December 31, 2022)</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1,202,716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931,941</w:t>
            </w:r>
          </w:p>
        </w:tc>
        <w:tc>
          <w:tcPr>
            <w:tcW w:w="80" w:type="dxa"/>
            <w:vAlign w:val="bottom"/>
            <w:shd w:val="clear" w:color="auto" w:fill="CFF0FC"/>
          </w:tcPr>
          <w:p>
            <w:pPr>
              <w:spacing w:after="0"/>
              <w:rPr>
                <w:sz w:val="15"/>
                <w:szCs w:val="15"/>
                <w:color w:val="auto"/>
              </w:rPr>
            </w:pPr>
          </w:p>
        </w:tc>
      </w:tr>
      <w:tr>
        <w:trPr>
          <w:trHeight w:val="175"/>
        </w:trPr>
        <w:tc>
          <w:tcPr>
            <w:tcW w:w="7620" w:type="dxa"/>
            <w:vAlign w:val="bottom"/>
          </w:tcPr>
          <w:p>
            <w:pPr>
              <w:ind w:left="340"/>
              <w:spacing w:after="0"/>
              <w:rPr>
                <w:sz w:val="20"/>
                <w:szCs w:val="20"/>
                <w:color w:val="auto"/>
              </w:rPr>
            </w:pPr>
            <w:r>
              <w:rPr>
                <w:rFonts w:ascii="Arial" w:cs="Arial" w:eastAsia="Arial" w:hAnsi="Arial"/>
                <w:sz w:val="13"/>
                <w:szCs w:val="13"/>
                <w:color w:val="auto"/>
              </w:rPr>
              <w:t>Total investment securities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28,443,209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25,210,871</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Loans and leases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133,531,052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132,074,156</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180"/>
              <w:spacing w:after="0"/>
              <w:rPr>
                <w:sz w:val="20"/>
                <w:szCs w:val="20"/>
                <w:color w:val="auto"/>
              </w:rPr>
            </w:pPr>
            <w:r>
              <w:rPr>
                <w:rFonts w:ascii="Arial" w:cs="Arial" w:eastAsia="Arial" w:hAnsi="Arial"/>
                <w:sz w:val="13"/>
                <w:szCs w:val="13"/>
                <w:color w:val="auto"/>
              </w:rPr>
              <w:t>Unearned discount</w:t>
            </w:r>
          </w:p>
        </w:tc>
        <w:tc>
          <w:tcPr>
            <w:tcW w:w="30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(593,360 )</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(509,993 )</w:t>
            </w:r>
          </w:p>
        </w:tc>
      </w:tr>
      <w:tr>
        <w:trPr>
          <w:trHeight w:val="185"/>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132,937,692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131,564,163</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180"/>
              <w:spacing w:after="0"/>
              <w:rPr>
                <w:sz w:val="20"/>
                <w:szCs w:val="20"/>
                <w:color w:val="auto"/>
              </w:rPr>
            </w:pPr>
            <w:r>
              <w:rPr>
                <w:rFonts w:ascii="Arial" w:cs="Arial" w:eastAsia="Arial" w:hAnsi="Arial"/>
                <w:sz w:val="13"/>
                <w:szCs w:val="13"/>
                <w:color w:val="auto"/>
              </w:rPr>
              <w:t>Allowance for credit losses</w:t>
            </w:r>
          </w:p>
        </w:tc>
        <w:tc>
          <w:tcPr>
            <w:tcW w:w="30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(1,975,110 )</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(1,925,331 )</w:t>
            </w:r>
          </w:p>
        </w:tc>
      </w:tr>
      <w:tr>
        <w:trPr>
          <w:trHeight w:val="185"/>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130,962,582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129,638,832</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Premises and equipment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1,664,021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1,653,628</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Goodwill</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8,490,089</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8,490,089</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Core deposit and other intangible assets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192,166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209,374</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Accrued interest and other assets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8,914,959</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8,930,237</w:t>
            </w:r>
          </w:p>
        </w:tc>
        <w:tc>
          <w:tcPr>
            <w:tcW w:w="80" w:type="dxa"/>
            <w:vAlign w:val="bottom"/>
            <w:shd w:val="clear" w:color="auto" w:fill="CFF0FC"/>
          </w:tcPr>
          <w:p>
            <w:pPr>
              <w:spacing w:after="0"/>
              <w:rPr>
                <w:sz w:val="16"/>
                <w:szCs w:val="16"/>
                <w:color w:val="auto"/>
              </w:rPr>
            </w:pPr>
          </w:p>
        </w:tc>
      </w:tr>
      <w:tr>
        <w:trPr>
          <w:trHeight w:val="180"/>
        </w:trPr>
        <w:tc>
          <w:tcPr>
            <w:tcW w:w="7620" w:type="dxa"/>
            <w:vAlign w:val="bottom"/>
          </w:tcPr>
          <w:p>
            <w:pPr>
              <w:ind w:left="340"/>
              <w:spacing w:after="0"/>
              <w:rPr>
                <w:sz w:val="20"/>
                <w:szCs w:val="20"/>
                <w:color w:val="auto"/>
              </w:rPr>
            </w:pPr>
            <w:r>
              <w:rPr>
                <w:rFonts w:ascii="Arial" w:cs="Arial" w:eastAsia="Arial" w:hAnsi="Arial"/>
                <w:sz w:val="13"/>
                <w:szCs w:val="13"/>
                <w:color w:val="auto"/>
              </w:rPr>
              <w:t>Total assets</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202,956,407</w:t>
            </w:r>
          </w:p>
        </w:tc>
        <w:tc>
          <w:tcPr>
            <w:tcW w:w="12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200,729,841</w:t>
            </w:r>
          </w:p>
        </w:tc>
        <w:tc>
          <w:tcPr>
            <w:tcW w:w="80" w:type="dxa"/>
            <w:vAlign w:val="bottom"/>
          </w:tcPr>
          <w:p>
            <w:pPr>
              <w:spacing w:after="0"/>
              <w:rPr>
                <w:sz w:val="15"/>
                <w:szCs w:val="15"/>
                <w:color w:val="auto"/>
              </w:rPr>
            </w:pPr>
          </w:p>
        </w:tc>
      </w:tr>
      <w:tr>
        <w:trPr>
          <w:trHeight w:val="20"/>
        </w:trPr>
        <w:tc>
          <w:tcPr>
            <w:tcW w:w="7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4"/>
          <w:szCs w:val="14"/>
          <w:b w:val="1"/>
          <w:bCs w:val="1"/>
          <w:color w:val="auto"/>
        </w:rPr>
        <w:t>Liabilities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80" w:type="dxa"/>
            <w:vAlign w:val="bottom"/>
          </w:tcPr>
          <w:p>
            <w:pPr>
              <w:ind w:left="20"/>
              <w:spacing w:after="0"/>
              <w:rPr>
                <w:sz w:val="20"/>
                <w:szCs w:val="20"/>
                <w:color w:val="auto"/>
              </w:rPr>
            </w:pPr>
            <w:r>
              <w:rPr>
                <w:rFonts w:ascii="Arial" w:cs="Arial" w:eastAsia="Arial" w:hAnsi="Arial"/>
                <w:sz w:val="13"/>
                <w:szCs w:val="13"/>
                <w:color w:val="auto"/>
              </w:rPr>
              <w:t>Noninterest-bearing deposits</w:t>
            </w:r>
          </w:p>
        </w:tc>
        <w:tc>
          <w:tcPr>
            <w:tcW w:w="29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59,955,033</w:t>
            </w:r>
          </w:p>
        </w:tc>
        <w:tc>
          <w:tcPr>
            <w:tcW w:w="4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65,501,860</w:t>
            </w:r>
          </w:p>
        </w:tc>
      </w:tr>
      <w:tr>
        <w:trPr>
          <w:trHeight w:val="180"/>
        </w:trPr>
        <w:tc>
          <w:tcPr>
            <w:tcW w:w="4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Savings and interest-checking deposits</w:t>
            </w:r>
          </w:p>
        </w:tc>
        <w:tc>
          <w:tcPr>
            <w:tcW w:w="29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86,282,685</w:t>
            </w: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87,911,463</w:t>
            </w:r>
          </w:p>
        </w:tc>
      </w:tr>
      <w:tr>
        <w:trPr>
          <w:trHeight w:val="175"/>
        </w:trPr>
        <w:tc>
          <w:tcPr>
            <w:tcW w:w="4980" w:type="dxa"/>
            <w:vAlign w:val="bottom"/>
          </w:tcPr>
          <w:p>
            <w:pPr>
              <w:ind w:left="20"/>
              <w:spacing w:after="0"/>
              <w:rPr>
                <w:sz w:val="20"/>
                <w:szCs w:val="20"/>
                <w:color w:val="auto"/>
              </w:rPr>
            </w:pPr>
            <w:r>
              <w:rPr>
                <w:rFonts w:ascii="Arial" w:cs="Arial" w:eastAsia="Arial" w:hAnsi="Arial"/>
                <w:sz w:val="13"/>
                <w:szCs w:val="13"/>
                <w:color w:val="auto"/>
              </w:rPr>
              <w:t>Time deposits</w:t>
            </w:r>
          </w:p>
        </w:tc>
        <w:tc>
          <w:tcPr>
            <w:tcW w:w="2940" w:type="dxa"/>
            <w:vAlign w:val="bottom"/>
          </w:tcPr>
          <w:p>
            <w:pPr>
              <w:spacing w:after="0"/>
              <w:rPr>
                <w:sz w:val="15"/>
                <w:szCs w:val="15"/>
                <w:color w:val="auto"/>
              </w:rPr>
            </w:pP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12,837,522</w:t>
            </w:r>
          </w:p>
        </w:tc>
        <w:tc>
          <w:tcPr>
            <w:tcW w:w="46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10,101,545</w:t>
            </w:r>
          </w:p>
        </w:tc>
      </w:tr>
      <w:tr>
        <w:trPr>
          <w:trHeight w:val="185"/>
        </w:trPr>
        <w:tc>
          <w:tcPr>
            <w:tcW w:w="49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deposits</w:t>
            </w:r>
          </w:p>
        </w:tc>
        <w:tc>
          <w:tcPr>
            <w:tcW w:w="29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159,075,240</w:t>
            </w:r>
          </w:p>
        </w:tc>
        <w:tc>
          <w:tcPr>
            <w:tcW w:w="4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163,514,868</w:t>
            </w:r>
          </w:p>
        </w:tc>
      </w:tr>
      <w:tr>
        <w:trPr>
          <w:trHeight w:val="175"/>
        </w:trPr>
        <w:tc>
          <w:tcPr>
            <w:tcW w:w="4980" w:type="dxa"/>
            <w:vAlign w:val="bottom"/>
          </w:tcPr>
          <w:p>
            <w:pPr>
              <w:ind w:left="20"/>
              <w:spacing w:after="0"/>
              <w:rPr>
                <w:sz w:val="20"/>
                <w:szCs w:val="20"/>
                <w:color w:val="auto"/>
              </w:rPr>
            </w:pPr>
            <w:r>
              <w:rPr>
                <w:rFonts w:ascii="Arial" w:cs="Arial" w:eastAsia="Arial" w:hAnsi="Arial"/>
                <w:sz w:val="13"/>
                <w:szCs w:val="13"/>
                <w:color w:val="auto"/>
              </w:rPr>
              <w:t>Short-term borrowings</w:t>
            </w:r>
          </w:p>
        </w:tc>
        <w:tc>
          <w:tcPr>
            <w:tcW w:w="2940" w:type="dxa"/>
            <w:vAlign w:val="bottom"/>
          </w:tcPr>
          <w:p>
            <w:pPr>
              <w:spacing w:after="0"/>
              <w:rPr>
                <w:sz w:val="15"/>
                <w:szCs w:val="15"/>
                <w:color w:val="auto"/>
              </w:rPr>
            </w:pP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6,995,302</w:t>
            </w:r>
          </w:p>
        </w:tc>
        <w:tc>
          <w:tcPr>
            <w:tcW w:w="46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3,554,951</w:t>
            </w:r>
          </w:p>
        </w:tc>
      </w:tr>
      <w:tr>
        <w:trPr>
          <w:trHeight w:val="185"/>
        </w:trPr>
        <w:tc>
          <w:tcPr>
            <w:tcW w:w="4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Accrued interest and other liabilities</w:t>
            </w:r>
          </w:p>
        </w:tc>
        <w:tc>
          <w:tcPr>
            <w:tcW w:w="29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4,045,804</w:t>
            </w:r>
          </w:p>
        </w:tc>
        <w:tc>
          <w:tcPr>
            <w:tcW w:w="4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4,377,495</w:t>
            </w:r>
          </w:p>
        </w:tc>
      </w:tr>
      <w:tr>
        <w:trPr>
          <w:trHeight w:val="175"/>
        </w:trPr>
        <w:tc>
          <w:tcPr>
            <w:tcW w:w="4980" w:type="dxa"/>
            <w:vAlign w:val="bottom"/>
          </w:tcPr>
          <w:p>
            <w:pPr>
              <w:ind w:left="20"/>
              <w:spacing w:after="0"/>
              <w:rPr>
                <w:sz w:val="20"/>
                <w:szCs w:val="20"/>
                <w:color w:val="auto"/>
              </w:rPr>
            </w:pPr>
            <w:r>
              <w:rPr>
                <w:rFonts w:ascii="Arial" w:cs="Arial" w:eastAsia="Arial" w:hAnsi="Arial"/>
                <w:sz w:val="13"/>
                <w:szCs w:val="13"/>
                <w:color w:val="auto"/>
              </w:rPr>
              <w:t>Long-term borrowings</w:t>
            </w:r>
          </w:p>
        </w:tc>
        <w:tc>
          <w:tcPr>
            <w:tcW w:w="2940" w:type="dxa"/>
            <w:vAlign w:val="bottom"/>
          </w:tcPr>
          <w:p>
            <w:pPr>
              <w:spacing w:after="0"/>
              <w:rPr>
                <w:sz w:val="15"/>
                <w:szCs w:val="15"/>
                <w:color w:val="auto"/>
              </w:rPr>
            </w:pP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7,462,890</w:t>
            </w:r>
          </w:p>
        </w:tc>
        <w:tc>
          <w:tcPr>
            <w:tcW w:w="46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3,964,537</w:t>
            </w:r>
          </w:p>
        </w:tc>
      </w:tr>
      <w:tr>
        <w:trPr>
          <w:trHeight w:val="185"/>
        </w:trPr>
        <w:tc>
          <w:tcPr>
            <w:tcW w:w="49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liabilities</w:t>
            </w:r>
          </w:p>
        </w:tc>
        <w:tc>
          <w:tcPr>
            <w:tcW w:w="29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177,579,236</w:t>
            </w:r>
          </w:p>
        </w:tc>
        <w:tc>
          <w:tcPr>
            <w:tcW w:w="4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175,411,851</w:t>
            </w:r>
          </w:p>
        </w:tc>
      </w:tr>
    </w:tbl>
    <w:p>
      <w:pPr>
        <w:ind w:left="20"/>
        <w:spacing w:after="0"/>
        <w:rPr>
          <w:sz w:val="20"/>
          <w:szCs w:val="20"/>
          <w:color w:val="auto"/>
        </w:rPr>
      </w:pPr>
      <w:r>
        <w:rPr>
          <w:rFonts w:ascii="Arial" w:cs="Arial" w:eastAsia="Arial" w:hAnsi="Arial"/>
          <w:sz w:val="14"/>
          <w:szCs w:val="14"/>
          <w:b w:val="1"/>
          <w:bCs w:val="1"/>
          <w:color w:val="auto"/>
        </w:rPr>
        <w:t>Shareholders' equity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Preferred stock, $1.00 par, 20,000,000 shares authorized;</w:t>
            </w: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Issued and outstanding: Liquidation preference of $1,000 per share: 350,000</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shares at March 31, 2023 and December 31, 2022; Liquidation preference of</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$10,000 per share: 140,000 shares at March 31, 2023 and December 31, 2022; Liquidation</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preference of $25 per share: 10,000,000 shares at March 31, 2023 and December 31, 2022</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2,010,600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2,010,600</w:t>
            </w:r>
          </w:p>
        </w:tc>
        <w:tc>
          <w:tcPr>
            <w:tcW w:w="80" w:type="dxa"/>
            <w:vAlign w:val="bottom"/>
            <w:shd w:val="clear" w:color="auto" w:fill="CFF0FC"/>
          </w:tcPr>
          <w:p>
            <w:pPr>
              <w:spacing w:after="0"/>
              <w:rPr>
                <w:sz w:val="15"/>
                <w:szCs w:val="15"/>
                <w:color w:val="auto"/>
              </w:rPr>
            </w:pPr>
          </w:p>
        </w:tc>
      </w:tr>
      <w:tr>
        <w:trPr>
          <w:trHeight w:val="161"/>
        </w:trPr>
        <w:tc>
          <w:tcPr>
            <w:tcW w:w="7620" w:type="dxa"/>
            <w:vAlign w:val="bottom"/>
          </w:tcPr>
          <w:p>
            <w:pPr>
              <w:ind w:left="20"/>
              <w:spacing w:after="0"/>
              <w:rPr>
                <w:sz w:val="20"/>
                <w:szCs w:val="20"/>
                <w:color w:val="auto"/>
              </w:rPr>
            </w:pPr>
            <w:r>
              <w:rPr>
                <w:rFonts w:ascii="Arial" w:cs="Arial" w:eastAsia="Arial" w:hAnsi="Arial"/>
                <w:sz w:val="13"/>
                <w:szCs w:val="13"/>
                <w:color w:val="auto"/>
              </w:rPr>
              <w:t>Common stock, $.50 par, 250,000,000 shares authorized,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620" w:type="dxa"/>
            <w:vAlign w:val="bottom"/>
          </w:tcPr>
          <w:p>
            <w:pPr>
              <w:ind w:left="120"/>
              <w:spacing w:after="0"/>
              <w:rPr>
                <w:sz w:val="20"/>
                <w:szCs w:val="20"/>
                <w:color w:val="auto"/>
              </w:rPr>
            </w:pPr>
            <w:r>
              <w:rPr>
                <w:rFonts w:ascii="Arial" w:cs="Arial" w:eastAsia="Arial" w:hAnsi="Arial"/>
                <w:sz w:val="13"/>
                <w:szCs w:val="13"/>
                <w:color w:val="auto"/>
              </w:rPr>
              <w:t>179,436,779 shares issued at March 31, 2023 and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7620" w:type="dxa"/>
            <w:vAlign w:val="bottom"/>
          </w:tcPr>
          <w:p>
            <w:pPr>
              <w:ind w:left="120"/>
              <w:spacing w:after="0"/>
              <w:rPr>
                <w:sz w:val="20"/>
                <w:szCs w:val="20"/>
                <w:color w:val="auto"/>
              </w:rPr>
            </w:pPr>
            <w:r>
              <w:rPr>
                <w:rFonts w:ascii="Arial" w:cs="Arial" w:eastAsia="Arial" w:hAnsi="Arial"/>
                <w:sz w:val="13"/>
                <w:szCs w:val="13"/>
                <w:color w:val="auto"/>
              </w:rPr>
              <w:t>December 31, 2022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89,718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89,718</w:t>
            </w:r>
          </w:p>
        </w:tc>
        <w:tc>
          <w:tcPr>
            <w:tcW w:w="80" w:type="dxa"/>
            <w:vAlign w:val="bottom"/>
          </w:tcPr>
          <w:p>
            <w:pPr>
              <w:spacing w:after="0"/>
              <w:rPr>
                <w:sz w:val="14"/>
                <w:szCs w:val="14"/>
                <w:color w:val="auto"/>
              </w:rPr>
            </w:pPr>
          </w:p>
        </w:tc>
      </w:tr>
      <w:tr>
        <w:trPr>
          <w:trHeight w:val="166"/>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 issuable, 11,998 shares at March 31, 2023;</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14,031 shares at December 31, 2022</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w:t>
            </w:r>
          </w:p>
        </w:tc>
        <w:tc>
          <w:tcPr>
            <w:tcW w:w="80" w:type="dxa"/>
            <w:vAlign w:val="bottom"/>
            <w:shd w:val="clear" w:color="auto" w:fill="CFF0FC"/>
          </w:tcPr>
          <w:p>
            <w:pPr>
              <w:spacing w:after="0"/>
              <w:rPr>
                <w:sz w:val="15"/>
                <w:szCs w:val="15"/>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Additional paid-in capital</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9,986,325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10,002,891</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Retained earnings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16,212,095</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15,753,978</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Accumulated other comprehensive income (loss), net</w:t>
            </w:r>
          </w:p>
        </w:tc>
        <w:tc>
          <w:tcPr>
            <w:tcW w:w="30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(645,005 )</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(790,030 )</w:t>
            </w:r>
          </w:p>
        </w:tc>
      </w:tr>
      <w:tr>
        <w:trPr>
          <w:trHeight w:val="166"/>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Treasury stock — common, at cost — 13,583,874 shares at March 31, 2023;</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10,165,419 shares at December 31, 2022</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(2,277,519 )</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(1,750,279 )</w:t>
            </w:r>
          </w:p>
        </w:tc>
      </w:tr>
      <w:tr>
        <w:trPr>
          <w:trHeight w:val="175"/>
        </w:trPr>
        <w:tc>
          <w:tcPr>
            <w:tcW w:w="7620" w:type="dxa"/>
            <w:vAlign w:val="bottom"/>
          </w:tcPr>
          <w:p>
            <w:pPr>
              <w:ind w:left="340"/>
              <w:spacing w:after="0"/>
              <w:rPr>
                <w:sz w:val="20"/>
                <w:szCs w:val="20"/>
                <w:color w:val="auto"/>
              </w:rPr>
            </w:pPr>
            <w:r>
              <w:rPr>
                <w:rFonts w:ascii="Arial" w:cs="Arial" w:eastAsia="Arial" w:hAnsi="Arial"/>
                <w:sz w:val="13"/>
                <w:szCs w:val="13"/>
                <w:color w:val="auto"/>
              </w:rPr>
              <w:t>Total shareholders’ equity</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25,377,171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25,317,990</w:t>
            </w:r>
          </w:p>
        </w:tc>
        <w:tc>
          <w:tcPr>
            <w:tcW w:w="80" w:type="dxa"/>
            <w:vAlign w:val="bottom"/>
          </w:tcPr>
          <w:p>
            <w:pPr>
              <w:spacing w:after="0"/>
              <w:rPr>
                <w:sz w:val="15"/>
                <w:szCs w:val="15"/>
                <w:color w:val="auto"/>
              </w:rPr>
            </w:pPr>
          </w:p>
        </w:tc>
      </w:tr>
      <w:tr>
        <w:trPr>
          <w:trHeight w:val="225"/>
        </w:trPr>
        <w:tc>
          <w:tcPr>
            <w:tcW w:w="762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Total liabilities and shareholders’ equity</w:t>
            </w:r>
          </w:p>
        </w:tc>
        <w:tc>
          <w:tcPr>
            <w:tcW w:w="30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202,956,407</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200,729,841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ectPr>
          <w:pgSz w:w="11900" w:h="16840" w:orient="portrait"/>
          <w:cols w:equalWidth="0" w:num="1">
            <w:col w:w="10560"/>
          </w:cols>
          <w:pgMar w:left="660" w:top="743" w:right="680"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M&amp;T BANK CORPORATION AND SUBSIDIARIES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 OF INCOME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Three Months Ended March 31</w:t>
            </w: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 share)</w:t>
            </w:r>
          </w:p>
        </w:tc>
        <w:tc>
          <w:tcPr>
            <w:tcW w:w="280" w:type="dxa"/>
            <w:vAlign w:val="bottom"/>
          </w:tcPr>
          <w:p>
            <w:pPr>
              <w:spacing w:after="0"/>
              <w:rPr>
                <w:sz w:val="17"/>
                <w:szCs w:val="17"/>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Interest income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Loans and leases, including fees</w:t>
            </w:r>
          </w:p>
        </w:tc>
        <w:tc>
          <w:tcPr>
            <w:tcW w:w="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1,849,656</w:t>
            </w:r>
          </w:p>
        </w:tc>
        <w:tc>
          <w:tcPr>
            <w:tcW w:w="1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870,600</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Investment securities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Fully taxable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181,587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39,132</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180"/>
              <w:spacing w:after="0"/>
              <w:rPr>
                <w:sz w:val="20"/>
                <w:szCs w:val="20"/>
                <w:color w:val="auto"/>
              </w:rPr>
            </w:pPr>
            <w:r>
              <w:rPr>
                <w:rFonts w:ascii="Arial" w:cs="Arial" w:eastAsia="Arial" w:hAnsi="Arial"/>
                <w:sz w:val="16"/>
                <w:szCs w:val="16"/>
                <w:color w:val="auto"/>
              </w:rPr>
              <w:t>Exempt from federal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16,611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Deposits at banks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278,417</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18,280</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interest income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2,326,985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928,256</w:t>
            </w:r>
          </w:p>
        </w:tc>
        <w:tc>
          <w:tcPr>
            <w:tcW w:w="80" w:type="dxa"/>
            <w:vAlign w:val="bottom"/>
            <w:shd w:val="clear" w:color="auto" w:fill="CFF0FC"/>
          </w:tcPr>
          <w:p>
            <w:pPr>
              <w:spacing w:after="0"/>
              <w:rPr>
                <w:sz w:val="17"/>
                <w:szCs w:val="17"/>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Interest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Savings and interest-checking deposits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277,068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6,747</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89,197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1,397</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borrowings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57,776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Long-term borrowings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84,680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15,937</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interest expense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508,721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24,082</w:t>
            </w:r>
          </w:p>
        </w:tc>
        <w:tc>
          <w:tcPr>
            <w:tcW w:w="80" w:type="dxa"/>
            <w:vAlign w:val="bottom"/>
            <w:shd w:val="clear" w:color="auto" w:fill="CFF0FC"/>
          </w:tcPr>
          <w:p>
            <w:pPr>
              <w:spacing w:after="0"/>
              <w:rPr>
                <w:sz w:val="17"/>
                <w:szCs w:val="17"/>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i w:val="1"/>
                <w:iCs w:val="1"/>
                <w:color w:val="auto"/>
              </w:rPr>
              <w:t>Net interest income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1,818,264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904,174</w:t>
            </w:r>
          </w:p>
        </w:tc>
        <w:tc>
          <w:tcPr>
            <w:tcW w:w="80" w:type="dxa"/>
            <w:vAlign w:val="bottom"/>
          </w:tcPr>
          <w:p>
            <w:pPr>
              <w:spacing w:after="0"/>
              <w:rPr>
                <w:sz w:val="17"/>
                <w:szCs w:val="17"/>
                <w:color w:val="auto"/>
              </w:rPr>
            </w:pPr>
          </w:p>
        </w:tc>
      </w:tr>
      <w:tr>
        <w:trPr>
          <w:trHeight w:val="204"/>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Net interest income after provision for credit losses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1,698,264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894,174</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Other income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Mortgage banking revenues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84,985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109,148</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charges on deposit accounts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113,546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101,507</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Trust income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193,802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169,213</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Brokerage services income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24,041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20,190</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Trading account and other non-hedging derivative gains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5,369</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(loss) on bank investment securities</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(416 )</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(743 )</w:t>
            </w: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Other revenues from operations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136,203</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other income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587,133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540,887</w:t>
            </w:r>
          </w:p>
        </w:tc>
        <w:tc>
          <w:tcPr>
            <w:tcW w:w="80" w:type="dxa"/>
            <w:vAlign w:val="bottom"/>
            <w:shd w:val="clear" w:color="auto" w:fill="CFF0FC"/>
          </w:tcPr>
          <w:p>
            <w:pPr>
              <w:spacing w:after="0"/>
              <w:rPr>
                <w:sz w:val="17"/>
                <w:szCs w:val="17"/>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Other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Salaries and employee benefits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807,942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577,520</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Equipment and net occupancy</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126,904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85,812</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Outside data processing and software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105,780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79,719</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FDIC assessments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15,576</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Advertising and marketing</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31,063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16,024</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Printing, postage and supplies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10,150</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core deposit and other intangible assets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Other costs of operations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226,392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173,684</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other expense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1,359,230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959,741</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Income before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926,167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475,320</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224,543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113,146</w:t>
            </w:r>
          </w:p>
        </w:tc>
        <w:tc>
          <w:tcPr>
            <w:tcW w:w="80" w:type="dxa"/>
            <w:vAlign w:val="bottom"/>
            <w:shd w:val="clear" w:color="auto" w:fill="CFF0FC"/>
          </w:tcPr>
          <w:p>
            <w:pPr>
              <w:spacing w:after="0"/>
              <w:rPr>
                <w:sz w:val="17"/>
                <w:szCs w:val="17"/>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i w:val="1"/>
                <w:iCs w:val="1"/>
                <w:color w:val="auto"/>
              </w:rPr>
              <w:t>Net income</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701,624</w:t>
            </w:r>
          </w:p>
        </w:tc>
        <w:tc>
          <w:tcPr>
            <w:tcW w:w="1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362,174</w:t>
            </w:r>
          </w:p>
        </w:tc>
        <w:tc>
          <w:tcPr>
            <w:tcW w:w="8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6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Net income available to common shareholders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675,508</w:t>
            </w:r>
          </w:p>
        </w:tc>
        <w:tc>
          <w:tcPr>
            <w:tcW w:w="1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339,589</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675,511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339,590</w:t>
            </w:r>
          </w:p>
        </w:tc>
        <w:tc>
          <w:tcPr>
            <w:tcW w:w="80" w:type="dxa"/>
            <w:vAlign w:val="bottom"/>
            <w:shd w:val="clear" w:color="auto" w:fill="CFF0FC"/>
          </w:tcPr>
          <w:p>
            <w:pPr>
              <w:spacing w:after="0"/>
              <w:rPr>
                <w:sz w:val="17"/>
                <w:szCs w:val="17"/>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Average common shares outstanding</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00" w:type="dxa"/>
            <w:vAlign w:val="bottom"/>
          </w:tcPr>
          <w:p>
            <w:pPr>
              <w:ind w:left="3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167,732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128,945</w:t>
            </w:r>
          </w:p>
        </w:tc>
        <w:tc>
          <w:tcPr>
            <w:tcW w:w="80" w:type="dxa"/>
            <w:vAlign w:val="bottom"/>
          </w:tcPr>
          <w:p>
            <w:pPr>
              <w:spacing w:after="0"/>
              <w:rPr>
                <w:sz w:val="17"/>
                <w:szCs w:val="17"/>
                <w:color w:val="auto"/>
              </w:rPr>
            </w:pPr>
          </w:p>
        </w:tc>
      </w:tr>
      <w:tr>
        <w:trPr>
          <w:trHeight w:val="205"/>
        </w:trPr>
        <w:tc>
          <w:tcPr>
            <w:tcW w:w="7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168,410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129,416</w:t>
            </w:r>
          </w:p>
        </w:tc>
        <w:tc>
          <w:tcPr>
            <w:tcW w:w="80" w:type="dxa"/>
            <w:vAlign w:val="bottom"/>
            <w:shd w:val="clear" w:color="auto" w:fill="CFF0FC"/>
          </w:tcPr>
          <w:p>
            <w:pPr>
              <w:spacing w:after="0"/>
              <w:rPr>
                <w:sz w:val="17"/>
                <w:szCs w:val="17"/>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w:t>
      </w:r>
    </w:p>
    <w:p>
      <w:pPr>
        <w:sectPr>
          <w:pgSz w:w="11900" w:h="16840" w:orient="portrait"/>
          <w:cols w:equalWidth="0" w:num="1">
            <w:col w:w="10560"/>
          </w:cols>
          <w:pgMar w:left="660" w:top="743" w:right="68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M&amp;T BANK CORPORATION AND SUBSIDIARIES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Three Months Ended March 31</w:t>
            </w:r>
          </w:p>
        </w:tc>
      </w:tr>
      <w:tr>
        <w:trPr>
          <w:trHeight w:val="183"/>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5"/>
                <w:szCs w:val="15"/>
                <w:color w:val="auto"/>
              </w:rPr>
            </w:pPr>
          </w:p>
        </w:tc>
        <w:tc>
          <w:tcPr>
            <w:tcW w:w="940" w:type="dxa"/>
            <w:vAlign w:val="bottom"/>
          </w:tcPr>
          <w:p>
            <w:pPr>
              <w:jc w:val="right"/>
              <w:ind w:right="385"/>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0"/>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701,624</w:t>
            </w:r>
          </w:p>
        </w:tc>
        <w:tc>
          <w:tcPr>
            <w:tcW w:w="1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362,174</w:t>
            </w:r>
          </w:p>
        </w:tc>
        <w:tc>
          <w:tcPr>
            <w:tcW w:w="80" w:type="dxa"/>
            <w:vAlign w:val="bottom"/>
            <w:shd w:val="clear" w:color="auto" w:fill="CFF0FC"/>
          </w:tcPr>
          <w:p>
            <w:pPr>
              <w:spacing w:after="0"/>
              <w:rPr>
                <w:sz w:val="17"/>
                <w:szCs w:val="17"/>
                <w:color w:val="auto"/>
              </w:rPr>
            </w:pPr>
          </w:p>
        </w:tc>
      </w:tr>
      <w:tr>
        <w:trPr>
          <w:trHeight w:val="185"/>
        </w:trPr>
        <w:tc>
          <w:tcPr>
            <w:tcW w:w="77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7720" w:type="dxa"/>
            <w:vAlign w:val="bottom"/>
          </w:tcPr>
          <w:p>
            <w:pPr>
              <w:ind w:left="140"/>
              <w:spacing w:after="0"/>
              <w:rPr>
                <w:sz w:val="20"/>
                <w:szCs w:val="20"/>
                <w:color w:val="auto"/>
              </w:rPr>
            </w:pPr>
            <w:r>
              <w:rPr>
                <w:rFonts w:ascii="Arial" w:cs="Arial" w:eastAsia="Arial" w:hAnsi="Arial"/>
                <w:sz w:val="16"/>
                <w:szCs w:val="16"/>
                <w:color w:val="auto"/>
              </w:rPr>
              <w:t>reclassification adjustments: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unrealized gains (losses) on investment securities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65,140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(136,367 )</w:t>
            </w:r>
          </w:p>
        </w:tc>
      </w:tr>
      <w:tr>
        <w:trPr>
          <w:trHeight w:val="203"/>
        </w:trPr>
        <w:tc>
          <w:tcPr>
            <w:tcW w:w="7720" w:type="dxa"/>
            <w:vAlign w:val="bottom"/>
          </w:tcPr>
          <w:p>
            <w:pPr>
              <w:ind w:left="180"/>
              <w:spacing w:after="0"/>
              <w:rPr>
                <w:sz w:val="20"/>
                <w:szCs w:val="20"/>
                <w:color w:val="auto"/>
              </w:rPr>
            </w:pPr>
            <w:r>
              <w:rPr>
                <w:rFonts w:ascii="Arial" w:cs="Arial" w:eastAsia="Arial" w:hAnsi="Arial"/>
                <w:sz w:val="16"/>
                <w:szCs w:val="16"/>
                <w:color w:val="auto"/>
              </w:rPr>
              <w:t>Cash flow hedges adjustments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80,933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(114,061 )</w:t>
            </w:r>
          </w:p>
        </w:tc>
      </w:tr>
      <w:tr>
        <w:trPr>
          <w:trHeight w:val="205"/>
        </w:trPr>
        <w:tc>
          <w:tcPr>
            <w:tcW w:w="7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(1,648)</w:t>
            </w:r>
          </w:p>
        </w:tc>
      </w:tr>
      <w:tr>
        <w:trPr>
          <w:trHeight w:val="203"/>
        </w:trPr>
        <w:tc>
          <w:tcPr>
            <w:tcW w:w="7720" w:type="dxa"/>
            <w:vAlign w:val="bottom"/>
          </w:tcPr>
          <w:p>
            <w:pPr>
              <w:ind w:left="180"/>
              <w:spacing w:after="0"/>
              <w:rPr>
                <w:sz w:val="20"/>
                <w:szCs w:val="20"/>
                <w:color w:val="auto"/>
              </w:rPr>
            </w:pPr>
            <w:r>
              <w:rPr>
                <w:rFonts w:ascii="Arial" w:cs="Arial" w:eastAsia="Arial" w:hAnsi="Arial"/>
                <w:sz w:val="16"/>
                <w:szCs w:val="16"/>
                <w:color w:val="auto"/>
              </w:rPr>
              <w:t>Defined benefit plans liability adjustments</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(2,242)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2,269</w:t>
            </w:r>
          </w:p>
        </w:tc>
        <w:tc>
          <w:tcPr>
            <w:tcW w:w="80" w:type="dxa"/>
            <w:vAlign w:val="bottom"/>
          </w:tcPr>
          <w:p>
            <w:pPr>
              <w:spacing w:after="0"/>
              <w:rPr>
                <w:sz w:val="17"/>
                <w:szCs w:val="17"/>
                <w:color w:val="auto"/>
              </w:rPr>
            </w:pPr>
          </w:p>
        </w:tc>
      </w:tr>
      <w:tr>
        <w:trPr>
          <w:trHeight w:val="205"/>
        </w:trPr>
        <w:tc>
          <w:tcPr>
            <w:tcW w:w="77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145,025</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(249,807 )</w:t>
            </w:r>
          </w:p>
        </w:tc>
      </w:tr>
      <w:tr>
        <w:trPr>
          <w:trHeight w:val="203"/>
        </w:trPr>
        <w:tc>
          <w:tcPr>
            <w:tcW w:w="7720" w:type="dxa"/>
            <w:vAlign w:val="bottom"/>
          </w:tcPr>
          <w:p>
            <w:pPr>
              <w:ind w:left="340"/>
              <w:spacing w:after="0"/>
              <w:rPr>
                <w:sz w:val="20"/>
                <w:szCs w:val="20"/>
                <w:color w:val="auto"/>
              </w:rPr>
            </w:pPr>
            <w:r>
              <w:rPr>
                <w:rFonts w:ascii="Arial" w:cs="Arial" w:eastAsia="Arial" w:hAnsi="Arial"/>
                <w:sz w:val="16"/>
                <w:szCs w:val="16"/>
                <w:color w:val="auto"/>
              </w:rPr>
              <w:t>Total comprehensive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846,649</w:t>
            </w:r>
          </w:p>
        </w:tc>
        <w:tc>
          <w:tcPr>
            <w:tcW w:w="1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112,367</w:t>
            </w:r>
          </w:p>
        </w:tc>
        <w:tc>
          <w:tcPr>
            <w:tcW w:w="8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ectPr>
          <w:pgSz w:w="11900" w:h="16840" w:orient="portrait"/>
          <w:cols w:equalWidth="0" w:num="1">
            <w:col w:w="10560"/>
          </w:cols>
          <w:pgMar w:left="660" w:top="743" w:right="68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M&amp;T BANK CORPORATION AND SUBSIDIARIES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 OF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701,624</w:t>
            </w: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362,174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80"/>
              <w:spacing w:after="0"/>
              <w:rPr>
                <w:sz w:val="20"/>
                <w:szCs w:val="20"/>
                <w:color w:val="auto"/>
              </w:rPr>
            </w:pPr>
            <w:r>
              <w:rPr>
                <w:rFonts w:ascii="Arial" w:cs="Arial" w:eastAsia="Arial" w:hAnsi="Arial"/>
                <w:sz w:val="14"/>
                <w:szCs w:val="14"/>
                <w:color w:val="auto"/>
              </w:rPr>
              <w:t>Provision for credit losses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Depreciation and amortization of premises and equipment</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75,501</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80"/>
              <w:spacing w:after="0"/>
              <w:rPr>
                <w:sz w:val="20"/>
                <w:szCs w:val="20"/>
                <w:color w:val="auto"/>
              </w:rPr>
            </w:pPr>
            <w:r>
              <w:rPr>
                <w:rFonts w:ascii="Arial" w:cs="Arial" w:eastAsia="Arial" w:hAnsi="Arial"/>
                <w:sz w:val="14"/>
                <w:szCs w:val="14"/>
                <w:color w:val="auto"/>
              </w:rPr>
              <w:t>Amortization of capitalized servicing rights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Amortization of core deposit and other intangible assets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17,208</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80"/>
              <w:spacing w:after="0"/>
              <w:rPr>
                <w:sz w:val="20"/>
                <w:szCs w:val="20"/>
                <w:color w:val="auto"/>
              </w:rPr>
            </w:pPr>
            <w:r>
              <w:rPr>
                <w:rFonts w:ascii="Arial" w:cs="Arial" w:eastAsia="Arial" w:hAnsi="Arial"/>
                <w:sz w:val="14"/>
                <w:szCs w:val="14"/>
                <w:color w:val="auto"/>
              </w:rPr>
              <w:t>Provision for deferred income taxes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Asset write-downs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80"/>
              <w:spacing w:after="0"/>
              <w:rPr>
                <w:sz w:val="20"/>
                <w:szCs w:val="20"/>
                <w:color w:val="auto"/>
              </w:rPr>
            </w:pPr>
            <w:r>
              <w:rPr>
                <w:rFonts w:ascii="Arial" w:cs="Arial" w:eastAsia="Arial" w:hAnsi="Arial"/>
                <w:sz w:val="14"/>
                <w:szCs w:val="14"/>
                <w:color w:val="auto"/>
              </w:rPr>
              <w:t>Net gain on sales of assets</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(11,515 )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(4,768 )</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change in accrued interest receivable, payable</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54,789</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15,748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320" w:type="dxa"/>
            <w:vAlign w:val="bottom"/>
            <w:vMerge w:val="restart"/>
          </w:tcPr>
          <w:p>
            <w:pPr>
              <w:ind w:left="180"/>
              <w:spacing w:after="0"/>
              <w:rPr>
                <w:sz w:val="20"/>
                <w:szCs w:val="20"/>
                <w:color w:val="auto"/>
              </w:rPr>
            </w:pPr>
            <w:r>
              <w:rPr>
                <w:rFonts w:ascii="Arial" w:cs="Arial" w:eastAsia="Arial" w:hAnsi="Arial"/>
                <w:sz w:val="14"/>
                <w:szCs w:val="14"/>
                <w:color w:val="auto"/>
              </w:rPr>
              <w:t>Net change in other accrued income and expense</w:t>
            </w:r>
          </w:p>
        </w:tc>
        <w:tc>
          <w:tcPr>
            <w:tcW w:w="300" w:type="dxa"/>
            <w:vAlign w:val="bottom"/>
          </w:tcPr>
          <w:p>
            <w:pPr>
              <w:spacing w:after="0"/>
              <w:rPr>
                <w:sz w:val="12"/>
                <w:szCs w:val="12"/>
                <w:color w:val="auto"/>
              </w:rPr>
            </w:pPr>
          </w:p>
        </w:tc>
        <w:tc>
          <w:tcPr>
            <w:tcW w:w="120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(42,828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(99,163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change in loans originated for sale</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(274,222 )</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434,520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80"/>
              <w:spacing w:after="0"/>
              <w:rPr>
                <w:sz w:val="20"/>
                <w:szCs w:val="20"/>
                <w:color w:val="auto"/>
              </w:rPr>
            </w:pPr>
            <w:r>
              <w:rPr>
                <w:rFonts w:ascii="Arial" w:cs="Arial" w:eastAsia="Arial" w:hAnsi="Arial"/>
                <w:sz w:val="14"/>
                <w:szCs w:val="14"/>
                <w:color w:val="auto"/>
              </w:rPr>
              <w:t>Net change in trading account and other non-hedging derivative assets and liabilities</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(244,736 )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489,545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427,813</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1,295,770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sales of investment securities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80"/>
              <w:spacing w:after="0"/>
              <w:rPr>
                <w:sz w:val="20"/>
                <w:szCs w:val="20"/>
                <w:color w:val="auto"/>
              </w:rPr>
            </w:pPr>
            <w:r>
              <w:rPr>
                <w:rFonts w:ascii="Arial" w:cs="Arial" w:eastAsia="Arial" w:hAnsi="Arial"/>
                <w:sz w:val="14"/>
                <w:szCs w:val="14"/>
                <w:color w:val="auto"/>
              </w:rPr>
              <w:t>Equity and other securities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521,275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4,593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maturities of investment securities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180"/>
              <w:spacing w:after="0"/>
              <w:rPr>
                <w:sz w:val="20"/>
                <w:szCs w:val="20"/>
                <w:color w:val="auto"/>
              </w:rPr>
            </w:pPr>
            <w:r>
              <w:rPr>
                <w:rFonts w:ascii="Arial" w:cs="Arial" w:eastAsia="Arial" w:hAnsi="Arial"/>
                <w:sz w:val="14"/>
                <w:szCs w:val="14"/>
                <w:color w:val="auto"/>
              </w:rPr>
              <w:t>Available for sale</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141,173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220,320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Held to maturity</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281,245</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120,032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Purchases of investment securities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Available for sale</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(337,196 )</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(2,156,662 )</w:t>
            </w:r>
          </w:p>
        </w:tc>
        <w:tc>
          <w:tcPr>
            <w:tcW w:w="0" w:type="dxa"/>
            <w:vAlign w:val="bottom"/>
          </w:tcPr>
          <w:p>
            <w:pPr>
              <w:spacing w:after="0"/>
              <w:rPr>
                <w:sz w:val="1"/>
                <w:szCs w:val="1"/>
                <w:color w:val="auto"/>
              </w:rPr>
            </w:pPr>
          </w:p>
        </w:tc>
      </w:tr>
      <w:tr>
        <w:trPr>
          <w:trHeight w:val="189"/>
        </w:trPr>
        <w:tc>
          <w:tcPr>
            <w:tcW w:w="7320" w:type="dxa"/>
            <w:vAlign w:val="bottom"/>
          </w:tcPr>
          <w:p>
            <w:pPr>
              <w:ind w:left="180"/>
              <w:spacing w:after="0"/>
              <w:rPr>
                <w:sz w:val="20"/>
                <w:szCs w:val="20"/>
                <w:color w:val="auto"/>
              </w:rPr>
            </w:pPr>
            <w:r>
              <w:rPr>
                <w:rFonts w:ascii="Arial" w:cs="Arial" w:eastAsia="Arial" w:hAnsi="Arial"/>
                <w:sz w:val="14"/>
                <w:szCs w:val="14"/>
                <w:color w:val="auto"/>
              </w:rPr>
              <w:t>Held to maturity</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(2,947,627 )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(566,119 )</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Equity and other securities</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(792,465 )</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(10,966 )</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Net (increase) decrease in loans and leases</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(1,166,228 )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637,624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 interest-bearing deposits at banks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2,652,294</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5,846,922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Capital expenditures, net</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(55,411 )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(27,910 )</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 loan servicing advances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206,668</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342,947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Other, net</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(251,440 )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(215,201 )</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cash provided (used) by investing activities</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(1,747,712 )</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4,195,580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 deposits</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(4,440,810 )</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(5,224,696 )</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Net increase in short-term borrowings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3,440,351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long-term borrowings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3,485,675</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Payments on long-term borrowings</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(96 )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treasury stock</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(594,000 )</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Dividends paid — common</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(220,517 )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(156,657 )</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Dividends paid — preferred</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(33,554 )</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(30,718 )</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Other, net</w:t>
            </w:r>
          </w:p>
        </w:tc>
        <w:tc>
          <w:tcPr>
            <w:tcW w:w="30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(19,654 )</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(8,608 )</w:t>
            </w: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cash provided (used) by financing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1,617,395</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(5,417,467 )</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297,496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73,883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1,520,244</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1,337,577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1,817,740</w:t>
            </w: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1,411,460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Interest received during the period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2,289,226</w:t>
            </w: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978,682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paid during the period</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410,419</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40,683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Income taxes paid during the period</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33,638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Real estate acquired in settlement of loans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7,088</w:t>
            </w: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4,598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Additions to right-of-use assets under operating leases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30,536</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- 6 -</w:t>
      </w:r>
    </w:p>
    <w:p>
      <w:pPr>
        <w:sectPr>
          <w:pgSz w:w="11900" w:h="16840" w:orient="portrait"/>
          <w:cols w:equalWidth="0" w:num="1">
            <w:col w:w="10560"/>
          </w:cols>
          <w:pgMar w:left="660" w:top="743"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M&amp;T BANK CORPORATION AND SUBSIDIARIES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9"/>
              </w:rPr>
              <w:t>Comprehensiv</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b w:val="1"/>
                <w:bCs w:val="1"/>
                <w:color w:val="auto"/>
              </w:rPr>
              <w:t>Preferred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2600" w:type="dxa"/>
            <w:vAlign w:val="bottom"/>
            <w:gridSpan w:val="3"/>
          </w:tcPr>
          <w:p>
            <w:pPr>
              <w:ind w:left="20"/>
              <w:spacing w:after="0"/>
              <w:rPr>
                <w:sz w:val="20"/>
                <w:szCs w:val="20"/>
                <w:color w:val="auto"/>
              </w:rPr>
            </w:pPr>
            <w:r>
              <w:rPr>
                <w:rFonts w:ascii="Arial" w:cs="Arial" w:eastAsia="Arial" w:hAnsi="Arial"/>
                <w:sz w:val="11"/>
                <w:szCs w:val="11"/>
                <w:b w:val="1"/>
                <w:bCs w:val="1"/>
                <w:color w:val="auto"/>
              </w:rPr>
              <w:t>Dollars in thousands, except per share</w:t>
            </w:r>
          </w:p>
        </w:tc>
        <w:tc>
          <w:tcPr>
            <w:tcW w:w="12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Issuable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(Loss), Net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w:t>
            </w:r>
          </w:p>
        </w:tc>
      </w:tr>
      <w:tr>
        <w:trPr>
          <w:trHeight w:val="24"/>
        </w:trPr>
        <w:tc>
          <w:tcPr>
            <w:tcW w:w="2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00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2023</w:t>
            </w: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2600" w:type="dxa"/>
            <w:vAlign w:val="bottom"/>
            <w:gridSpan w:val="3"/>
          </w:tcPr>
          <w:p>
            <w:pPr>
              <w:ind w:left="20"/>
              <w:spacing w:after="0"/>
              <w:rPr>
                <w:sz w:val="20"/>
                <w:szCs w:val="20"/>
                <w:color w:val="auto"/>
              </w:rPr>
            </w:pPr>
            <w:r>
              <w:rPr>
                <w:rFonts w:ascii="Arial" w:cs="Arial" w:eastAsia="Arial" w:hAnsi="Arial"/>
                <w:sz w:val="11"/>
                <w:szCs w:val="11"/>
                <w:color w:val="auto"/>
              </w:rPr>
              <w:t>Balance — January 1, 2023</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2,010,600</w:t>
            </w: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89,718</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1,112</w:t>
            </w:r>
          </w:p>
        </w:tc>
        <w:tc>
          <w:tcPr>
            <w:tcW w:w="12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10,002,891</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15,753,978</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(790,030 )</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(1,750,279 )</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25,317,990</w:t>
            </w:r>
          </w:p>
        </w:tc>
        <w:tc>
          <w:tcPr>
            <w:tcW w:w="80" w:type="dxa"/>
            <w:vAlign w:val="bottom"/>
          </w:tcPr>
          <w:p>
            <w:pPr>
              <w:spacing w:after="0"/>
              <w:rPr>
                <w:sz w:val="13"/>
                <w:szCs w:val="13"/>
                <w:color w:val="auto"/>
              </w:rPr>
            </w:pPr>
          </w:p>
        </w:tc>
      </w:tr>
      <w:tr>
        <w:trPr>
          <w:trHeight w:val="158"/>
        </w:trPr>
        <w:tc>
          <w:tcPr>
            <w:tcW w:w="26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Total comprehensive income</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701,624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145,025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846,649</w:t>
            </w:r>
          </w:p>
        </w:tc>
        <w:tc>
          <w:tcPr>
            <w:tcW w:w="80" w:type="dxa"/>
            <w:vAlign w:val="bottom"/>
            <w:shd w:val="clear" w:color="auto" w:fill="CFF0FC"/>
          </w:tcPr>
          <w:p>
            <w:pPr>
              <w:spacing w:after="0"/>
              <w:rPr>
                <w:sz w:val="13"/>
                <w:szCs w:val="13"/>
                <w:color w:val="auto"/>
              </w:rPr>
            </w:pPr>
          </w:p>
        </w:tc>
      </w:tr>
      <w:tr>
        <w:trPr>
          <w:trHeight w:val="154"/>
        </w:trPr>
        <w:tc>
          <w:tcPr>
            <w:tcW w:w="2600" w:type="dxa"/>
            <w:vAlign w:val="bottom"/>
            <w:gridSpan w:val="3"/>
          </w:tcPr>
          <w:p>
            <w:pPr>
              <w:ind w:left="20"/>
              <w:spacing w:after="0"/>
              <w:rPr>
                <w:sz w:val="20"/>
                <w:szCs w:val="20"/>
                <w:color w:val="auto"/>
              </w:rPr>
            </w:pPr>
            <w:r>
              <w:rPr>
                <w:rFonts w:ascii="Arial" w:cs="Arial" w:eastAsia="Arial" w:hAnsi="Arial"/>
                <w:sz w:val="11"/>
                <w:szCs w:val="11"/>
                <w:color w:val="auto"/>
              </w:rPr>
              <w:t>Preferred stock cash dividends (a)</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(24,941 )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(24,941 )</w:t>
            </w:r>
          </w:p>
        </w:tc>
      </w:tr>
      <w:tr>
        <w:trPr>
          <w:trHeight w:val="158"/>
        </w:trPr>
        <w:tc>
          <w:tcPr>
            <w:tcW w:w="26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Purchases of treasury stock (b)</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(599,940 )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(599,940 )</w:t>
            </w:r>
          </w:p>
        </w:tc>
      </w:tr>
      <w:tr>
        <w:trPr>
          <w:trHeight w:val="146"/>
        </w:trPr>
        <w:tc>
          <w:tcPr>
            <w:tcW w:w="2600" w:type="dxa"/>
            <w:vAlign w:val="bottom"/>
            <w:gridSpan w:val="3"/>
          </w:tcPr>
          <w:p>
            <w:pPr>
              <w:ind w:left="20"/>
              <w:spacing w:after="0"/>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580" w:type="dxa"/>
            <w:vAlign w:val="bottom"/>
            <w:gridSpan w:val="2"/>
          </w:tcPr>
          <w:p>
            <w:pPr>
              <w:ind w:left="80"/>
              <w:spacing w:after="0"/>
              <w:rPr>
                <w:sz w:val="20"/>
                <w:szCs w:val="20"/>
                <w:color w:val="auto"/>
              </w:rPr>
            </w:pPr>
            <w:r>
              <w:rPr>
                <w:rFonts w:ascii="Arial" w:cs="Arial" w:eastAsia="Arial" w:hAnsi="Arial"/>
                <w:sz w:val="11"/>
                <w:szCs w:val="11"/>
                <w:color w:val="auto"/>
              </w:rPr>
              <w:t>transactions, net (b)</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(155 )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(16,566 )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(471 )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72,700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55,508</w:t>
            </w:r>
          </w:p>
        </w:tc>
        <w:tc>
          <w:tcPr>
            <w:tcW w:w="80" w:type="dxa"/>
            <w:vAlign w:val="bottom"/>
          </w:tcPr>
          <w:p>
            <w:pPr>
              <w:spacing w:after="0"/>
              <w:rPr>
                <w:sz w:val="12"/>
                <w:szCs w:val="12"/>
                <w:color w:val="auto"/>
              </w:rPr>
            </w:pPr>
          </w:p>
        </w:tc>
      </w:tr>
      <w:tr>
        <w:trPr>
          <w:trHeight w:val="148"/>
        </w:trPr>
        <w:tc>
          <w:tcPr>
            <w:tcW w:w="26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Common stock cash dividends —</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$1.30 per share</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(218,095 )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(218,095 )</w:t>
            </w:r>
          </w:p>
        </w:tc>
      </w:tr>
      <w:tr>
        <w:trPr>
          <w:trHeight w:val="154"/>
        </w:trPr>
        <w:tc>
          <w:tcPr>
            <w:tcW w:w="2600" w:type="dxa"/>
            <w:vAlign w:val="bottom"/>
            <w:gridSpan w:val="3"/>
          </w:tcPr>
          <w:p>
            <w:pPr>
              <w:ind w:left="20"/>
              <w:spacing w:after="0"/>
              <w:rPr>
                <w:sz w:val="20"/>
                <w:szCs w:val="20"/>
                <w:color w:val="auto"/>
              </w:rPr>
            </w:pPr>
            <w:r>
              <w:rPr>
                <w:rFonts w:ascii="Arial" w:cs="Arial" w:eastAsia="Arial" w:hAnsi="Arial"/>
                <w:sz w:val="11"/>
                <w:szCs w:val="11"/>
                <w:color w:val="auto"/>
              </w:rPr>
              <w:t>Balance — March 31, 2023</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2,010,600</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89,718</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957</w:t>
            </w:r>
          </w:p>
        </w:tc>
        <w:tc>
          <w:tcPr>
            <w:tcW w:w="12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9,986,325</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16,212,095</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(645,005 )</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(2,277,519 )</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25,377,171</w:t>
            </w:r>
          </w:p>
        </w:tc>
        <w:tc>
          <w:tcPr>
            <w:tcW w:w="80" w:type="dxa"/>
            <w:vAlign w:val="bottom"/>
          </w:tcPr>
          <w:p>
            <w:pPr>
              <w:spacing w:after="0"/>
              <w:rPr>
                <w:sz w:val="13"/>
                <w:szCs w:val="13"/>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19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90"/>
        </w:trPr>
        <w:tc>
          <w:tcPr>
            <w:tcW w:w="200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2022</w:t>
            </w:r>
          </w:p>
        </w:tc>
        <w:tc>
          <w:tcPr>
            <w:tcW w:w="6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r>
      <w:tr>
        <w:trPr>
          <w:trHeight w:val="154"/>
        </w:trPr>
        <w:tc>
          <w:tcPr>
            <w:tcW w:w="2600" w:type="dxa"/>
            <w:vAlign w:val="bottom"/>
            <w:gridSpan w:val="3"/>
          </w:tcPr>
          <w:p>
            <w:pPr>
              <w:ind w:left="20"/>
              <w:spacing w:after="0"/>
              <w:rPr>
                <w:sz w:val="20"/>
                <w:szCs w:val="20"/>
                <w:color w:val="auto"/>
              </w:rPr>
            </w:pPr>
            <w:r>
              <w:rPr>
                <w:rFonts w:ascii="Arial" w:cs="Arial" w:eastAsia="Arial" w:hAnsi="Arial"/>
                <w:sz w:val="11"/>
                <w:szCs w:val="11"/>
                <w:color w:val="auto"/>
              </w:rPr>
              <w:t>Balance — January 1, 2022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1,750,000</w:t>
            </w: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79,871</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1,212</w:t>
            </w:r>
          </w:p>
        </w:tc>
        <w:tc>
          <w:tcPr>
            <w:tcW w:w="12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6,635,000</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14,646,448</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(127,578 )</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(5,081,548 )</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17,903,405</w:t>
            </w:r>
          </w:p>
        </w:tc>
        <w:tc>
          <w:tcPr>
            <w:tcW w:w="80" w:type="dxa"/>
            <w:vAlign w:val="bottom"/>
          </w:tcPr>
          <w:p>
            <w:pPr>
              <w:spacing w:after="0"/>
              <w:rPr>
                <w:sz w:val="13"/>
                <w:szCs w:val="13"/>
                <w:color w:val="auto"/>
              </w:rPr>
            </w:pPr>
          </w:p>
        </w:tc>
      </w:tr>
      <w:tr>
        <w:trPr>
          <w:trHeight w:val="158"/>
        </w:trPr>
        <w:tc>
          <w:tcPr>
            <w:tcW w:w="26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Total comprehensive income</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362,174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(249,807 )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112,367</w:t>
            </w:r>
          </w:p>
        </w:tc>
        <w:tc>
          <w:tcPr>
            <w:tcW w:w="80" w:type="dxa"/>
            <w:vAlign w:val="bottom"/>
            <w:shd w:val="clear" w:color="auto" w:fill="CFF0FC"/>
          </w:tcPr>
          <w:p>
            <w:pPr>
              <w:spacing w:after="0"/>
              <w:rPr>
                <w:sz w:val="13"/>
                <w:szCs w:val="13"/>
                <w:color w:val="auto"/>
              </w:rPr>
            </w:pPr>
          </w:p>
        </w:tc>
      </w:tr>
      <w:tr>
        <w:trPr>
          <w:trHeight w:val="154"/>
        </w:trPr>
        <w:tc>
          <w:tcPr>
            <w:tcW w:w="2600" w:type="dxa"/>
            <w:vAlign w:val="bottom"/>
            <w:gridSpan w:val="3"/>
          </w:tcPr>
          <w:p>
            <w:pPr>
              <w:ind w:left="20"/>
              <w:spacing w:after="0"/>
              <w:rPr>
                <w:sz w:val="20"/>
                <w:szCs w:val="20"/>
                <w:color w:val="auto"/>
              </w:rPr>
            </w:pPr>
            <w:r>
              <w:rPr>
                <w:rFonts w:ascii="Arial" w:cs="Arial" w:eastAsia="Arial" w:hAnsi="Arial"/>
                <w:sz w:val="11"/>
                <w:szCs w:val="11"/>
                <w:color w:val="auto"/>
              </w:rPr>
              <w:t>Preferred stock cash dividends (a)</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(21,765 )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(21,765 )</w:t>
            </w:r>
          </w:p>
        </w:tc>
      </w:tr>
      <w:tr>
        <w:trPr>
          <w:trHeight w:val="148"/>
        </w:trPr>
        <w:tc>
          <w:tcPr>
            <w:tcW w:w="26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258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transactions, net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(138 )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(23,341 )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(330 )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61,678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37,869</w:t>
            </w:r>
          </w:p>
        </w:tc>
        <w:tc>
          <w:tcPr>
            <w:tcW w:w="80" w:type="dxa"/>
            <w:vAlign w:val="bottom"/>
            <w:shd w:val="clear" w:color="auto" w:fill="CFF0FC"/>
          </w:tcPr>
          <w:p>
            <w:pPr>
              <w:spacing w:after="0"/>
              <w:rPr>
                <w:sz w:val="12"/>
                <w:szCs w:val="12"/>
                <w:color w:val="auto"/>
              </w:rPr>
            </w:pPr>
          </w:p>
        </w:tc>
      </w:tr>
      <w:tr>
        <w:trPr>
          <w:trHeight w:val="146"/>
        </w:trPr>
        <w:tc>
          <w:tcPr>
            <w:tcW w:w="2600" w:type="dxa"/>
            <w:vAlign w:val="bottom"/>
            <w:gridSpan w:val="3"/>
          </w:tcPr>
          <w:p>
            <w:pPr>
              <w:ind w:left="20"/>
              <w:spacing w:after="0"/>
              <w:rPr>
                <w:sz w:val="20"/>
                <w:szCs w:val="20"/>
                <w:color w:val="auto"/>
              </w:rPr>
            </w:pPr>
            <w:r>
              <w:rPr>
                <w:rFonts w:ascii="Arial" w:cs="Arial" w:eastAsia="Arial" w:hAnsi="Arial"/>
                <w:sz w:val="11"/>
                <w:szCs w:val="11"/>
                <w:color w:val="auto"/>
              </w:rPr>
              <w:t>Common stock cash dividends —</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580" w:type="dxa"/>
            <w:vAlign w:val="bottom"/>
            <w:gridSpan w:val="2"/>
          </w:tcPr>
          <w:p>
            <w:pPr>
              <w:ind w:left="80"/>
              <w:spacing w:after="0"/>
              <w:rPr>
                <w:sz w:val="20"/>
                <w:szCs w:val="20"/>
                <w:color w:val="auto"/>
              </w:rPr>
            </w:pPr>
            <w:r>
              <w:rPr>
                <w:rFonts w:ascii="Arial" w:cs="Arial" w:eastAsia="Arial" w:hAnsi="Arial"/>
                <w:sz w:val="11"/>
                <w:szCs w:val="11"/>
                <w:color w:val="auto"/>
              </w:rPr>
              <w:t>$1.20 per share</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(155,856 )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(155,856 )</w:t>
            </w:r>
          </w:p>
        </w:tc>
      </w:tr>
      <w:tr>
        <w:trPr>
          <w:trHeight w:val="239"/>
        </w:trPr>
        <w:tc>
          <w:tcPr>
            <w:tcW w:w="26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1"/>
                <w:szCs w:val="11"/>
                <w:color w:val="auto"/>
              </w:rPr>
              <w:t>Balance — March 31, 2022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1,750,000</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79,871</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1,074</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6,611,659</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14,830,671</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(377,385 )</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(5,019,870 )</w:t>
            </w:r>
          </w:p>
        </w:tc>
        <w:tc>
          <w:tcPr>
            <w:tcW w:w="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17,876,020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32"/>
        </w:trPr>
        <w:tc>
          <w:tcPr>
            <w:tcW w:w="20" w:type="dxa"/>
            <w:vAlign w:val="bottom"/>
            <w:tcBorders>
              <w:top w:val="single" w:sz="8" w:color="CFF0FC"/>
            </w:tcBorders>
          </w:tcPr>
          <w:p>
            <w:pPr>
              <w:spacing w:after="0"/>
              <w:rPr>
                <w:sz w:val="11"/>
                <w:szCs w:val="11"/>
                <w:color w:val="auto"/>
              </w:rPr>
            </w:pPr>
          </w:p>
        </w:tc>
        <w:tc>
          <w:tcPr>
            <w:tcW w:w="1980" w:type="dxa"/>
            <w:vAlign w:val="bottom"/>
            <w:tcBorders>
              <w:top w:val="single" w:sz="8" w:color="CFF0FC"/>
            </w:tcBorders>
          </w:tcPr>
          <w:p>
            <w:pPr>
              <w:spacing w:after="0"/>
              <w:rPr>
                <w:sz w:val="11"/>
                <w:szCs w:val="11"/>
                <w:color w:val="auto"/>
              </w:rPr>
            </w:pPr>
          </w:p>
        </w:tc>
        <w:tc>
          <w:tcPr>
            <w:tcW w:w="6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bl>
    <w:p>
      <w:pPr>
        <w:spacing w:after="0" w:line="119" w:lineRule="exact"/>
        <w:rPr>
          <w:sz w:val="20"/>
          <w:szCs w:val="20"/>
          <w:color w:val="auto"/>
        </w:rPr>
      </w:pPr>
    </w:p>
    <w:p>
      <w:pPr>
        <w:ind w:left="180" w:right="300"/>
        <w:spacing w:after="0" w:line="262" w:lineRule="auto"/>
        <w:rPr>
          <w:sz w:val="20"/>
          <w:szCs w:val="20"/>
          <w:color w:val="auto"/>
        </w:rPr>
      </w:pPr>
      <w:r>
        <w:rPr>
          <w:rFonts w:ascii="Arial" w:cs="Arial" w:eastAsia="Arial" w:hAnsi="Arial"/>
          <w:sz w:val="12"/>
          <w:szCs w:val="12"/>
          <w:i w:val="1"/>
          <w:iCs w:val="1"/>
          <w:color w:val="auto"/>
        </w:rPr>
        <w:t>(a)</w:t>
      </w:r>
      <w:r>
        <w:rPr>
          <w:rFonts w:ascii="Arial" w:cs="Arial" w:eastAsia="Arial" w:hAnsi="Arial"/>
          <w:sz w:val="13"/>
          <w:szCs w:val="13"/>
          <w:i w:val="1"/>
          <w:iCs w:val="1"/>
          <w:color w:val="auto"/>
        </w:rPr>
        <w:t>For the three-month period ended March 31, 2023, dividends per preferred share were: Preferred Series E - $16.125; Preferred Series F - $128.125; Preferred Series</w:t>
      </w:r>
      <w:r>
        <w:rPr>
          <w:rFonts w:ascii="Arial" w:cs="Arial" w:eastAsia="Arial" w:hAnsi="Arial"/>
          <w:sz w:val="12"/>
          <w:szCs w:val="12"/>
          <w:i w:val="1"/>
          <w:iCs w:val="1"/>
          <w:color w:val="auto"/>
        </w:rPr>
        <w:t xml:space="preserve"> </w:t>
      </w:r>
      <w:r>
        <w:rPr>
          <w:rFonts w:ascii="Arial" w:cs="Arial" w:eastAsia="Arial" w:hAnsi="Arial"/>
          <w:sz w:val="13"/>
          <w:szCs w:val="13"/>
          <w:i w:val="1"/>
          <w:iCs w:val="1"/>
          <w:color w:val="auto"/>
        </w:rPr>
        <w:t xml:space="preserve">Preferred Series G - $125.00; Preferred Series H - $0.3516; and Preferred Series I - $87.50. Dividends per preferred share for the three months ended March 31, 2022 were: Preferred Series E - $16.125; Preferred Series F - $128.125; Preferred Series Preferred Series G - $125.00; and Preferred Series I - $94.306. </w:t>
      </w:r>
      <w:r>
        <w:rPr>
          <w:rFonts w:ascii="Arial" w:cs="Arial" w:eastAsia="Arial" w:hAnsi="Arial"/>
          <w:sz w:val="12"/>
          <w:szCs w:val="12"/>
          <w:i w:val="1"/>
          <w:iCs w:val="1"/>
          <w:color w:val="auto"/>
        </w:rPr>
        <w:t>(b)</w:t>
      </w:r>
      <w:r>
        <w:rPr>
          <w:rFonts w:ascii="Arial" w:cs="Arial" w:eastAsia="Arial" w:hAnsi="Arial"/>
          <w:sz w:val="13"/>
          <w:szCs w:val="13"/>
          <w:i w:val="1"/>
          <w:iCs w:val="1"/>
          <w:color w:val="auto"/>
        </w:rPr>
        <w:t>Effective January 1, 2023 amounts are inclusive of 1% U.S. government excise taxes receivable or payable.</w:t>
      </w:r>
    </w:p>
    <w:p>
      <w:pPr>
        <w:spacing w:after="0" w:line="188"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w:t>
      </w:r>
    </w:p>
    <w:p>
      <w:pPr>
        <w:sectPr>
          <w:pgSz w:w="11900" w:h="16840" w:orient="portrait"/>
          <w:cols w:equalWidth="0" w:num="1">
            <w:col w:w="10560"/>
          </w:cols>
          <w:pgMar w:left="660" w:top="923" w:right="68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2022 (“2022 Annual Report”), except as disclosed in note 16 of Notes to Financial Statements herein. The financial statements contain all adjustments which are, in the opinion of management, necessary for a fair statement of the Company's financial position, results of operations and cash flows for the interim periods presented.</w:t>
      </w:r>
    </w:p>
    <w:p>
      <w:pPr>
        <w:spacing w:after="0" w:line="63" w:lineRule="exact"/>
        <w:rPr>
          <w:sz w:val="20"/>
          <w:szCs w:val="20"/>
          <w:color w:val="auto"/>
        </w:rPr>
      </w:pPr>
    </w:p>
    <w:p>
      <w:pPr>
        <w:ind w:right="8040" w:firstLine="6"/>
        <w:spacing w:after="0" w:line="367"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and divestiture </w:t>
      </w:r>
      <w:r>
        <w:rPr>
          <w:rFonts w:ascii="Arial" w:cs="Arial" w:eastAsia="Arial" w:hAnsi="Arial"/>
          <w:sz w:val="18"/>
          <w:szCs w:val="18"/>
          <w:i w:val="1"/>
          <w:iCs w:val="1"/>
          <w:color w:val="auto"/>
        </w:rPr>
        <w:t>Acquisition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1, 2022, M&amp;T completed the acquisition of People's United Financial, Inc. ("People's United"). Through subsidiaries, People's United provided commercial banking, retail banking and wealth management services to individual, corporate and municipal customers through a network of branches located in Connecticut, southeastern New York, Massachusetts, Vermont, New Hampshire and Maine. Following the merger, People's United Bank, National Association, a national banking association and a wholly owned subsidiary of People's United, merged with and into Manufacturers and Traders Trust Company ("M&amp;T Bank"), the principal banking subsidiary of M&amp;T, with M&amp;T Bank as the surviving entity. The results of operations acquired from People's United have been included in the Company's financial results since April 1, 2022.</w:t>
      </w:r>
    </w:p>
    <w:p>
      <w:pPr>
        <w:spacing w:after="0" w:line="75" w:lineRule="exact"/>
        <w:rPr>
          <w:sz w:val="20"/>
          <w:szCs w:val="20"/>
          <w:color w:val="auto"/>
        </w:rPr>
      </w:pPr>
    </w:p>
    <w:p>
      <w:pPr>
        <w:ind w:right="40" w:firstLine="696"/>
        <w:spacing w:after="0" w:line="254" w:lineRule="auto"/>
        <w:rPr>
          <w:sz w:val="20"/>
          <w:szCs w:val="20"/>
          <w:color w:val="auto"/>
        </w:rPr>
      </w:pPr>
      <w:r>
        <w:rPr>
          <w:rFonts w:ascii="Arial" w:cs="Arial" w:eastAsia="Arial" w:hAnsi="Arial"/>
          <w:sz w:val="18"/>
          <w:szCs w:val="18"/>
          <w:color w:val="auto"/>
        </w:rPr>
        <w:t>Pursuant to the terms of the merger agreement dated February 22, 2021, People’s United shareholders received consideration valued at .118 of an M&amp;T common share in exchange for each common share of People’s United. The purchase price totaled approximately $8.4 billion (with the price based on M&amp;T’s closing price of $164.66 per share as of April 1, 2022). M&amp;T issued 50,325,004 common shares in completing the transaction. Additionally, People’s United outstanding preferred stock was converted into new shares of Series H Preferred Stock of M&amp;T. The acquisition of People's United expanded the Company's geographical footprint and management expects the Company will benefit from greater geographical diversity and the advantages of scale associated with a larger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3" w:right="680"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and divestiture, continued</w:t>
      </w:r>
    </w:p>
    <w:p>
      <w:pPr>
        <w:spacing w:after="0" w:line="115" w:lineRule="exact"/>
        <w:rPr>
          <w:sz w:val="20"/>
          <w:szCs w:val="20"/>
          <w:color w:val="auto"/>
        </w:rPr>
      </w:pPr>
    </w:p>
    <w:p>
      <w:pPr>
        <w:ind w:right="20" w:firstLine="696"/>
        <w:spacing w:after="0" w:line="259" w:lineRule="auto"/>
        <w:rPr>
          <w:sz w:val="20"/>
          <w:szCs w:val="20"/>
          <w:color w:val="auto"/>
        </w:rPr>
      </w:pPr>
      <w:r>
        <w:rPr>
          <w:rFonts w:ascii="Arial" w:cs="Arial" w:eastAsia="Arial" w:hAnsi="Arial"/>
          <w:sz w:val="18"/>
          <w:szCs w:val="18"/>
          <w:color w:val="auto"/>
        </w:rPr>
        <w:t>The People’s United transaction has been accounted for using the acquisition method of accounting and, accordingly, assets acquired, liabilities assumed and preferred stock converted were recorded at estimated fair value on the acquisition date. The consideration paid for People’s United common equity and the amounts of identifiable assets acquired, liabilities assumed and preferred stock converted as of the acquisition date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04"/>
        </w:trPr>
        <w:tc>
          <w:tcPr>
            <w:tcW w:w="8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Consideration:</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Common stock issued (50,325,004 shares)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8,286,515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Common stock awards converted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Cash</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consideration</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8,393,149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assets acquired: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20"/>
              <w:spacing w:after="0"/>
              <w:rPr>
                <w:sz w:val="20"/>
                <w:szCs w:val="20"/>
                <w:color w:val="auto"/>
              </w:rPr>
            </w:pPr>
            <w:r>
              <w:rPr>
                <w:rFonts w:ascii="Arial" w:cs="Arial" w:eastAsia="Arial" w:hAnsi="Arial"/>
                <w:sz w:val="16"/>
                <w:szCs w:val="16"/>
                <w:color w:val="auto"/>
              </w:rPr>
              <w:t>Identifiable assets</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due from banks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395,747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Interest-bearing deposits at banks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9,193,346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11,574,689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Loans and leases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35,840,648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Core deposit and other intangible assets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2,979,388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identifiable assets acquired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60,244,818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20"/>
              <w:spacing w:after="0"/>
              <w:rPr>
                <w:sz w:val="20"/>
                <w:szCs w:val="20"/>
                <w:color w:val="auto"/>
              </w:rPr>
            </w:pPr>
            <w:r>
              <w:rPr>
                <w:rFonts w:ascii="Arial" w:cs="Arial" w:eastAsia="Arial" w:hAnsi="Arial"/>
                <w:sz w:val="16"/>
                <w:szCs w:val="16"/>
                <w:color w:val="auto"/>
              </w:rPr>
              <w:t>Liabilities and preferred stock</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vMerge w:val="restart"/>
            <w:shd w:val="clear" w:color="auto" w:fill="CFF0FC"/>
          </w:tcPr>
          <w:p>
            <w:pPr>
              <w:ind w:left="180"/>
              <w:spacing w:after="0"/>
              <w:rPr>
                <w:sz w:val="20"/>
                <w:szCs w:val="20"/>
                <w:color w:val="auto"/>
              </w:rPr>
            </w:pPr>
            <w:r>
              <w:rPr>
                <w:rFonts w:ascii="Arial" w:cs="Arial" w:eastAsia="Arial" w:hAnsi="Arial"/>
                <w:sz w:val="16"/>
                <w:szCs w:val="16"/>
                <w:color w:val="auto"/>
              </w:rPr>
              <w:t>Deposits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52,967,915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8700" w:type="dxa"/>
            <w:vAlign w:val="bottom"/>
            <w:vMerge w:val="continue"/>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5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Borrowings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1,389,012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liabilities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1,142,387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420"/>
              <w:spacing w:after="0"/>
              <w:rPr>
                <w:sz w:val="20"/>
                <w:szCs w:val="20"/>
                <w:color w:val="auto"/>
              </w:rPr>
            </w:pPr>
            <w:r>
              <w:rPr>
                <w:rFonts w:ascii="Arial" w:cs="Arial" w:eastAsia="Arial" w:hAnsi="Arial"/>
                <w:sz w:val="16"/>
                <w:szCs w:val="16"/>
                <w:color w:val="auto"/>
              </w:rPr>
              <w:t>Total liabilities assumed</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55,499,314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Preferred stock</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20"/>
              <w:spacing w:after="0"/>
              <w:rPr>
                <w:sz w:val="20"/>
                <w:szCs w:val="20"/>
                <w:color w:val="auto"/>
              </w:rPr>
            </w:pPr>
            <w:r>
              <w:rPr>
                <w:rFonts w:ascii="Arial" w:cs="Arial" w:eastAsia="Arial" w:hAnsi="Arial"/>
                <w:sz w:val="16"/>
                <w:szCs w:val="16"/>
                <w:color w:val="auto"/>
              </w:rPr>
              <w:t>Total liabilities and preferred stock</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55,759,914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assets acquired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4,484,904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7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3,908,245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GAAP requires loans and leases obtained through an acquisition that have experienced a more -than-insignificant deterioration in credit quality since origination be considered purchased credit deteriorated (“PCD”). The Company considered several factors in the determination of PCD loans, including loan grades assigned to acquired commercial loans and leases and commercial real estate loans utilizing the Company's loan grading system and delinquency status and history for acquired loans backed by residential real estate. For PCD loans and leases the initial estimate of expected credit losses of $99 million was established through an adjustment to increase both the initial carrying value and allowance for credit losses. GAAP also provides that an allowance for credit losses on loans acquired, but not classified as PCD, also be recognized above and beyond the impact of forecasted losses used in determining fair value. Accordingly, the Company recorded $242 million of provision for credit losses for non -PCD acquired loans and leases at the acquisition date. The following table reconciles the unpaid principal balance to the fair value of loans and leases at April 1,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PCD</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3"/>
          </w:tcPr>
          <w:p>
            <w:pPr>
              <w:ind w:left="80"/>
              <w:spacing w:after="0"/>
              <w:rPr>
                <w:sz w:val="20"/>
                <w:szCs w:val="20"/>
                <w:color w:val="auto"/>
              </w:rPr>
            </w:pPr>
            <w:r>
              <w:rPr>
                <w:rFonts w:ascii="Arial" w:cs="Arial" w:eastAsia="Arial" w:hAnsi="Arial"/>
                <w:sz w:val="13"/>
                <w:szCs w:val="13"/>
                <w:b w:val="1"/>
                <w:bCs w:val="1"/>
                <w:color w:val="auto"/>
              </w:rPr>
              <w:t>Non-PCD</w:t>
            </w:r>
          </w:p>
        </w:tc>
      </w:tr>
      <w:tr>
        <w:trPr>
          <w:trHeight w:val="183"/>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4"/>
          </w:tcPr>
          <w:p>
            <w:pPr>
              <w:jc w:val="right"/>
              <w:ind w:right="2"/>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0"/>
        </w:trPr>
        <w:tc>
          <w:tcPr>
            <w:tcW w:w="7000" w:type="dxa"/>
            <w:vAlign w:val="bottom"/>
          </w:tcPr>
          <w:p>
            <w:pPr>
              <w:ind w:left="20"/>
              <w:spacing w:after="0"/>
              <w:rPr>
                <w:sz w:val="20"/>
                <w:szCs w:val="20"/>
                <w:color w:val="auto"/>
              </w:rPr>
            </w:pPr>
            <w:r>
              <w:rPr>
                <w:rFonts w:ascii="Arial" w:cs="Arial" w:eastAsia="Arial" w:hAnsi="Arial"/>
                <w:sz w:val="16"/>
                <w:szCs w:val="16"/>
                <w:color w:val="auto"/>
              </w:rPr>
              <w:t>Unpaid principal balance</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3,410,506</w:t>
            </w:r>
          </w:p>
        </w:tc>
        <w:tc>
          <w:tcPr>
            <w:tcW w:w="10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Arial" w:cs="Arial" w:eastAsia="Arial" w:hAnsi="Arial"/>
                <w:sz w:val="16"/>
                <w:szCs w:val="16"/>
                <w:color w:val="auto"/>
              </w:rPr>
              <w:t>(a) $</w:t>
            </w:r>
          </w:p>
        </w:tc>
        <w:tc>
          <w:tcPr>
            <w:tcW w:w="1040" w:type="dxa"/>
            <w:vAlign w:val="bottom"/>
          </w:tcPr>
          <w:p>
            <w:pPr>
              <w:jc w:val="right"/>
              <w:spacing w:after="0"/>
              <w:rPr>
                <w:sz w:val="20"/>
                <w:szCs w:val="20"/>
                <w:color w:val="auto"/>
              </w:rPr>
            </w:pPr>
            <w:r>
              <w:rPr>
                <w:rFonts w:ascii="Arial" w:cs="Arial" w:eastAsia="Arial" w:hAnsi="Arial"/>
                <w:sz w:val="16"/>
                <w:szCs w:val="16"/>
                <w:color w:val="auto"/>
              </w:rPr>
              <w:t>32,896,454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41"/>
        </w:trPr>
        <w:tc>
          <w:tcPr>
            <w:tcW w:w="7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Allowance for credit losses at acquisition</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(99,000 )</w:t>
            </w:r>
          </w:p>
        </w:tc>
        <w:tc>
          <w:tcPr>
            <w:tcW w:w="6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6"/>
                <w:szCs w:val="16"/>
                <w:color w:val="auto"/>
              </w:rPr>
              <w:t>Other discount</w:t>
            </w:r>
          </w:p>
        </w:tc>
        <w:tc>
          <w:tcPr>
            <w:tcW w:w="3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(106,814 )</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(260,498 )</w:t>
            </w:r>
          </w:p>
        </w:tc>
        <w:tc>
          <w:tcPr>
            <w:tcW w:w="300" w:type="dxa"/>
            <w:vAlign w:val="bottom"/>
          </w:tcPr>
          <w:p>
            <w:pPr>
              <w:ind w:left="60"/>
              <w:spacing w:after="0"/>
              <w:rPr>
                <w:sz w:val="20"/>
                <w:szCs w:val="20"/>
                <w:color w:val="auto"/>
              </w:rPr>
            </w:pPr>
            <w:r>
              <w:rPr>
                <w:rFonts w:ascii="Arial" w:cs="Arial" w:eastAsia="Arial" w:hAnsi="Arial"/>
                <w:sz w:val="16"/>
                <w:szCs w:val="16"/>
                <w:color w:val="auto"/>
              </w:rPr>
              <w:t>(b)</w:t>
            </w:r>
          </w:p>
        </w:tc>
      </w:tr>
      <w:tr>
        <w:trPr>
          <w:trHeight w:val="244"/>
        </w:trPr>
        <w:tc>
          <w:tcPr>
            <w:tcW w:w="7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Fair value</w:t>
            </w: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3,204,692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32,635,956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Pr>
          <w:p>
            <w:pPr>
              <w:spacing w:after="0"/>
              <w:rPr>
                <w:sz w:val="21"/>
                <w:szCs w:val="2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(a)The unpaid principal balance and allowance for credit losses at acquisition is net of charge-offs of $33 million recognized on the PCD loans.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(b)Includes approximately $242 million of principal balances not expected to be collected.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- 9 -</w:t>
      </w:r>
    </w:p>
    <w:p>
      <w:pPr>
        <w:sectPr>
          <w:pgSz w:w="11900" w:h="16840" w:orient="portrait"/>
          <w:cols w:equalWidth="0" w:num="1">
            <w:col w:w="10560"/>
          </w:cols>
          <w:pgMar w:left="660" w:top="562" w:right="680"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and divestiture, continued</w:t>
      </w:r>
    </w:p>
    <w:p>
      <w:pPr>
        <w:spacing w:after="0" w:line="115" w:lineRule="exact"/>
        <w:rPr>
          <w:sz w:val="20"/>
          <w:szCs w:val="20"/>
          <w:color w:val="auto"/>
        </w:rPr>
      </w:pPr>
    </w:p>
    <w:p>
      <w:pPr>
        <w:ind w:right="420" w:firstLine="696"/>
        <w:spacing w:after="0" w:line="263" w:lineRule="auto"/>
        <w:rPr>
          <w:sz w:val="20"/>
          <w:szCs w:val="20"/>
          <w:color w:val="auto"/>
        </w:rPr>
      </w:pPr>
      <w:r>
        <w:rPr>
          <w:rFonts w:ascii="Arial" w:cs="Arial" w:eastAsia="Arial" w:hAnsi="Arial"/>
          <w:sz w:val="18"/>
          <w:szCs w:val="18"/>
          <w:color w:val="auto"/>
        </w:rPr>
        <w:t>In connection with the acquisition, the Company recorded approximately $3.9 billion of goodwill, which represents the excess of the purchase price over the fair value of the net assets acquired, and $261 million of core deposit and other intangible assets. The core deposit and other intangible assets are being amortized over periods of three to seven years.</w:t>
      </w:r>
    </w:p>
    <w:p>
      <w:pPr>
        <w:spacing w:after="0" w:line="64" w:lineRule="exact"/>
        <w:rPr>
          <w:sz w:val="20"/>
          <w:szCs w:val="20"/>
          <w:color w:val="auto"/>
        </w:rPr>
      </w:pPr>
    </w:p>
    <w:p>
      <w:pPr>
        <w:ind w:right="140" w:firstLine="696"/>
        <w:spacing w:after="0" w:line="254" w:lineRule="auto"/>
        <w:rPr>
          <w:sz w:val="20"/>
          <w:szCs w:val="20"/>
          <w:color w:val="auto"/>
        </w:rPr>
      </w:pPr>
      <w:r>
        <w:rPr>
          <w:rFonts w:ascii="Arial" w:cs="Arial" w:eastAsia="Arial" w:hAnsi="Arial"/>
          <w:sz w:val="18"/>
          <w:szCs w:val="18"/>
          <w:color w:val="auto"/>
        </w:rPr>
        <w:t>The following table presents certain pro forma information as if People’s United had been acquired on January 1, 2021. These results combine the historical results of People’s United into the Company’s consolidated statement of income and, while adjustments were made for the estimated impact of certain fair valuation adjustments and other acquisition-related activity, they are not indicative of what would have occurred had the acquisition taken place as indicated. For example, merger-related expenses noted below are included in the periods where such expenses were incurred. Additionally, the Company expects to achieve operating cost savings and other business synergies as a result of the acquisition which are not reflected in the pro forma amounts that follow: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740" w:type="dxa"/>
            <w:vAlign w:val="bottom"/>
          </w:tcPr>
          <w:p>
            <w:pPr>
              <w:jc w:val="center"/>
              <w:ind w:right="329"/>
              <w:spacing w:after="0"/>
              <w:rPr>
                <w:sz w:val="20"/>
                <w:szCs w:val="20"/>
                <w:color w:val="auto"/>
              </w:rPr>
            </w:pPr>
            <w:r>
              <w:rPr>
                <w:rFonts w:ascii="Arial" w:cs="Arial" w:eastAsia="Arial" w:hAnsi="Arial"/>
                <w:sz w:val="13"/>
                <w:szCs w:val="13"/>
                <w:b w:val="1"/>
                <w:bCs w:val="1"/>
                <w:color w:val="auto"/>
              </w:rPr>
              <w:t>Pro forma</w:t>
            </w:r>
          </w:p>
        </w:tc>
      </w:tr>
      <w:tr>
        <w:trPr>
          <w:trHeight w:val="189"/>
        </w:trPr>
        <w:tc>
          <w:tcPr>
            <w:tcW w:w="4900" w:type="dxa"/>
            <w:vAlign w:val="bottom"/>
          </w:tcPr>
          <w:p>
            <w:pPr>
              <w:spacing w:after="0"/>
              <w:rPr>
                <w:sz w:val="16"/>
                <w:szCs w:val="16"/>
                <w:color w:val="auto"/>
              </w:rPr>
            </w:pPr>
          </w:p>
        </w:tc>
        <w:tc>
          <w:tcPr>
            <w:tcW w:w="5660" w:type="dxa"/>
            <w:vAlign w:val="bottom"/>
            <w:gridSpan w:val="2"/>
          </w:tcPr>
          <w:p>
            <w:pPr>
              <w:jc w:val="center"/>
              <w:ind w:left="3468"/>
              <w:spacing w:after="0"/>
              <w:rPr>
                <w:sz w:val="20"/>
                <w:szCs w:val="20"/>
                <w:color w:val="auto"/>
              </w:rPr>
            </w:pPr>
            <w:r>
              <w:rPr>
                <w:rFonts w:ascii="Arial" w:cs="Arial" w:eastAsia="Arial" w:hAnsi="Arial"/>
                <w:sz w:val="13"/>
                <w:szCs w:val="13"/>
                <w:b w:val="1"/>
                <w:bCs w:val="1"/>
                <w:color w:val="auto"/>
              </w:rPr>
              <w:t>Three months ended March 31,</w:t>
            </w:r>
          </w:p>
        </w:tc>
      </w:tr>
      <w:tr>
        <w:trPr>
          <w:trHeight w:val="183"/>
        </w:trPr>
        <w:tc>
          <w:tcPr>
            <w:tcW w:w="49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740" w:type="dxa"/>
            <w:vAlign w:val="bottom"/>
          </w:tcPr>
          <w:p>
            <w:pPr>
              <w:jc w:val="center"/>
              <w:ind w:right="309"/>
              <w:spacing w:after="0"/>
              <w:rPr>
                <w:sz w:val="20"/>
                <w:szCs w:val="20"/>
                <w:color w:val="auto"/>
              </w:rPr>
            </w:pPr>
            <w:r>
              <w:rPr>
                <w:rFonts w:ascii="Arial" w:cs="Arial" w:eastAsia="Arial" w:hAnsi="Arial"/>
                <w:sz w:val="13"/>
                <w:szCs w:val="13"/>
                <w:b w:val="1"/>
                <w:bCs w:val="1"/>
                <w:color w:val="auto"/>
                <w:w w:val="96"/>
              </w:rPr>
              <w:t>2022</w:t>
            </w:r>
          </w:p>
        </w:tc>
      </w:tr>
      <w:tr>
        <w:trPr>
          <w:trHeight w:val="240"/>
        </w:trPr>
        <w:tc>
          <w:tcPr>
            <w:tcW w:w="49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740" w:type="dxa"/>
            <w:vAlign w:val="bottom"/>
          </w:tcPr>
          <w:p>
            <w:pPr>
              <w:jc w:val="center"/>
              <w:ind w:right="329"/>
              <w:spacing w:after="0"/>
              <w:rPr>
                <w:sz w:val="20"/>
                <w:szCs w:val="20"/>
                <w:color w:val="auto"/>
              </w:rPr>
            </w:pPr>
            <w:r>
              <w:rPr>
                <w:rFonts w:ascii="Arial" w:cs="Arial" w:eastAsia="Arial" w:hAnsi="Arial"/>
                <w:sz w:val="13"/>
                <w:szCs w:val="13"/>
                <w:b w:val="1"/>
                <w:bCs w:val="1"/>
                <w:color w:val="auto"/>
              </w:rPr>
              <w:t>(In thousands)</w:t>
            </w: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Total revenues (a)</w:t>
            </w:r>
          </w:p>
        </w:tc>
        <w:tc>
          <w:tcPr>
            <w:tcW w:w="3920" w:type="dxa"/>
            <w:vAlign w:val="bottom"/>
          </w:tcPr>
          <w:p>
            <w:pPr>
              <w:jc w:val="right"/>
              <w:ind w:right="128"/>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9"/>
              <w:spacing w:after="0"/>
              <w:rPr>
                <w:sz w:val="20"/>
                <w:szCs w:val="20"/>
                <w:color w:val="auto"/>
              </w:rPr>
            </w:pPr>
            <w:r>
              <w:rPr>
                <w:rFonts w:ascii="Arial" w:cs="Arial" w:eastAsia="Arial" w:hAnsi="Arial"/>
                <w:sz w:val="16"/>
                <w:szCs w:val="16"/>
                <w:color w:val="auto"/>
              </w:rPr>
              <w:t>1,931,788</w:t>
            </w:r>
          </w:p>
        </w:tc>
      </w:tr>
      <w:tr>
        <w:trPr>
          <w:trHeight w:val="205"/>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92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29"/>
              <w:spacing w:after="0"/>
              <w:rPr>
                <w:sz w:val="20"/>
                <w:szCs w:val="20"/>
                <w:color w:val="auto"/>
              </w:rPr>
            </w:pPr>
            <w:r>
              <w:rPr>
                <w:rFonts w:ascii="Arial" w:cs="Arial" w:eastAsia="Arial" w:hAnsi="Arial"/>
                <w:sz w:val="16"/>
                <w:szCs w:val="16"/>
                <w:color w:val="auto"/>
              </w:rPr>
              <w:t>369,404</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(a)Represents the total of net interest income and other income.</w:t>
      </w:r>
    </w:p>
    <w:p>
      <w:pPr>
        <w:spacing w:after="0" w:line="109" w:lineRule="exact"/>
        <w:rPr>
          <w:sz w:val="20"/>
          <w:szCs w:val="20"/>
          <w:color w:val="auto"/>
        </w:rPr>
      </w:pPr>
    </w:p>
    <w:p>
      <w:pPr>
        <w:ind w:right="40" w:firstLine="696"/>
        <w:spacing w:after="0" w:line="253" w:lineRule="auto"/>
        <w:rPr>
          <w:sz w:val="20"/>
          <w:szCs w:val="20"/>
          <w:color w:val="auto"/>
        </w:rPr>
      </w:pPr>
      <w:r>
        <w:rPr>
          <w:rFonts w:ascii="Arial" w:cs="Arial" w:eastAsia="Arial" w:hAnsi="Arial"/>
          <w:sz w:val="18"/>
          <w:szCs w:val="18"/>
          <w:color w:val="auto"/>
        </w:rPr>
        <w:t>In connection with the People’s United acquisition, the Company incurred merger-related expenses related to systems conversions and other costs of integrating and conforming acquired operations with and into the Company. Those expenses consisted largely of professional services, temporary help fees and other costs associated with actual or planned systems conversions and/or integration of operations and the introduction of the Company to its new customers; costs related to termination of existing contractual arrangements for various services; initial marketing and promotion expenses designed to introduce M&amp;T Bank to its new customers; severance (for former People’s United employees); travel costs; and other costs of completing the transaction and commencing operations in new markets and offices. The Company did not incur any People's United merger-related expenses during the first quarter of 2023. Merger-related expenses incurred in the three months ended March 31, 2022 totaled approximately $17 million and consisted predominantly of professional services, including legal expenses and technology-related activities to prepare for planned integration efforts.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1" w:lineRule="exact"/>
        <w:rPr>
          <w:sz w:val="20"/>
          <w:szCs w:val="20"/>
          <w:color w:val="auto"/>
        </w:rPr>
      </w:pPr>
    </w:p>
    <w:p>
      <w:pPr>
        <w:ind w:firstLine="696"/>
        <w:spacing w:after="0" w:line="275" w:lineRule="auto"/>
        <w:rPr>
          <w:sz w:val="20"/>
          <w:szCs w:val="20"/>
          <w:color w:val="auto"/>
        </w:rPr>
      </w:pPr>
      <w:r>
        <w:rPr>
          <w:rFonts w:ascii="Arial" w:cs="Arial" w:eastAsia="Arial" w:hAnsi="Arial"/>
          <w:sz w:val="17"/>
          <w:szCs w:val="17"/>
          <w:color w:val="auto"/>
        </w:rPr>
        <w:t>On December 19, 2022 the Company announced that it had entered into a definitive agreement to sell its Collective Investment Trust ("CIT") business to a private equity firm. The transaction was completed in April 2023. The Company will recognize a pre-tax gain on the sale of approximately $ 225 million in the second quarter of 2023. Prior to the sale, the CIT business contributed $45 million and $42 million to trust income in the first three months of 2023 and 2022, respectively. After considering expenses, the results of operations from the CIT business were not material to the Company's consolidated results of operations in those periods.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1" w:name="page12"/>
    <w:bookmarkEnd w:id="11"/>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43"/>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403"/>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Losses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6"/>
          </w:tcPr>
          <w:p>
            <w:pPr>
              <w:ind w:left="74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March 31, 2023</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7,918,648</w:t>
            </w:r>
          </w:p>
        </w:tc>
        <w:tc>
          <w:tcPr>
            <w:tcW w:w="4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187,327</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7,732,699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issued or guaranteed:</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2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664,788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648,194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2,634,142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141,448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2,493,705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Other debt securities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176,338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164,324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11,393,916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358,064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11,038,922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Investment securities held to maturity:</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1,056,675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35,427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1,021,248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Obligations of states and political subdivisions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2,564,095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72,224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2,491,907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6"/>
                <w:szCs w:val="16"/>
                <w:color w:val="auto"/>
              </w:rPr>
              <w:t>Government issued or guaranteed: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2,027,911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106,970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1,920,941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10,503,208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796,479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9,718,191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Privately issued</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47,956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Other debt securities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16,201,571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1,018,059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15,204,461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Total debt securities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27,595,487</w:t>
            </w:r>
          </w:p>
        </w:tc>
        <w:tc>
          <w:tcPr>
            <w:tcW w:w="1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24,019</w:t>
            </w:r>
          </w:p>
        </w:tc>
        <w:tc>
          <w:tcPr>
            <w:tcW w:w="1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1,376,123</w:t>
            </w:r>
          </w:p>
        </w:tc>
        <w:tc>
          <w:tcPr>
            <w:tcW w:w="10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26,243,383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2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Equity and other securities:</w:t>
            </w: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6"/>
                <w:szCs w:val="16"/>
                <w:color w:val="auto"/>
              </w:rPr>
              <w:t>Readily marketable equity — at fair value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297,461</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4,062</w:t>
            </w:r>
          </w:p>
        </w:tc>
        <w:tc>
          <w:tcPr>
            <w:tcW w:w="10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295,220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 at cost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907,496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907,496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Total equity and other securities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1,204,957</w:t>
            </w:r>
          </w:p>
        </w:tc>
        <w:tc>
          <w:tcPr>
            <w:tcW w:w="1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4,062</w:t>
            </w:r>
          </w:p>
        </w:tc>
        <w:tc>
          <w:tcPr>
            <w:tcW w:w="10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1,202,716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December 31, 2022</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U.S. Treasury and federal agencies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7,913,932</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243,172</w:t>
            </w:r>
          </w:p>
        </w:tc>
        <w:tc>
          <w:tcPr>
            <w:tcW w:w="10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7,670,960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6"/>
                <w:szCs w:val="16"/>
                <w:color w:val="auto"/>
              </w:rPr>
              <w:t>Government issued or guaranteed: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594,779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20,480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2,501,334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171,281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2,330,118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debt securities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183,107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11,193,152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444,706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10,748,961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held to maturity:</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U.S. Treasury and federal agencies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1,054,035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45,747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1,008,288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Obligations of states and political subdivisions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2,577,078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116,512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2,460,570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issued or guaranteed:</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912,431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103,528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808,903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8,934,918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891,063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8,045,306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20" w:type="dxa"/>
            <w:vAlign w:val="bottom"/>
          </w:tcPr>
          <w:p>
            <w:pPr>
              <w:ind w:left="180"/>
              <w:spacing w:after="0"/>
              <w:rPr>
                <w:sz w:val="20"/>
                <w:szCs w:val="20"/>
                <w:color w:val="auto"/>
              </w:rPr>
            </w:pPr>
            <w:r>
              <w:rPr>
                <w:rFonts w:ascii="Arial" w:cs="Arial" w:eastAsia="Arial" w:hAnsi="Arial"/>
                <w:sz w:val="16"/>
                <w:szCs w:val="16"/>
                <w:color w:val="auto"/>
              </w:rPr>
              <w:t>Privately issued</w:t>
            </w:r>
          </w:p>
        </w:tc>
        <w:tc>
          <w:tcPr>
            <w:tcW w:w="2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49,742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7,987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50,588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debt securities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13,529,969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1,164,837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12,375,420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debt securities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24,723,121</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10,803</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1,609,543</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23,124,381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720" w:type="dxa"/>
            <w:vAlign w:val="bottom"/>
            <w:tcBorders>
              <w:top w:val="single" w:sz="8" w:color="CFF0FC"/>
            </w:tcBorders>
          </w:tcPr>
          <w:p>
            <w:pPr>
              <w:ind w:left="20"/>
              <w:spacing w:after="0" w:line="180" w:lineRule="exact"/>
              <w:rPr>
                <w:sz w:val="20"/>
                <w:szCs w:val="20"/>
                <w:color w:val="auto"/>
              </w:rPr>
            </w:pPr>
            <w:r>
              <w:rPr>
                <w:rFonts w:ascii="Arial" w:cs="Arial" w:eastAsia="Arial" w:hAnsi="Arial"/>
                <w:sz w:val="16"/>
                <w:szCs w:val="16"/>
                <w:color w:val="auto"/>
              </w:rPr>
              <w:t>Equity and other securities:</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Readily marketable equity — at fair value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153,283</w:t>
            </w:r>
          </w:p>
        </w:tc>
        <w:tc>
          <w:tcPr>
            <w:tcW w:w="4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151,458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6"/>
                <w:szCs w:val="16"/>
                <w:color w:val="auto"/>
              </w:rPr>
              <w:t>Other — at cost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780,483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780,483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equity and other securities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933,766</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931,941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47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443"/>
              <w:spacing w:after="0"/>
              <w:rPr>
                <w:sz w:val="20"/>
                <w:szCs w:val="20"/>
                <w:color w:val="auto"/>
              </w:rPr>
            </w:pPr>
            <w:r>
              <w:rPr>
                <w:rFonts w:ascii="Arial" w:cs="Arial" w:eastAsia="Arial" w:hAnsi="Arial"/>
                <w:sz w:val="16"/>
                <w:szCs w:val="16"/>
                <w:color w:val="auto"/>
              </w:rPr>
              <w:t>- 11 -</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7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10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40" w:orient="portrait"/>
          <w:cols w:equalWidth="0" w:num="1">
            <w:col w:w="10580"/>
          </w:cols>
          <w:pgMar w:left="640" w:top="562" w:right="680" w:bottom="1440" w:gutter="0" w:footer="0" w:header="0"/>
        </w:sectPr>
      </w:pPr>
    </w:p>
    <w:bookmarkStart w:id="12" w:name="page13"/>
    <w:bookmarkEnd w:id="12"/>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15" w:lineRule="exact"/>
        <w:rPr>
          <w:sz w:val="20"/>
          <w:szCs w:val="20"/>
          <w:color w:val="auto"/>
        </w:rPr>
      </w:pPr>
    </w:p>
    <w:p>
      <w:pPr>
        <w:jc w:val="both"/>
        <w:ind w:left="20" w:right="180" w:firstLine="468"/>
        <w:spacing w:after="0" w:line="263" w:lineRule="auto"/>
        <w:rPr>
          <w:sz w:val="20"/>
          <w:szCs w:val="20"/>
          <w:color w:val="auto"/>
        </w:rPr>
      </w:pPr>
      <w:r>
        <w:rPr>
          <w:rFonts w:ascii="Arial" w:cs="Arial" w:eastAsia="Arial" w:hAnsi="Arial"/>
          <w:sz w:val="18"/>
          <w:szCs w:val="18"/>
          <w:color w:val="auto"/>
        </w:rPr>
        <w:t>There were no significant gross realized gains or losses from sales of investment securities for the quarters ended March 31, 2023 and 2022. Unrealized losses on equity securities are included in gain (loss) on bank investment securities in the consolidated statement of income.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March 31, 2023, the amortized cost and estimated fair value of debt securities by contractual maturity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1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44"/>
              <w:spacing w:after="0"/>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Estimated</w:t>
            </w:r>
          </w:p>
        </w:tc>
      </w:tr>
      <w:tr>
        <w:trPr>
          <w:trHeight w:val="180"/>
        </w:trPr>
        <w:tc>
          <w:tcPr>
            <w:tcW w:w="4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r>
      <w:tr>
        <w:trPr>
          <w:trHeight w:val="183"/>
        </w:trPr>
        <w:tc>
          <w:tcPr>
            <w:tcW w:w="4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6"/>
          </w:tcPr>
          <w:p>
            <w:pPr>
              <w:ind w:left="700"/>
              <w:spacing w:after="0"/>
              <w:rPr>
                <w:sz w:val="20"/>
                <w:szCs w:val="20"/>
                <w:color w:val="auto"/>
              </w:rPr>
            </w:pPr>
            <w:r>
              <w:rPr>
                <w:rFonts w:ascii="Arial" w:cs="Arial" w:eastAsia="Arial" w:hAnsi="Arial"/>
                <w:sz w:val="13"/>
                <w:szCs w:val="13"/>
                <w:b w:val="1"/>
                <w:bCs w:val="1"/>
                <w:color w:val="auto"/>
              </w:rPr>
              <w:t>(In thousands)</w:t>
            </w:r>
          </w:p>
        </w:tc>
      </w:tr>
      <w:tr>
        <w:trPr>
          <w:trHeight w:val="204"/>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Debt securities available for sale:</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6"/>
                <w:szCs w:val="16"/>
                <w:color w:val="auto"/>
              </w:rPr>
              <w:t>Due in one year or less</w:t>
            </w:r>
          </w:p>
        </w:tc>
        <w:tc>
          <w:tcPr>
            <w:tcW w:w="3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1,871,549</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1,824,693</w:t>
            </w:r>
          </w:p>
        </w:tc>
        <w:tc>
          <w:tcPr>
            <w:tcW w:w="80" w:type="dxa"/>
            <w:vAlign w:val="bottom"/>
          </w:tcPr>
          <w:p>
            <w:pPr>
              <w:spacing w:after="0"/>
              <w:rPr>
                <w:sz w:val="17"/>
                <w:szCs w:val="17"/>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one year through five years</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6,142,735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5,999,076</w:t>
            </w:r>
          </w:p>
        </w:tc>
        <w:tc>
          <w:tcPr>
            <w:tcW w:w="80" w:type="dxa"/>
            <w:vAlign w:val="bottom"/>
            <w:shd w:val="clear" w:color="auto" w:fill="CFF0FC"/>
          </w:tcPr>
          <w:p>
            <w:pPr>
              <w:spacing w:after="0"/>
              <w:rPr>
                <w:sz w:val="17"/>
                <w:szCs w:val="17"/>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6"/>
                <w:szCs w:val="16"/>
                <w:color w:val="auto"/>
              </w:rPr>
              <w:t>Due after five years through ten years</w:t>
            </w: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50,702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47,804</w:t>
            </w:r>
          </w:p>
        </w:tc>
        <w:tc>
          <w:tcPr>
            <w:tcW w:w="80" w:type="dxa"/>
            <w:vAlign w:val="bottom"/>
          </w:tcPr>
          <w:p>
            <w:pPr>
              <w:spacing w:after="0"/>
              <w:rPr>
                <w:sz w:val="17"/>
                <w:szCs w:val="17"/>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ten years</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25,450</w:t>
            </w:r>
          </w:p>
        </w:tc>
        <w:tc>
          <w:tcPr>
            <w:tcW w:w="80" w:type="dxa"/>
            <w:vAlign w:val="bottom"/>
            <w:shd w:val="clear" w:color="auto" w:fill="CFF0FC"/>
          </w:tcPr>
          <w:p>
            <w:pPr>
              <w:spacing w:after="0"/>
              <w:rPr>
                <w:sz w:val="17"/>
                <w:szCs w:val="17"/>
                <w:color w:val="auto"/>
              </w:rPr>
            </w:pPr>
          </w:p>
        </w:tc>
      </w:tr>
      <w:tr>
        <w:trPr>
          <w:trHeight w:val="347"/>
        </w:trPr>
        <w:tc>
          <w:tcPr>
            <w:tcW w:w="4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8,094,986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7,897,023</w:t>
            </w:r>
          </w:p>
        </w:tc>
        <w:tc>
          <w:tcPr>
            <w:tcW w:w="80" w:type="dxa"/>
            <w:vAlign w:val="bottom"/>
          </w:tcPr>
          <w:p>
            <w:pPr>
              <w:spacing w:after="0"/>
              <w:rPr>
                <w:sz w:val="24"/>
                <w:szCs w:val="24"/>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 available for sale</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3,298,930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3,141,899</w:t>
            </w:r>
          </w:p>
        </w:tc>
        <w:tc>
          <w:tcPr>
            <w:tcW w:w="80" w:type="dxa"/>
            <w:vAlign w:val="bottom"/>
            <w:shd w:val="clear" w:color="auto" w:fill="CFF0FC"/>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3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11,393,916</w:t>
            </w:r>
          </w:p>
        </w:tc>
        <w:tc>
          <w:tcPr>
            <w:tcW w:w="10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11,038,922</w:t>
            </w:r>
          </w:p>
        </w:tc>
        <w:tc>
          <w:tcPr>
            <w:tcW w:w="8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412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Debt securities held to maturity:</w:t>
            </w:r>
          </w:p>
        </w:tc>
        <w:tc>
          <w:tcPr>
            <w:tcW w:w="3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6"/>
                <w:szCs w:val="16"/>
                <w:color w:val="auto"/>
              </w:rPr>
              <w:t>Due in one year or less</w:t>
            </w:r>
          </w:p>
        </w:tc>
        <w:tc>
          <w:tcPr>
            <w:tcW w:w="3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86,180</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85,572</w:t>
            </w:r>
          </w:p>
        </w:tc>
        <w:tc>
          <w:tcPr>
            <w:tcW w:w="80" w:type="dxa"/>
            <w:vAlign w:val="bottom"/>
          </w:tcPr>
          <w:p>
            <w:pPr>
              <w:spacing w:after="0"/>
              <w:rPr>
                <w:sz w:val="17"/>
                <w:szCs w:val="17"/>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one year through five years</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1,120,699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1,084,851</w:t>
            </w:r>
          </w:p>
        </w:tc>
        <w:tc>
          <w:tcPr>
            <w:tcW w:w="80" w:type="dxa"/>
            <w:vAlign w:val="bottom"/>
            <w:shd w:val="clear" w:color="auto" w:fill="CFF0FC"/>
          </w:tcPr>
          <w:p>
            <w:pPr>
              <w:spacing w:after="0"/>
              <w:rPr>
                <w:sz w:val="17"/>
                <w:szCs w:val="17"/>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6"/>
                <w:szCs w:val="16"/>
                <w:color w:val="auto"/>
              </w:rPr>
              <w:t>Due after five years through ten years</w:t>
            </w: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1,143,823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1,130,492</w:t>
            </w:r>
          </w:p>
        </w:tc>
        <w:tc>
          <w:tcPr>
            <w:tcW w:w="80" w:type="dxa"/>
            <w:vAlign w:val="bottom"/>
          </w:tcPr>
          <w:p>
            <w:pPr>
              <w:spacing w:after="0"/>
              <w:rPr>
                <w:sz w:val="17"/>
                <w:szCs w:val="17"/>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ten years</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1,271,794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1,213,966</w:t>
            </w:r>
          </w:p>
        </w:tc>
        <w:tc>
          <w:tcPr>
            <w:tcW w:w="80" w:type="dxa"/>
            <w:vAlign w:val="bottom"/>
            <w:shd w:val="clear" w:color="auto" w:fill="CFF0FC"/>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3,622,496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3,514,881</w:t>
            </w:r>
          </w:p>
        </w:tc>
        <w:tc>
          <w:tcPr>
            <w:tcW w:w="80" w:type="dxa"/>
            <w:vAlign w:val="bottom"/>
          </w:tcPr>
          <w:p>
            <w:pPr>
              <w:spacing w:after="0"/>
              <w:rPr>
                <w:sz w:val="17"/>
                <w:szCs w:val="17"/>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 held to maturity</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12,579,075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11,689,580</w:t>
            </w:r>
          </w:p>
        </w:tc>
        <w:tc>
          <w:tcPr>
            <w:tcW w:w="80" w:type="dxa"/>
            <w:vAlign w:val="bottom"/>
            <w:shd w:val="clear" w:color="auto" w:fill="CFF0FC"/>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3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16,201,571</w:t>
            </w:r>
          </w:p>
        </w:tc>
        <w:tc>
          <w:tcPr>
            <w:tcW w:w="10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15,204,461</w:t>
            </w:r>
          </w:p>
        </w:tc>
        <w:tc>
          <w:tcPr>
            <w:tcW w:w="8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7"/>
        </w:trPr>
        <w:tc>
          <w:tcPr>
            <w:tcW w:w="4120" w:type="dxa"/>
            <w:vAlign w:val="bottom"/>
          </w:tcPr>
          <w:p>
            <w:pPr>
              <w:spacing w:after="0"/>
              <w:rPr>
                <w:sz w:val="24"/>
                <w:szCs w:val="24"/>
                <w:color w:val="auto"/>
              </w:rPr>
            </w:pPr>
          </w:p>
        </w:tc>
        <w:tc>
          <w:tcPr>
            <w:tcW w:w="3620" w:type="dxa"/>
            <w:vAlign w:val="bottom"/>
          </w:tcPr>
          <w:p>
            <w:pPr>
              <w:jc w:val="right"/>
              <w:ind w:right="2202"/>
              <w:spacing w:after="0"/>
              <w:rPr>
                <w:sz w:val="20"/>
                <w:szCs w:val="20"/>
                <w:color w:val="auto"/>
              </w:rPr>
            </w:pPr>
            <w:r>
              <w:rPr>
                <w:rFonts w:ascii="Arial" w:cs="Arial" w:eastAsia="Arial" w:hAnsi="Arial"/>
                <w:sz w:val="16"/>
                <w:szCs w:val="16"/>
                <w:color w:val="auto"/>
              </w:rPr>
              <w:t>- 12 -</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6"/>
        </w:trPr>
        <w:tc>
          <w:tcPr>
            <w:tcW w:w="4120" w:type="dxa"/>
            <w:vAlign w:val="bottom"/>
            <w:tcBorders>
              <w:bottom w:val="single" w:sz="8" w:color="EEEEEE"/>
            </w:tcBorders>
          </w:tcPr>
          <w:p>
            <w:pPr>
              <w:spacing w:after="0"/>
              <w:rPr>
                <w:sz w:val="7"/>
                <w:szCs w:val="7"/>
                <w:color w:val="auto"/>
              </w:rPr>
            </w:pPr>
          </w:p>
        </w:tc>
        <w:tc>
          <w:tcPr>
            <w:tcW w:w="36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04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r>
    </w:tbl>
    <w:p>
      <w:pPr>
        <w:sectPr>
          <w:pgSz w:w="11900" w:h="16840" w:orient="portrait"/>
          <w:cols w:equalWidth="0" w:num="1">
            <w:col w:w="10580"/>
          </w:cols>
          <w:pgMar w:left="640" w:top="562" w:right="680" w:bottom="1440" w:gutter="0" w:footer="0" w:header="0"/>
        </w:sectPr>
      </w:pPr>
    </w:p>
    <w:bookmarkStart w:id="13" w:name="page14"/>
    <w:bookmarkEnd w:id="13"/>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15" w:lineRule="exact"/>
        <w:rPr>
          <w:sz w:val="20"/>
          <w:szCs w:val="20"/>
          <w:color w:val="auto"/>
        </w:rPr>
      </w:pPr>
    </w:p>
    <w:p>
      <w:pPr>
        <w:ind w:left="20" w:right="240" w:firstLine="468"/>
        <w:spacing w:after="0" w:line="263" w:lineRule="auto"/>
        <w:rPr>
          <w:sz w:val="20"/>
          <w:szCs w:val="20"/>
          <w:color w:val="auto"/>
        </w:rPr>
      </w:pPr>
      <w:r>
        <w:rPr>
          <w:rFonts w:ascii="Arial" w:cs="Arial" w:eastAsia="Arial" w:hAnsi="Arial"/>
          <w:sz w:val="18"/>
          <w:szCs w:val="18"/>
          <w:color w:val="auto"/>
        </w:rPr>
        <w:t>A summary of investment securities that as of March 31, 2023 and December 31, 2022 had been in a continuous unrealized loss position for less than twelve months and those that had been in a continuous unrealized loss position for twelve months or longer follows: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6"/>
          </w:tcPr>
          <w:p>
            <w:pPr>
              <w:ind w:left="34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6"/>
          </w:tcPr>
          <w:p>
            <w:pPr>
              <w:ind w:left="300"/>
              <w:spacing w:after="0"/>
              <w:rPr>
                <w:sz w:val="20"/>
                <w:szCs w:val="20"/>
                <w:color w:val="auto"/>
              </w:rPr>
            </w:pPr>
            <w:r>
              <w:rPr>
                <w:rFonts w:ascii="Arial" w:cs="Arial" w:eastAsia="Arial" w:hAnsi="Arial"/>
                <w:sz w:val="13"/>
                <w:szCs w:val="13"/>
                <w:b w:val="1"/>
                <w:bCs w:val="1"/>
                <w:color w:val="auto"/>
              </w:rPr>
              <w:t>12 Months or More</w:t>
            </w:r>
          </w:p>
        </w:tc>
      </w:tr>
      <w:tr>
        <w:trPr>
          <w:trHeight w:val="156"/>
        </w:trPr>
        <w:tc>
          <w:tcPr>
            <w:tcW w:w="4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Unrealized</w:t>
            </w:r>
          </w:p>
        </w:tc>
      </w:tr>
      <w:tr>
        <w:trPr>
          <w:trHeight w:val="180"/>
        </w:trPr>
        <w:tc>
          <w:tcPr>
            <w:tcW w:w="4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Value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Losses</w:t>
            </w:r>
          </w:p>
        </w:tc>
      </w:tr>
      <w:tr>
        <w:trPr>
          <w:trHeight w:val="184"/>
        </w:trPr>
        <w:tc>
          <w:tcPr>
            <w:tcW w:w="4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March 31, 2023</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4,257,631</w:t>
            </w:r>
          </w:p>
        </w:tc>
        <w:tc>
          <w:tcPr>
            <w:tcW w:w="1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75,505</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3,251,259</w:t>
            </w: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111,822</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issued or guaranteed:</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615,024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660,250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25,055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1,704,875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116,393</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Other debt securities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66,072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92,417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8,969</w:t>
            </w: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5,598,977</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120,806</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5,050,671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237,258</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Investment securities held to maturity:</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1,021,248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35,427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Obligations of states and political subdivisions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576,759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1,867,537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67,183</w:t>
            </w: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180"/>
              <w:spacing w:after="0"/>
              <w:rPr>
                <w:sz w:val="20"/>
                <w:szCs w:val="20"/>
                <w:color w:val="auto"/>
              </w:rPr>
            </w:pPr>
            <w:r>
              <w:rPr>
                <w:rFonts w:ascii="Arial" w:cs="Arial" w:eastAsia="Arial" w:hAnsi="Arial"/>
                <w:sz w:val="16"/>
                <w:szCs w:val="16"/>
                <w:color w:val="auto"/>
              </w:rPr>
              <w:t>Government issued or guaranteed:</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1,739,336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106,970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414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5,613,759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446,267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2,464,780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350,212</w:t>
            </w: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Privately issued</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35,380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6,849</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8,953,141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593,815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4,367,697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424,244</w:t>
            </w:r>
          </w:p>
        </w:tc>
        <w:tc>
          <w:tcPr>
            <w:tcW w:w="80" w:type="dxa"/>
            <w:vAlign w:val="bottom"/>
          </w:tcPr>
          <w:p>
            <w:pPr>
              <w:spacing w:after="0"/>
              <w:rPr>
                <w:sz w:val="17"/>
                <w:szCs w:val="17"/>
                <w:color w:val="auto"/>
              </w:rPr>
            </w:pPr>
          </w:p>
        </w:tc>
      </w:tr>
      <w:tr>
        <w:trPr>
          <w:trHeight w:val="24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14,552,118</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714,621</w:t>
            </w:r>
          </w:p>
        </w:tc>
        <w:tc>
          <w:tcPr>
            <w:tcW w:w="1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9,418,368</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661,502</w:t>
            </w:r>
          </w:p>
        </w:tc>
        <w:tc>
          <w:tcPr>
            <w:tcW w:w="80" w:type="dxa"/>
            <w:vAlign w:val="bottom"/>
            <w:shd w:val="clear" w:color="auto" w:fill="CFF0FC"/>
          </w:tcPr>
          <w:p>
            <w:pPr>
              <w:spacing w:after="0"/>
              <w:rPr>
                <w:sz w:val="21"/>
                <w:szCs w:val="21"/>
                <w:color w:val="auto"/>
              </w:rPr>
            </w:pPr>
          </w:p>
        </w:tc>
      </w:tr>
      <w:tr>
        <w:trPr>
          <w:trHeight w:val="180"/>
        </w:trPr>
        <w:tc>
          <w:tcPr>
            <w:tcW w:w="4140" w:type="dxa"/>
            <w:vAlign w:val="bottom"/>
            <w:tcBorders>
              <w:top w:val="single" w:sz="8" w:color="CFF0FC"/>
            </w:tcBorders>
          </w:tcPr>
          <w:p>
            <w:pPr>
              <w:spacing w:after="0"/>
              <w:rPr>
                <w:sz w:val="15"/>
                <w:szCs w:val="15"/>
                <w:color w:val="auto"/>
              </w:rPr>
            </w:pPr>
          </w:p>
        </w:tc>
        <w:tc>
          <w:tcPr>
            <w:tcW w:w="14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40"/>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December 31, 2022</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6,706,413</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183,760</w:t>
            </w:r>
          </w:p>
        </w:tc>
        <w:tc>
          <w:tcPr>
            <w:tcW w:w="10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841,945</w:t>
            </w:r>
          </w:p>
        </w:tc>
        <w:tc>
          <w:tcPr>
            <w:tcW w:w="10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59,412</w:t>
            </w: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issued or guaranteed:</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574,299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25"/>
        </w:trPr>
        <w:tc>
          <w:tcPr>
            <w:tcW w:w="41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w:t>
            </w:r>
          </w:p>
        </w:tc>
        <w:tc>
          <w:tcPr>
            <w:tcW w:w="14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2,295,873</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169,489</w:t>
            </w:r>
          </w:p>
        </w:tc>
        <w:tc>
          <w:tcPr>
            <w:tcW w:w="1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28,305</w:t>
            </w:r>
          </w:p>
        </w:tc>
        <w:tc>
          <w:tcPr>
            <w:tcW w:w="1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CFF0FC"/>
          </w:tcPr>
          <w:p>
            <w:pPr>
              <w:spacing w:after="0"/>
              <w:rPr>
                <w:sz w:val="24"/>
                <w:szCs w:val="24"/>
                <w:color w:val="auto"/>
              </w:rPr>
            </w:pP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Other debt securities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93,458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73,280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6,169</w:t>
            </w: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9,670,043</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377,333</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943,530</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67,373</w:t>
            </w: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Investment securities held to maturity:</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1,008,288</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45,747</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Obligations of states and political subdivisions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2,449,420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116,512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1"/>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180"/>
              <w:spacing w:after="0"/>
              <w:rPr>
                <w:sz w:val="20"/>
                <w:szCs w:val="20"/>
                <w:color w:val="auto"/>
              </w:rPr>
            </w:pPr>
            <w:r>
              <w:rPr>
                <w:rFonts w:ascii="Arial" w:cs="Arial" w:eastAsia="Arial" w:hAnsi="Arial"/>
                <w:sz w:val="16"/>
                <w:szCs w:val="16"/>
                <w:color w:val="auto"/>
              </w:rPr>
              <w:t>Government issued or guaranteed:</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808,903</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103,528</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414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6,292,462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619,403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1,319,300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271,660</w:t>
            </w: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Privately issued</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35,661</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7,987</w:t>
            </w: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10,559,073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885,190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1,354,961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279,647</w:t>
            </w:r>
          </w:p>
        </w:tc>
        <w:tc>
          <w:tcPr>
            <w:tcW w:w="80" w:type="dxa"/>
            <w:vAlign w:val="bottom"/>
          </w:tcPr>
          <w:p>
            <w:pPr>
              <w:spacing w:after="0"/>
              <w:rPr>
                <w:sz w:val="20"/>
                <w:szCs w:val="20"/>
                <w:color w:val="auto"/>
              </w:rPr>
            </w:pPr>
          </w:p>
        </w:tc>
      </w:tr>
      <w:tr>
        <w:trPr>
          <w:trHeight w:val="24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20,229,116</w:t>
            </w: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1,262,523</w:t>
            </w:r>
          </w:p>
        </w:tc>
        <w:tc>
          <w:tcPr>
            <w:tcW w:w="1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2,298,491</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347,020</w:t>
            </w:r>
          </w:p>
        </w:tc>
        <w:tc>
          <w:tcPr>
            <w:tcW w:w="80" w:type="dxa"/>
            <w:vAlign w:val="bottom"/>
            <w:shd w:val="clear" w:color="auto" w:fill="CFF0FC"/>
          </w:tcPr>
          <w:p>
            <w:pPr>
              <w:spacing w:after="0"/>
              <w:rPr>
                <w:sz w:val="21"/>
                <w:szCs w:val="21"/>
                <w:color w:val="auto"/>
              </w:rPr>
            </w:pPr>
          </w:p>
        </w:tc>
      </w:tr>
      <w:tr>
        <w:trPr>
          <w:trHeight w:val="346"/>
        </w:trPr>
        <w:tc>
          <w:tcPr>
            <w:tcW w:w="414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22"/>
              <w:spacing w:after="0"/>
              <w:rPr>
                <w:sz w:val="20"/>
                <w:szCs w:val="20"/>
                <w:color w:val="auto"/>
              </w:rPr>
            </w:pPr>
            <w:r>
              <w:rPr>
                <w:rFonts w:ascii="Arial" w:cs="Arial" w:eastAsia="Arial" w:hAnsi="Arial"/>
                <w:sz w:val="16"/>
                <w:szCs w:val="16"/>
                <w:color w:val="auto"/>
              </w:rPr>
              <w:t>- 13 -</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86"/>
        </w:trPr>
        <w:tc>
          <w:tcPr>
            <w:tcW w:w="4140" w:type="dxa"/>
            <w:vAlign w:val="bottom"/>
            <w:tcBorders>
              <w:bottom w:val="single" w:sz="8" w:color="EEEEEE"/>
            </w:tcBorders>
          </w:tcPr>
          <w:p>
            <w:pPr>
              <w:spacing w:after="0"/>
              <w:rPr>
                <w:sz w:val="7"/>
                <w:szCs w:val="7"/>
                <w:color w:val="auto"/>
              </w:rPr>
            </w:pPr>
          </w:p>
        </w:tc>
        <w:tc>
          <w:tcPr>
            <w:tcW w:w="142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40" w:type="dxa"/>
            <w:vAlign w:val="bottom"/>
            <w:tcBorders>
              <w:bottom w:val="single" w:sz="8" w:color="EEEEEE"/>
            </w:tcBorders>
          </w:tcPr>
          <w:p>
            <w:pPr>
              <w:spacing w:after="0"/>
              <w:rPr>
                <w:sz w:val="7"/>
                <w:szCs w:val="7"/>
                <w:color w:val="auto"/>
              </w:rPr>
            </w:pPr>
          </w:p>
        </w:tc>
        <w:tc>
          <w:tcPr>
            <w:tcW w:w="240" w:type="dxa"/>
            <w:vAlign w:val="bottom"/>
            <w:tcBorders>
              <w:bottom w:val="single" w:sz="8" w:color="EEEEEE"/>
            </w:tcBorders>
          </w:tcPr>
          <w:p>
            <w:pPr>
              <w:spacing w:after="0"/>
              <w:rPr>
                <w:sz w:val="7"/>
                <w:szCs w:val="7"/>
                <w:color w:val="auto"/>
              </w:rPr>
            </w:pPr>
          </w:p>
        </w:tc>
        <w:tc>
          <w:tcPr>
            <w:tcW w:w="7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4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r>
    </w:tbl>
    <w:p>
      <w:pPr>
        <w:sectPr>
          <w:pgSz w:w="11900" w:h="16840" w:orient="portrait"/>
          <w:cols w:equalWidth="0" w:num="1">
            <w:col w:w="10580"/>
          </w:cols>
          <w:pgMar w:left="640" w:top="562" w:right="680"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15" w:lineRule="exact"/>
        <w:rPr>
          <w:sz w:val="20"/>
          <w:szCs w:val="20"/>
          <w:color w:val="auto"/>
        </w:rPr>
      </w:pPr>
    </w:p>
    <w:p>
      <w:pPr>
        <w:ind w:left="20" w:right="40" w:firstLine="468"/>
        <w:spacing w:after="0" w:line="255" w:lineRule="auto"/>
        <w:rPr>
          <w:sz w:val="20"/>
          <w:szCs w:val="20"/>
          <w:color w:val="auto"/>
        </w:rPr>
      </w:pPr>
      <w:r>
        <w:rPr>
          <w:rFonts w:ascii="Arial" w:cs="Arial" w:eastAsia="Arial" w:hAnsi="Arial"/>
          <w:sz w:val="18"/>
          <w:szCs w:val="18"/>
          <w:color w:val="auto"/>
        </w:rPr>
        <w:t>The Company owned 4,132 individual debt securities with aggregate gross unrealized losses of $ 1.4 billion at March 31, 2023. Based on a review of each of the securities in the investment securities portfolio at March 31, 2023, the Company concluded that it expected to recover the amortized cost basis of its investment. As of March 31, 2023, the Company does not intend to sell nor is it anticipated that it would be required to sell any of its impaired investment securities at a loss. At March 31, 2023, the Company has not identified events or changes in circumstances which may have a significant adverse effect on the fair value of the $907 million of cost method equity securities.</w:t>
      </w:r>
    </w:p>
    <w:p>
      <w:pPr>
        <w:spacing w:after="0" w:line="73" w:lineRule="exact"/>
        <w:rPr>
          <w:sz w:val="20"/>
          <w:szCs w:val="20"/>
          <w:color w:val="auto"/>
        </w:rPr>
      </w:pPr>
    </w:p>
    <w:p>
      <w:pPr>
        <w:ind w:left="20" w:right="320" w:firstLine="432"/>
        <w:spacing w:after="0" w:line="275" w:lineRule="auto"/>
        <w:rPr>
          <w:sz w:val="20"/>
          <w:szCs w:val="20"/>
          <w:color w:val="auto"/>
        </w:rPr>
      </w:pPr>
      <w:r>
        <w:rPr>
          <w:rFonts w:ascii="Arial" w:cs="Arial" w:eastAsia="Arial" w:hAnsi="Arial"/>
          <w:sz w:val="18"/>
          <w:szCs w:val="18"/>
          <w:color w:val="auto"/>
        </w:rPr>
        <w:t>The Company estimated no material allowance for credit losses for its investment securities classified as held-to-maturity at March 31, 2023 or December 31, 2022.</w:t>
      </w:r>
    </w:p>
    <w:p>
      <w:pPr>
        <w:spacing w:after="0" w:line="54" w:lineRule="exact"/>
        <w:rPr>
          <w:sz w:val="20"/>
          <w:szCs w:val="20"/>
          <w:color w:val="auto"/>
        </w:rPr>
      </w:pPr>
    </w:p>
    <w:p>
      <w:pPr>
        <w:ind w:left="20" w:right="320" w:firstLine="432"/>
        <w:spacing w:after="0" w:line="263" w:lineRule="auto"/>
        <w:rPr>
          <w:sz w:val="20"/>
          <w:szCs w:val="20"/>
          <w:color w:val="auto"/>
        </w:rPr>
      </w:pPr>
      <w:r>
        <w:rPr>
          <w:rFonts w:ascii="Arial" w:cs="Arial" w:eastAsia="Arial" w:hAnsi="Arial"/>
          <w:sz w:val="18"/>
          <w:szCs w:val="18"/>
          <w:color w:val="auto"/>
        </w:rPr>
        <w:t>At March 31, 2023 and December 31, 2022 investment securities with carrying values of $9.0 billion (including $1.2 billion related to repurchase transactions) and $7.9 billion (including $567 million related to repurchase transactions), respectively, were pledged to secure borrowings, lines of credit and governmental deposits.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current, past due and nonaccrual loans as of March 31, 2023 and December 31, 2022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Accruing</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Loans Past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Due 90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30-89 Days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Days or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Current</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Past Due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More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Nonaccrual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r>
      <w:tr>
        <w:trPr>
          <w:trHeight w:val="204"/>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March 31, 2023</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6"/>
                <w:szCs w:val="16"/>
                <w:color w:val="auto"/>
              </w:rPr>
              <w:t>Commercial, financial, leasing, etc.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42,825,221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489,322</w:t>
            </w:r>
          </w:p>
        </w:tc>
        <w:tc>
          <w:tcPr>
            <w:tcW w:w="120" w:type="dxa"/>
            <w:vAlign w:val="bottom"/>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61,550</w:t>
            </w:r>
          </w:p>
        </w:tc>
        <w:tc>
          <w:tcPr>
            <w:tcW w:w="1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382,268</w:t>
            </w:r>
          </w:p>
        </w:tc>
        <w:tc>
          <w:tcPr>
            <w:tcW w:w="1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43,758,361</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 estate: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35,250,019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399,114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1,516,655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37,202,925</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Residential builder and developer</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1,126,693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111,894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1,241,890</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Other commercial construction</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6,231,642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242,226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6,627,726</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Residential</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21,726,963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496,225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292,950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253,646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22,769,784</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Residential — limited documentation</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925,180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68,935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1,020,161</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Home equity lines and loans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4,751,822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80,766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4,859,267</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Recreational finance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9,066,587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48,448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34,186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9,149,221</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Automobile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4,249,035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4,311,147</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1,928,364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16,686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47,183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1,997,210</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128,081,526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1,891,910</w:t>
            </w:r>
          </w:p>
        </w:tc>
        <w:tc>
          <w:tcPr>
            <w:tcW w:w="120" w:type="dxa"/>
            <w:vAlign w:val="bottom"/>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407,457</w:t>
            </w:r>
          </w:p>
        </w:tc>
        <w:tc>
          <w:tcPr>
            <w:tcW w:w="1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2,556,799</w:t>
            </w:r>
          </w:p>
        </w:tc>
        <w:tc>
          <w:tcPr>
            <w:tcW w:w="1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132,937,692</w:t>
            </w:r>
          </w:p>
        </w:tc>
        <w:tc>
          <w:tcPr>
            <w:tcW w:w="8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4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6"/>
                <w:szCs w:val="16"/>
                <w:color w:val="auto"/>
              </w:rPr>
              <w:t>December 31, 2022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financial, leasing, etc.</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40,982,398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448,462</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72,502</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347,204</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41,850,566</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34,972,627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311,188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67,696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1,396,662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36,748,173</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Residential builder and developer</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1,304,798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1,314,730</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construction</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6,936,661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239,521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124,937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7,301,668</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21,491,506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595,897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345,402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272,090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22,704,895</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Residential — limited documentation</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950,782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22,456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77,814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1,051,052</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Home equity lines and loans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4,891,311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30,787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84,788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5,006,886</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Recreational finance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8,974,171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54,593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9,073,394</w:t>
            </w:r>
          </w:p>
        </w:tc>
        <w:tc>
          <w:tcPr>
            <w:tcW w:w="80" w:type="dxa"/>
            <w:vAlign w:val="bottom"/>
          </w:tcPr>
          <w:p>
            <w:pPr>
              <w:spacing w:after="0"/>
              <w:rPr>
                <w:sz w:val="17"/>
                <w:szCs w:val="17"/>
                <w:color w:val="auto"/>
              </w:rPr>
            </w:pPr>
          </w:p>
        </w:tc>
      </w:tr>
      <w:tr>
        <w:trPr>
          <w:trHeight w:val="205"/>
        </w:trPr>
        <w:tc>
          <w:tcPr>
            <w:tcW w:w="4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Automobile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4,393,206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44,486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39,584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4,477,276</w:t>
            </w:r>
          </w:p>
        </w:tc>
        <w:tc>
          <w:tcPr>
            <w:tcW w:w="80" w:type="dxa"/>
            <w:vAlign w:val="bottom"/>
            <w:shd w:val="clear" w:color="auto" w:fill="CFF0FC"/>
          </w:tcPr>
          <w:p>
            <w:pPr>
              <w:spacing w:after="0"/>
              <w:rPr>
                <w:sz w:val="17"/>
                <w:szCs w:val="17"/>
                <w:color w:val="auto"/>
              </w:rPr>
            </w:pPr>
          </w:p>
        </w:tc>
      </w:tr>
      <w:tr>
        <w:trPr>
          <w:trHeight w:val="203"/>
        </w:trPr>
        <w:tc>
          <w:tcPr>
            <w:tcW w:w="4160" w:type="dxa"/>
            <w:vAlign w:val="bottom"/>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1,958,196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49,497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2,035,523</w:t>
            </w:r>
          </w:p>
        </w:tc>
        <w:tc>
          <w:tcPr>
            <w:tcW w:w="80" w:type="dxa"/>
            <w:vAlign w:val="bottom"/>
          </w:tcPr>
          <w:p>
            <w:pPr>
              <w:spacing w:after="0"/>
              <w:rPr>
                <w:sz w:val="17"/>
                <w:szCs w:val="17"/>
                <w:color w:val="auto"/>
              </w:rPr>
            </w:pPr>
          </w:p>
        </w:tc>
      </w:tr>
      <w:tr>
        <w:trPr>
          <w:trHeight w:val="244"/>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126,855,656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1,779,054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491,018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2,438,435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131,564,163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71"/>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6"/>
                <w:szCs w:val="16"/>
                <w:color w:val="auto"/>
              </w:rPr>
              <w:t>- 14 -</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8"/>
        </w:trPr>
        <w:tc>
          <w:tcPr>
            <w:tcW w:w="416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90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90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ectPr>
          <w:pgSz w:w="11900" w:h="16840" w:orient="portrait"/>
          <w:cols w:equalWidth="0" w:num="1">
            <w:col w:w="10580"/>
          </w:cols>
          <w:pgMar w:left="640" w:top="562" w:right="680"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20" w:firstLine="468"/>
        <w:spacing w:after="0" w:line="263" w:lineRule="auto"/>
        <w:rPr>
          <w:sz w:val="20"/>
          <w:szCs w:val="20"/>
          <w:color w:val="auto"/>
        </w:rPr>
      </w:pPr>
      <w:r>
        <w:rPr>
          <w:rFonts w:ascii="Arial" w:cs="Arial" w:eastAsia="Arial" w:hAnsi="Arial"/>
          <w:sz w:val="18"/>
          <w:szCs w:val="18"/>
          <w:color w:val="auto"/>
        </w:rPr>
        <w:t>One-to-four family residential mortgage loans held for sale were $152 million and $32 million at March 31, 2023 and December 31, 2022, respectively. Commercial real estate loans held for sale were $321 million at March 31, 2023 and $131 million at December 31, 2022.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73"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Factors considered in assigning loan grades include borrower- 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credit personnel review all criticized commercial loans and commercial real estate loans greater than $1 million to determine the appropriateness of the assigned loan grade, including whether the loan should be reported as accruing or nonaccruing.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20" w:firstLine="468"/>
        <w:spacing w:after="0" w:line="263" w:lineRule="auto"/>
        <w:rPr>
          <w:sz w:val="20"/>
          <w:szCs w:val="20"/>
          <w:color w:val="auto"/>
        </w:rPr>
      </w:pPr>
      <w:r>
        <w:rPr>
          <w:rFonts w:ascii="Arial" w:cs="Arial" w:eastAsia="Arial" w:hAnsi="Arial"/>
          <w:sz w:val="18"/>
          <w:szCs w:val="18"/>
          <w:color w:val="auto"/>
        </w:rPr>
        <w:t>The following table summarizes the loan grades applied at March 31, 2023 to the various classes of the Company’s commercial loans and commercial real estate loans and gross charge-offs for those types of loans for the three months ended March 31, 2023 by origination year.</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Revolving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Converted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ind w:left="80"/>
              <w:spacing w:after="0"/>
              <w:rPr>
                <w:sz w:val="20"/>
                <w:szCs w:val="20"/>
                <w:color w:val="auto"/>
              </w:rPr>
            </w:pPr>
            <w:r>
              <w:rPr>
                <w:rFonts w:ascii="Arial" w:cs="Arial" w:eastAsia="Arial" w:hAnsi="Arial"/>
                <w:sz w:val="11"/>
                <w:szCs w:val="11"/>
                <w:b w:val="1"/>
                <w:bCs w:val="1"/>
                <w:color w:val="auto"/>
              </w:rPr>
              <w:t>Term Loans by Origination Year</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120" w:type="dxa"/>
            <w:vAlign w:val="bottom"/>
          </w:tcPr>
          <w:p>
            <w:pPr>
              <w:spacing w:after="0"/>
              <w:rPr>
                <w:sz w:val="13"/>
                <w:szCs w:val="13"/>
                <w:color w:val="auto"/>
              </w:rPr>
            </w:pPr>
          </w:p>
        </w:tc>
        <w:tc>
          <w:tcPr>
            <w:tcW w:w="88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260"/>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Loans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Commercial, financial, leasing, etc.:</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Loan grades:</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Pass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2,250,004</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8,170,214</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4,708,911</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1,809,434</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1,606,622</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2,562,970</w:t>
            </w:r>
          </w:p>
        </w:tc>
        <w:tc>
          <w:tcPr>
            <w:tcW w:w="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20,254,352</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42,666</w:t>
            </w:r>
          </w:p>
        </w:tc>
        <w:tc>
          <w:tcPr>
            <w:tcW w:w="100" w:type="dxa"/>
            <w:vAlign w:val="bottom"/>
          </w:tcPr>
          <w:p>
            <w:pPr>
              <w:spacing w:after="0"/>
              <w:rPr>
                <w:sz w:val="13"/>
                <w:szCs w:val="13"/>
                <w:color w:val="auto"/>
              </w:rPr>
            </w:pPr>
          </w:p>
        </w:tc>
        <w:tc>
          <w:tcPr>
            <w:tcW w:w="26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41,405,173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Criticized accrual</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42,754</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280,361</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271,872</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190,293</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134,573</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305,353</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726,296</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19,418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1,970,920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Criticized nonaccrual</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258</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24,490</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44,960</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32,392</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27,903</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92,676</w:t>
            </w:r>
          </w:p>
        </w:tc>
        <w:tc>
          <w:tcPr>
            <w:tcW w:w="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152,114</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7,475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382,268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commercial,</w:t>
            </w:r>
          </w:p>
        </w:tc>
        <w:tc>
          <w:tcPr>
            <w:tcW w:w="16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2,293,016</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8,475,065</w:t>
            </w:r>
          </w:p>
        </w:tc>
        <w:tc>
          <w:tcPr>
            <w:tcW w:w="1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5,025,743</w:t>
            </w:r>
          </w:p>
        </w:tc>
        <w:tc>
          <w:tcPr>
            <w:tcW w:w="1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2,032,119</w:t>
            </w: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1,769,098</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2,960,999</w:t>
            </w:r>
          </w:p>
        </w:tc>
        <w:tc>
          <w:tcPr>
            <w:tcW w:w="8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21,132,762</w:t>
            </w: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69,559</w:t>
            </w: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43,758,361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20" w:type="dxa"/>
            <w:vAlign w:val="bottom"/>
            <w:tcBorders>
              <w:bottom w:val="single" w:sz="8" w:color="CFF0FC"/>
            </w:tcBorders>
            <w:shd w:val="clear" w:color="auto" w:fill="CFF0FC"/>
          </w:tcPr>
          <w:p>
            <w:pPr>
              <w:ind w:left="100"/>
              <w:spacing w:after="0" w:line="86" w:lineRule="exact"/>
              <w:rPr>
                <w:sz w:val="20"/>
                <w:szCs w:val="20"/>
                <w:color w:val="auto"/>
              </w:rPr>
            </w:pPr>
            <w:r>
              <w:rPr>
                <w:rFonts w:ascii="Arial" w:cs="Arial" w:eastAsia="Arial" w:hAnsi="Arial"/>
                <w:sz w:val="9"/>
                <w:szCs w:val="9"/>
                <w:color w:val="auto"/>
              </w:rPr>
              <w:t>financial, leasing, etc.</w:t>
            </w: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4,104</w:t>
            </w:r>
          </w:p>
        </w:tc>
        <w:tc>
          <w:tcPr>
            <w:tcW w:w="1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3,405</w:t>
            </w:r>
          </w:p>
        </w:tc>
        <w:tc>
          <w:tcPr>
            <w:tcW w:w="1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2,753</w:t>
            </w:r>
          </w:p>
        </w:tc>
        <w:tc>
          <w:tcPr>
            <w:tcW w:w="1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2,303</w:t>
            </w:r>
          </w:p>
        </w:tc>
        <w:tc>
          <w:tcPr>
            <w:tcW w:w="12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5,557</w:t>
            </w:r>
          </w:p>
        </w:tc>
        <w:tc>
          <w:tcPr>
            <w:tcW w:w="8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19,002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tcPr>
          <w:p>
            <w:pPr>
              <w:ind w:left="20"/>
              <w:spacing w:after="0"/>
              <w:rPr>
                <w:sz w:val="20"/>
                <w:szCs w:val="20"/>
                <w:color w:val="auto"/>
              </w:rPr>
            </w:pPr>
            <w:r>
              <w:rPr>
                <w:rFonts w:ascii="Arial" w:cs="Arial" w:eastAsia="Arial" w:hAnsi="Arial"/>
                <w:sz w:val="11"/>
                <w:szCs w:val="11"/>
                <w:b w:val="1"/>
                <w:bCs w:val="1"/>
                <w:color w:val="auto"/>
              </w:rPr>
              <w:t>Real estate:</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Commercial:</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20" w:type="dxa"/>
            <w:vAlign w:val="bottom"/>
          </w:tcPr>
          <w:p>
            <w:pPr>
              <w:ind w:left="160"/>
              <w:spacing w:after="0"/>
              <w:rPr>
                <w:sz w:val="20"/>
                <w:szCs w:val="20"/>
                <w:color w:val="auto"/>
              </w:rPr>
            </w:pPr>
            <w:r>
              <w:rPr>
                <w:rFonts w:ascii="Arial" w:cs="Arial" w:eastAsia="Arial" w:hAnsi="Arial"/>
                <w:sz w:val="11"/>
                <w:szCs w:val="11"/>
                <w:color w:val="auto"/>
              </w:rPr>
              <w:t>Loan grades: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Pass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1,325,649</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3,942,090</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3,262,243</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3,261,936</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4,618,336</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13,821,937</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765,232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30,997,423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Criticized accrual</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2,491</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385,474</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463,714</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344,587</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800,868</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2,662,161</w:t>
            </w:r>
          </w:p>
        </w:tc>
        <w:tc>
          <w:tcPr>
            <w:tcW w:w="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29,552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4,688,847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Criticized nonaccrual</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27,340</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26,015</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260,829</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247,845</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932,736</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21,890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1,516,655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20"/>
              <w:spacing w:after="0"/>
              <w:rPr>
                <w:sz w:val="20"/>
                <w:szCs w:val="20"/>
                <w:color w:val="auto"/>
              </w:rPr>
            </w:pPr>
            <w:r>
              <w:rPr>
                <w:rFonts w:ascii="Arial" w:cs="Arial" w:eastAsia="Arial" w:hAnsi="Arial"/>
                <w:sz w:val="11"/>
                <w:szCs w:val="11"/>
                <w:color w:val="auto"/>
              </w:rPr>
              <w:t>Total commercial real</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1,328,140</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4,354,904</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3,751,972</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3,867,352</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5,667,049</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17,416,834</w:t>
            </w:r>
          </w:p>
        </w:tc>
        <w:tc>
          <w:tcPr>
            <w:tcW w:w="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816,674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37,202,925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tcPr>
          <w:p>
            <w:pPr>
              <w:ind w:left="100"/>
              <w:spacing w:after="0" w:line="86" w:lineRule="exact"/>
              <w:rPr>
                <w:sz w:val="20"/>
                <w:szCs w:val="20"/>
                <w:color w:val="auto"/>
              </w:rPr>
            </w:pPr>
            <w:r>
              <w:rPr>
                <w:rFonts w:ascii="Arial" w:cs="Arial" w:eastAsia="Arial" w:hAnsi="Arial"/>
                <w:sz w:val="9"/>
                <w:szCs w:val="9"/>
                <w:color w:val="auto"/>
              </w:rPr>
              <w:t>estate</w:t>
            </w: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26,390</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2,478</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28,868</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Residential builder and developer:</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60"/>
              <w:spacing w:after="0"/>
              <w:rPr>
                <w:sz w:val="20"/>
                <w:szCs w:val="20"/>
                <w:color w:val="auto"/>
              </w:rPr>
            </w:pPr>
            <w:r>
              <w:rPr>
                <w:rFonts w:ascii="Arial" w:cs="Arial" w:eastAsia="Arial" w:hAnsi="Arial"/>
                <w:sz w:val="11"/>
                <w:szCs w:val="11"/>
                <w:color w:val="auto"/>
              </w:rPr>
              <w:t>Loan grades: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Pass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83,843</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602,093</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175,624</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11,345</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18,198</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14,911</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120,680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1,026,694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Criticized accrual</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987</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8,381</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25,225</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4,161</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113,186</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30,928</w:t>
            </w:r>
          </w:p>
        </w:tc>
        <w:tc>
          <w:tcPr>
            <w:tcW w:w="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29,025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211,893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Criticized nonaccrual</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518</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2,064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3,303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20"/>
              <w:spacing w:after="0"/>
              <w:rPr>
                <w:sz w:val="20"/>
                <w:szCs w:val="20"/>
                <w:color w:val="auto"/>
              </w:rPr>
            </w:pPr>
            <w:r>
              <w:rPr>
                <w:rFonts w:ascii="Arial" w:cs="Arial" w:eastAsia="Arial" w:hAnsi="Arial"/>
                <w:sz w:val="11"/>
                <w:szCs w:val="11"/>
                <w:color w:val="auto"/>
              </w:rPr>
              <w:t>Total residential builder</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84,830</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610,475</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201,569</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15,506</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131,902</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47,903</w:t>
            </w:r>
          </w:p>
        </w:tc>
        <w:tc>
          <w:tcPr>
            <w:tcW w:w="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149,705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1,241,890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tcPr>
          <w:p>
            <w:pPr>
              <w:ind w:left="100"/>
              <w:spacing w:after="0" w:line="86" w:lineRule="exact"/>
              <w:rPr>
                <w:sz w:val="20"/>
                <w:szCs w:val="20"/>
                <w:color w:val="auto"/>
              </w:rPr>
            </w:pPr>
            <w:r>
              <w:rPr>
                <w:rFonts w:ascii="Arial" w:cs="Arial" w:eastAsia="Arial" w:hAnsi="Arial"/>
                <w:sz w:val="9"/>
                <w:szCs w:val="9"/>
                <w:color w:val="auto"/>
              </w:rPr>
              <w:t>and developer</w:t>
            </w: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1,517</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commercial construction:</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60"/>
              <w:spacing w:after="0"/>
              <w:rPr>
                <w:sz w:val="20"/>
                <w:szCs w:val="20"/>
                <w:color w:val="auto"/>
              </w:rPr>
            </w:pPr>
            <w:r>
              <w:rPr>
                <w:rFonts w:ascii="Arial" w:cs="Arial" w:eastAsia="Arial" w:hAnsi="Arial"/>
                <w:sz w:val="11"/>
                <w:szCs w:val="11"/>
                <w:color w:val="auto"/>
              </w:rPr>
              <w:t>Loan grades: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Pass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155,587</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1,193,762</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1,064,242</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1,125,568</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873,449</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370,721</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28,802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4,812,131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Criticized accrual</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26,116</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124,624</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325,712</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796,275</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399,657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1,672,580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Criticized nonaccrual</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9,976</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43,194</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61,154</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26,265</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2,426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143,015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20"/>
              <w:spacing w:after="0"/>
              <w:rPr>
                <w:sz w:val="20"/>
                <w:szCs w:val="20"/>
                <w:color w:val="auto"/>
              </w:rPr>
            </w:pPr>
            <w:r>
              <w:rPr>
                <w:rFonts w:ascii="Arial" w:cs="Arial" w:eastAsia="Arial" w:hAnsi="Arial"/>
                <w:sz w:val="11"/>
                <w:szCs w:val="11"/>
                <w:color w:val="auto"/>
              </w:rPr>
              <w:t>Total other commercial</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155,783</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1,219,878</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1,198,842</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1,494,474</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1,730,878</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796,643</w:t>
            </w:r>
          </w:p>
        </w:tc>
        <w:tc>
          <w:tcPr>
            <w:tcW w:w="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31,228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tcPr>
          <w:p>
            <w:pPr>
              <w:jc w:val="right"/>
              <w:ind w:right="51"/>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6,627,726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tcPr>
          <w:p>
            <w:pPr>
              <w:ind w:left="100"/>
              <w:spacing w:after="0" w:line="86" w:lineRule="exact"/>
              <w:rPr>
                <w:sz w:val="20"/>
                <w:szCs w:val="20"/>
                <w:color w:val="auto"/>
              </w:rPr>
            </w:pPr>
            <w:r>
              <w:rPr>
                <w:rFonts w:ascii="Arial" w:cs="Arial" w:eastAsia="Arial" w:hAnsi="Arial"/>
                <w:sz w:val="9"/>
                <w:szCs w:val="9"/>
                <w:color w:val="auto"/>
              </w:rPr>
              <w:t>construction</w:t>
            </w: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- 16 -</w:t>
      </w:r>
    </w:p>
    <w:p>
      <w:pPr>
        <w:sectPr>
          <w:pgSz w:w="11900" w:h="16840" w:orient="portrait"/>
          <w:cols w:equalWidth="0" w:num="1">
            <w:col w:w="10560"/>
          </w:cols>
          <w:pgMar w:left="660" w:top="562" w:right="680"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200" w:firstLine="468"/>
        <w:spacing w:after="0" w:line="259" w:lineRule="auto"/>
        <w:rPr>
          <w:sz w:val="20"/>
          <w:szCs w:val="20"/>
          <w:color w:val="auto"/>
        </w:rPr>
      </w:pPr>
      <w:r>
        <w:rPr>
          <w:rFonts w:ascii="Arial" w:cs="Arial" w:eastAsia="Arial" w:hAnsi="Arial"/>
          <w:sz w:val="18"/>
          <w:szCs w:val="18"/>
          <w:color w:val="auto"/>
        </w:rPr>
        <w:t>The Company considers repayment performance a significant indicator of credit quality for its residential real estate loan and consumer loan portfolios. A summary of loans in accrual and nonaccrual status at March 31, 2023 for the various classes of the Company’s residential real estate loans and consumer loans and gross charge-offs for those types of loans for the three months ended March 31, 2023 by origination year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Converted to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ind w:left="80"/>
              <w:spacing w:after="0"/>
              <w:rPr>
                <w:sz w:val="20"/>
                <w:szCs w:val="20"/>
                <w:color w:val="auto"/>
              </w:rPr>
            </w:pPr>
            <w:r>
              <w:rPr>
                <w:rFonts w:ascii="Arial" w:cs="Arial" w:eastAsia="Arial" w:hAnsi="Arial"/>
                <w:sz w:val="11"/>
                <w:szCs w:val="11"/>
                <w:b w:val="1"/>
                <w:bCs w:val="1"/>
                <w:color w:val="auto"/>
              </w:rPr>
              <w:t>Term Loans by Origination Year</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Revolving</w:t>
            </w:r>
          </w:p>
        </w:tc>
        <w:tc>
          <w:tcPr>
            <w:tcW w:w="8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120" w:type="dxa"/>
            <w:vAlign w:val="bottom"/>
          </w:tcPr>
          <w:p>
            <w:pPr>
              <w:spacing w:after="0"/>
              <w:rPr>
                <w:sz w:val="13"/>
                <w:szCs w:val="13"/>
                <w:color w:val="auto"/>
              </w:rPr>
            </w:pPr>
          </w:p>
        </w:tc>
        <w:tc>
          <w:tcPr>
            <w:tcW w:w="88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60"/>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8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20" w:type="dxa"/>
            <w:vAlign w:val="bottom"/>
          </w:tcPr>
          <w:p>
            <w:pPr>
              <w:ind w:left="20"/>
              <w:spacing w:after="0"/>
              <w:rPr>
                <w:sz w:val="20"/>
                <w:szCs w:val="20"/>
                <w:color w:val="auto"/>
              </w:rPr>
            </w:pPr>
            <w:r>
              <w:rPr>
                <w:rFonts w:ascii="Arial" w:cs="Arial" w:eastAsia="Arial" w:hAnsi="Arial"/>
                <w:sz w:val="11"/>
                <w:szCs w:val="11"/>
                <w:b w:val="1"/>
                <w:bCs w:val="1"/>
                <w:color w:val="auto"/>
              </w:rPr>
              <w:t>Residential:</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Current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497,138</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5,056,599</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3,968,015</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2,722,670</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1,360,032</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8,098,258</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24,251</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21,726,963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30-89 days past due</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1,408</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55,995</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50,487</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25,710</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19,711</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340,852</w:t>
            </w:r>
          </w:p>
        </w:tc>
        <w:tc>
          <w:tcPr>
            <w:tcW w:w="1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2,062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496,225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Accruing loans past due</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90 days or more</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14,957</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28,430</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17,231</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11,726</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220,606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292,950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Nonaccrual</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7,087</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12,270</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2,528</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8,859</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216,014</w:t>
            </w:r>
          </w:p>
        </w:tc>
        <w:tc>
          <w:tcPr>
            <w:tcW w:w="1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6,888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253,646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Total residential</w:t>
            </w: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498,546</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5,134,638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4,059,202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2,768,139</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1,400,328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8,875,730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33,201</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22,769,784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1,286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1,565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80" w:type="dxa"/>
            <w:vAlign w:val="bottom"/>
            <w:gridSpan w:val="2"/>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80" w:type="dxa"/>
            <w:vAlign w:val="bottom"/>
            <w:gridSpan w:val="2"/>
          </w:tcPr>
          <w:p>
            <w:pPr>
              <w:ind w:left="20"/>
              <w:spacing w:after="0"/>
              <w:rPr>
                <w:sz w:val="20"/>
                <w:szCs w:val="20"/>
                <w:color w:val="auto"/>
              </w:rPr>
            </w:pPr>
            <w:r>
              <w:rPr>
                <w:rFonts w:ascii="Arial" w:cs="Arial" w:eastAsia="Arial" w:hAnsi="Arial"/>
                <w:sz w:val="11"/>
                <w:szCs w:val="11"/>
                <w:b w:val="1"/>
                <w:bCs w:val="1"/>
                <w:color w:val="auto"/>
              </w:rPr>
              <w:t>Residential - limited documentation:</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Current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925,180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925,180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30-89 days past due</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26,046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26,046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Accruing loans past due</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90 days or more</w:t>
            </w:r>
          </w:p>
        </w:tc>
        <w:tc>
          <w:tcPr>
            <w:tcW w:w="16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Nonaccrual</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68,935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68,935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residential - limited</w:t>
            </w:r>
          </w:p>
        </w:tc>
        <w:tc>
          <w:tcPr>
            <w:tcW w:w="16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1,020,161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1,020,161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20" w:type="dxa"/>
            <w:vAlign w:val="bottom"/>
            <w:tcBorders>
              <w:bottom w:val="single" w:sz="8" w:color="CFF0FC"/>
            </w:tcBorders>
            <w:shd w:val="clear" w:color="auto" w:fill="CFF0FC"/>
          </w:tcPr>
          <w:p>
            <w:pPr>
              <w:ind w:left="100"/>
              <w:spacing w:after="0" w:line="86" w:lineRule="exact"/>
              <w:rPr>
                <w:sz w:val="20"/>
                <w:szCs w:val="20"/>
                <w:color w:val="auto"/>
              </w:rPr>
            </w:pPr>
            <w:r>
              <w:rPr>
                <w:rFonts w:ascii="Arial" w:cs="Arial" w:eastAsia="Arial" w:hAnsi="Arial"/>
                <w:sz w:val="9"/>
                <w:szCs w:val="9"/>
                <w:color w:val="auto"/>
              </w:rPr>
              <w:t>documentation</w:t>
            </w: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tcPr>
          <w:p>
            <w:pPr>
              <w:ind w:left="20"/>
              <w:spacing w:after="0"/>
              <w:rPr>
                <w:sz w:val="20"/>
                <w:szCs w:val="20"/>
                <w:color w:val="auto"/>
              </w:rPr>
            </w:pPr>
            <w:r>
              <w:rPr>
                <w:rFonts w:ascii="Arial" w:cs="Arial" w:eastAsia="Arial" w:hAnsi="Arial"/>
                <w:sz w:val="11"/>
                <w:szCs w:val="11"/>
                <w:b w:val="1"/>
                <w:bCs w:val="1"/>
                <w:color w:val="auto"/>
              </w:rPr>
              <w:t>Consumer:</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Home equity lines and</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FF0FC"/>
          </w:tcPr>
          <w:p>
            <w:pPr>
              <w:ind w:left="100"/>
              <w:spacing w:after="0"/>
              <w:rPr>
                <w:sz w:val="20"/>
                <w:szCs w:val="20"/>
                <w:color w:val="auto"/>
              </w:rPr>
            </w:pPr>
            <w:r>
              <w:rPr>
                <w:rFonts w:ascii="Arial" w:cs="Arial" w:eastAsia="Arial" w:hAnsi="Arial"/>
                <w:sz w:val="11"/>
                <w:szCs w:val="11"/>
                <w:color w:val="auto"/>
              </w:rPr>
              <w:t>loans:</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Current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172</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2,007</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2,265</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15,068</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113,605</w:t>
            </w:r>
          </w:p>
        </w:tc>
        <w:tc>
          <w:tcPr>
            <w:tcW w:w="1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3,138,593</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1,480,079</w:t>
            </w:r>
          </w:p>
        </w:tc>
        <w:tc>
          <w:tcPr>
            <w:tcW w:w="100" w:type="dxa"/>
            <w:vAlign w:val="bottom"/>
          </w:tcPr>
          <w:p>
            <w:pPr>
              <w:spacing w:after="0"/>
              <w:rPr>
                <w:sz w:val="13"/>
                <w:szCs w:val="13"/>
                <w:color w:val="auto"/>
              </w:rPr>
            </w:pP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4,751,822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1,563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25,025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26,679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8,110</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1,880</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70,696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80,766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20"/>
              <w:spacing w:after="0"/>
              <w:rPr>
                <w:sz w:val="20"/>
                <w:szCs w:val="20"/>
                <w:color w:val="auto"/>
              </w:rPr>
            </w:pPr>
            <w:r>
              <w:rPr>
                <w:rFonts w:ascii="Arial" w:cs="Arial" w:eastAsia="Arial" w:hAnsi="Arial"/>
                <w:sz w:val="11"/>
                <w:szCs w:val="11"/>
                <w:color w:val="auto"/>
              </w:rPr>
              <w:t>Total home equity lines and</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172</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2,032</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2,320</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15,159</w:t>
            </w: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123,278</w:t>
            </w:r>
          </w:p>
        </w:tc>
        <w:tc>
          <w:tcPr>
            <w:tcW w:w="12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3,140,473</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1,575,800</w:t>
            </w:r>
          </w:p>
        </w:tc>
        <w:tc>
          <w:tcPr>
            <w:tcW w:w="100" w:type="dxa"/>
            <w:vAlign w:val="bottom"/>
          </w:tcPr>
          <w:p>
            <w:pPr>
              <w:spacing w:after="0"/>
              <w:rPr>
                <w:sz w:val="12"/>
                <w:szCs w:val="12"/>
                <w:color w:val="auto"/>
              </w:rPr>
            </w:pPr>
          </w:p>
        </w:tc>
        <w:tc>
          <w:tcPr>
            <w:tcW w:w="220" w:type="dxa"/>
            <w:vAlign w:val="bottom"/>
            <w:gridSpan w:val="2"/>
            <w:vMerge w:val="restart"/>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4,859,267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20" w:type="dxa"/>
            <w:vAlign w:val="bottom"/>
          </w:tcPr>
          <w:p>
            <w:pPr>
              <w:ind w:left="100"/>
              <w:spacing w:after="0" w:line="86" w:lineRule="exact"/>
              <w:rPr>
                <w:sz w:val="20"/>
                <w:szCs w:val="20"/>
                <w:color w:val="auto"/>
              </w:rPr>
            </w:pPr>
            <w:r>
              <w:rPr>
                <w:rFonts w:ascii="Arial" w:cs="Arial" w:eastAsia="Arial" w:hAnsi="Arial"/>
                <w:sz w:val="9"/>
                <w:szCs w:val="9"/>
                <w:color w:val="auto"/>
              </w:rPr>
              <w:t>loans</w:t>
            </w: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31</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1,298</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704</w:t>
            </w:r>
          </w:p>
        </w:tc>
        <w:tc>
          <w:tcPr>
            <w:tcW w:w="10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Recreational finance:</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Current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521,520</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2,711,445</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2,171,200</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1,511,470</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918,584</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1,232,368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9,066,587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8,378</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9,892</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9,833</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7,475</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12,590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48,448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2,875</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6,473</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7,112</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5,256</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12,470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34,186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tcPr>
          <w:p>
            <w:pPr>
              <w:ind w:left="20"/>
              <w:spacing w:after="0"/>
              <w:rPr>
                <w:sz w:val="20"/>
                <w:szCs w:val="20"/>
                <w:color w:val="auto"/>
              </w:rPr>
            </w:pPr>
            <w:r>
              <w:rPr>
                <w:rFonts w:ascii="Arial" w:cs="Arial" w:eastAsia="Arial" w:hAnsi="Arial"/>
                <w:sz w:val="11"/>
                <w:szCs w:val="11"/>
                <w:color w:val="auto"/>
              </w:rPr>
              <w:t>Total recreational finance</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521,800</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2,722,698</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2,187,565</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1,528,415</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931,315</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1,257,428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9,149,221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2,369</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3,013</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2,985</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2,412</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4,042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14,821</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Automobile:</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40"/>
              <w:spacing w:after="0"/>
              <w:rPr>
                <w:sz w:val="20"/>
                <w:szCs w:val="20"/>
                <w:color w:val="auto"/>
              </w:rPr>
            </w:pPr>
            <w:r>
              <w:rPr>
                <w:rFonts w:ascii="Arial" w:cs="Arial" w:eastAsia="Arial" w:hAnsi="Arial"/>
                <w:sz w:val="11"/>
                <w:szCs w:val="11"/>
                <w:color w:val="auto"/>
              </w:rPr>
              <w:t>Current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253,110</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1,414,115</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1,419,830</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625,620</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328,506</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207,854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4,249,035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397</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6,688</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10,828</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5,844</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5,330</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6,183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35,270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2,669</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8,430</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4,674</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4,445</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6,624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20" w:type="dxa"/>
            <w:vAlign w:val="bottom"/>
          </w:tcPr>
          <w:p>
            <w:pPr>
              <w:ind w:left="20"/>
              <w:spacing w:after="0"/>
              <w:rPr>
                <w:sz w:val="20"/>
                <w:szCs w:val="20"/>
                <w:color w:val="auto"/>
              </w:rPr>
            </w:pPr>
            <w:r>
              <w:rPr>
                <w:rFonts w:ascii="Arial" w:cs="Arial" w:eastAsia="Arial" w:hAnsi="Arial"/>
                <w:sz w:val="11"/>
                <w:szCs w:val="11"/>
                <w:color w:val="auto"/>
              </w:rPr>
              <w:t>Total automobile</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253,507</w:t>
            </w:r>
          </w:p>
        </w:tc>
        <w:tc>
          <w:tcPr>
            <w:tcW w:w="12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1,423,472</w:t>
            </w:r>
          </w:p>
        </w:tc>
        <w:tc>
          <w:tcPr>
            <w:tcW w:w="10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1,439,088</w:t>
            </w:r>
          </w:p>
        </w:tc>
        <w:tc>
          <w:tcPr>
            <w:tcW w:w="10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636,138</w:t>
            </w:r>
          </w:p>
        </w:tc>
        <w:tc>
          <w:tcPr>
            <w:tcW w:w="10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338,281</w:t>
            </w:r>
          </w:p>
        </w:tc>
        <w:tc>
          <w:tcPr>
            <w:tcW w:w="12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220,661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vMerge w:val="restart"/>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4,311,147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8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1,636</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2,068</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1,169</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957</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881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6,711</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20"/>
              <w:spacing w:after="0"/>
              <w:rPr>
                <w:sz w:val="20"/>
                <w:szCs w:val="20"/>
                <w:color w:val="auto"/>
              </w:rPr>
            </w:pPr>
            <w:r>
              <w:rPr>
                <w:rFonts w:ascii="Arial" w:cs="Arial" w:eastAsia="Arial" w:hAnsi="Arial"/>
                <w:sz w:val="11"/>
                <w:szCs w:val="11"/>
                <w:color w:val="auto"/>
              </w:rPr>
              <w:t>Current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72,524</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246,430</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156,659</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51,040</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31,557</w:t>
            </w:r>
          </w:p>
        </w:tc>
        <w:tc>
          <w:tcPr>
            <w:tcW w:w="1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26,567</w:t>
            </w:r>
          </w:p>
        </w:tc>
        <w:tc>
          <w:tcPr>
            <w:tcW w:w="1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1,337,730</w:t>
            </w: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5,857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1,928,364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2,119</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1,617</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1,336</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198</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272</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555</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10,045</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544</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2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2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198</w:t>
            </w:r>
          </w:p>
        </w:tc>
        <w:tc>
          <w:tcPr>
            <w:tcW w:w="1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4,779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1,711</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588</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535</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195</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149</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258</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43,631</w:t>
            </w: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47,183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20" w:type="dxa"/>
            <w:vAlign w:val="bottom"/>
            <w:vMerge w:val="restart"/>
          </w:tcPr>
          <w:p>
            <w:pPr>
              <w:ind w:left="20"/>
              <w:spacing w:after="0"/>
              <w:rPr>
                <w:sz w:val="20"/>
                <w:szCs w:val="20"/>
                <w:color w:val="auto"/>
              </w:rPr>
            </w:pPr>
            <w:r>
              <w:rPr>
                <w:rFonts w:ascii="Arial" w:cs="Arial" w:eastAsia="Arial" w:hAnsi="Arial"/>
                <w:sz w:val="11"/>
                <w:szCs w:val="11"/>
                <w:color w:val="auto"/>
              </w:rPr>
              <w:t>Total other</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76,354</w:t>
            </w:r>
          </w:p>
        </w:tc>
        <w:tc>
          <w:tcPr>
            <w:tcW w:w="12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248,635</w:t>
            </w:r>
          </w:p>
        </w:tc>
        <w:tc>
          <w:tcPr>
            <w:tcW w:w="10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158,530</w:t>
            </w:r>
          </w:p>
        </w:tc>
        <w:tc>
          <w:tcPr>
            <w:tcW w:w="10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51,433</w:t>
            </w:r>
          </w:p>
        </w:tc>
        <w:tc>
          <w:tcPr>
            <w:tcW w:w="10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31,978</w:t>
            </w:r>
          </w:p>
        </w:tc>
        <w:tc>
          <w:tcPr>
            <w:tcW w:w="12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27,578</w:t>
            </w:r>
          </w:p>
        </w:tc>
        <w:tc>
          <w:tcPr>
            <w:tcW w:w="12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1,396,185</w:t>
            </w:r>
          </w:p>
        </w:tc>
        <w:tc>
          <w:tcPr>
            <w:tcW w:w="10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6,517</w:t>
            </w:r>
          </w:p>
        </w:tc>
        <w:tc>
          <w:tcPr>
            <w:tcW w:w="100" w:type="dxa"/>
            <w:vAlign w:val="bottom"/>
          </w:tcPr>
          <w:p>
            <w:pPr>
              <w:spacing w:after="0"/>
              <w:rPr>
                <w:sz w:val="13"/>
                <w:szCs w:val="13"/>
                <w:color w:val="auto"/>
              </w:rPr>
            </w:pPr>
          </w:p>
        </w:tc>
        <w:tc>
          <w:tcPr>
            <w:tcW w:w="22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1,997,210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Gross charge-offs</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912</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8,657</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2,735</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1,395</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1,581</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4,986</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20,286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and leases at</w:t>
            </w:r>
          </w:p>
        </w:tc>
        <w:tc>
          <w:tcPr>
            <w:tcW w:w="16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5,212,148</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24,189,798</w:t>
            </w: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18,024,543</w:t>
            </w: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12,395,896</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12,015,988</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32,747,215</w:t>
            </w: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26,700,228</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1,651,876</w:t>
            </w:r>
          </w:p>
        </w:tc>
        <w:tc>
          <w:tcPr>
            <w:tcW w:w="100" w:type="dxa"/>
            <w:vAlign w:val="bottom"/>
            <w:shd w:val="clear" w:color="auto" w:fill="CFF0FC"/>
          </w:tcPr>
          <w:p>
            <w:pPr>
              <w:spacing w:after="0"/>
              <w:rPr>
                <w:sz w:val="12"/>
                <w:szCs w:val="12"/>
                <w:color w:val="auto"/>
              </w:rPr>
            </w:pPr>
          </w:p>
        </w:tc>
        <w:tc>
          <w:tcPr>
            <w:tcW w:w="220" w:type="dxa"/>
            <w:vAlign w:val="bottom"/>
            <w:gridSpan w:val="2"/>
            <w:vMerge w:val="restart"/>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132,937,692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20" w:type="dxa"/>
            <w:vAlign w:val="bottom"/>
            <w:shd w:val="clear" w:color="auto" w:fill="CFF0FC"/>
          </w:tcPr>
          <w:p>
            <w:pPr>
              <w:ind w:left="100"/>
              <w:spacing w:after="0" w:line="90" w:lineRule="exact"/>
              <w:rPr>
                <w:sz w:val="20"/>
                <w:szCs w:val="20"/>
                <w:color w:val="auto"/>
              </w:rPr>
            </w:pPr>
            <w:r>
              <w:rPr>
                <w:rFonts w:ascii="Arial" w:cs="Arial" w:eastAsia="Arial" w:hAnsi="Arial"/>
                <w:sz w:val="10"/>
                <w:szCs w:val="10"/>
                <w:b w:val="1"/>
                <w:bCs w:val="1"/>
                <w:color w:val="auto"/>
              </w:rPr>
              <w:t>March 31, 2023</w:t>
            </w:r>
          </w:p>
        </w:tc>
        <w:tc>
          <w:tcPr>
            <w:tcW w:w="160" w:type="dxa"/>
            <w:vAlign w:val="bottom"/>
            <w:vMerge w:val="continue"/>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gridSpan w:val="2"/>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82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Total gross charge-offs for</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tcPr>
          <w:p>
            <w:pPr>
              <w:ind w:left="100"/>
              <w:spacing w:after="0"/>
              <w:rPr>
                <w:sz w:val="20"/>
                <w:szCs w:val="20"/>
                <w:color w:val="auto"/>
              </w:rPr>
            </w:pPr>
            <w:r>
              <w:rPr>
                <w:rFonts w:ascii="Arial" w:cs="Arial" w:eastAsia="Arial" w:hAnsi="Arial"/>
                <w:sz w:val="11"/>
                <w:szCs w:val="11"/>
                <w:b w:val="1"/>
                <w:bCs w:val="1"/>
                <w:color w:val="auto"/>
              </w:rPr>
              <w:t>the three months</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1,019</w:t>
            </w:r>
          </w:p>
        </w:tc>
        <w:tc>
          <w:tcPr>
            <w:tcW w:w="12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16,841</w:t>
            </w:r>
          </w:p>
        </w:tc>
        <w:tc>
          <w:tcPr>
            <w:tcW w:w="10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11,336</w:t>
            </w:r>
          </w:p>
        </w:tc>
        <w:tc>
          <w:tcPr>
            <w:tcW w:w="10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8,323</w:t>
            </w:r>
          </w:p>
        </w:tc>
        <w:tc>
          <w:tcPr>
            <w:tcW w:w="10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33,711</w:t>
            </w:r>
          </w:p>
        </w:tc>
        <w:tc>
          <w:tcPr>
            <w:tcW w:w="12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19,408</w:t>
            </w:r>
          </w:p>
        </w:tc>
        <w:tc>
          <w:tcPr>
            <w:tcW w:w="12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3,597</w:t>
            </w:r>
          </w:p>
        </w:tc>
        <w:tc>
          <w:tcPr>
            <w:tcW w:w="10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704</w:t>
            </w:r>
          </w:p>
        </w:tc>
        <w:tc>
          <w:tcPr>
            <w:tcW w:w="100" w:type="dxa"/>
            <w:vAlign w:val="bottom"/>
          </w:tcPr>
          <w:p>
            <w:pPr>
              <w:spacing w:after="0"/>
              <w:rPr>
                <w:sz w:val="11"/>
                <w:szCs w:val="11"/>
                <w:color w:val="auto"/>
              </w:rPr>
            </w:pPr>
          </w:p>
        </w:tc>
        <w:tc>
          <w:tcPr>
            <w:tcW w:w="220" w:type="dxa"/>
            <w:vAlign w:val="bottom"/>
            <w:gridSpan w:val="2"/>
            <w:vMerge w:val="restart"/>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94,939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820" w:type="dxa"/>
            <w:vAlign w:val="bottom"/>
          </w:tcPr>
          <w:p>
            <w:pPr>
              <w:ind w:left="100"/>
              <w:spacing w:after="0" w:line="90" w:lineRule="exact"/>
              <w:rPr>
                <w:sz w:val="20"/>
                <w:szCs w:val="20"/>
                <w:color w:val="auto"/>
              </w:rPr>
            </w:pPr>
            <w:r>
              <w:rPr>
                <w:rFonts w:ascii="Arial" w:cs="Arial" w:eastAsia="Arial" w:hAnsi="Arial"/>
                <w:sz w:val="10"/>
                <w:szCs w:val="10"/>
                <w:b w:val="1"/>
                <w:bCs w:val="1"/>
                <w:color w:val="auto"/>
              </w:rPr>
              <w:t>ended March 31, 2023</w:t>
            </w: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w:t>
      </w:r>
    </w:p>
    <w:p>
      <w:pPr>
        <w:sectPr>
          <w:pgSz w:w="11900" w:h="16840" w:orient="portrait"/>
          <w:cols w:equalWidth="0" w:num="1">
            <w:col w:w="10560"/>
          </w:cols>
          <w:pgMar w:left="660" w:top="562" w:right="680"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380" w:firstLine="696"/>
        <w:spacing w:after="0" w:line="275" w:lineRule="auto"/>
        <w:rPr>
          <w:sz w:val="20"/>
          <w:szCs w:val="20"/>
          <w:color w:val="auto"/>
        </w:rPr>
      </w:pPr>
      <w:r>
        <w:rPr>
          <w:rFonts w:ascii="Arial" w:cs="Arial" w:eastAsia="Arial" w:hAnsi="Arial"/>
          <w:sz w:val="18"/>
          <w:szCs w:val="18"/>
          <w:color w:val="auto"/>
        </w:rPr>
        <w:t>The following table summarizes the loan grades applied at December 31, 2022 to the various classes of the Company’s commercial loans and commercial real estate loans by origination year.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Converted to</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5"/>
          </w:tcPr>
          <w:p>
            <w:pPr>
              <w:jc w:val="right"/>
              <w:ind w:right="106"/>
              <w:spacing w:after="0"/>
              <w:rPr>
                <w:sz w:val="20"/>
                <w:szCs w:val="20"/>
                <w:color w:val="auto"/>
              </w:rPr>
            </w:pPr>
            <w:r>
              <w:rPr>
                <w:rFonts w:ascii="Arial" w:cs="Arial" w:eastAsia="Arial" w:hAnsi="Arial"/>
                <w:sz w:val="11"/>
                <w:szCs w:val="11"/>
                <w:b w:val="1"/>
                <w:bCs w:val="1"/>
                <w:color w:val="auto"/>
                <w:w w:val="97"/>
              </w:rPr>
              <w:t>Term Loans by Origination Year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3"/>
                <w:szCs w:val="13"/>
                <w:color w:val="auto"/>
              </w:rPr>
            </w:pPr>
          </w:p>
        </w:tc>
        <w:tc>
          <w:tcPr>
            <w:tcW w:w="84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3"/>
                <w:szCs w:val="13"/>
                <w:color w:val="auto"/>
              </w:rPr>
            </w:pPr>
          </w:p>
        </w:tc>
        <w:tc>
          <w:tcPr>
            <w:tcW w:w="84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3"/>
                <w:szCs w:val="13"/>
                <w:color w:val="auto"/>
              </w:rPr>
            </w:pPr>
          </w:p>
        </w:tc>
        <w:tc>
          <w:tcPr>
            <w:tcW w:w="84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2019</w:t>
            </w:r>
          </w:p>
        </w:tc>
        <w:tc>
          <w:tcPr>
            <w:tcW w:w="960" w:type="dxa"/>
            <w:vAlign w:val="bottom"/>
            <w:gridSpan w:val="3"/>
          </w:tcPr>
          <w:p>
            <w:pPr>
              <w:jc w:val="right"/>
              <w:ind w:right="186"/>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40" w:type="dxa"/>
            <w:vAlign w:val="bottom"/>
          </w:tcPr>
          <w:p>
            <w:pPr>
              <w:ind w:left="20"/>
              <w:spacing w:after="0"/>
              <w:rPr>
                <w:sz w:val="20"/>
                <w:szCs w:val="20"/>
                <w:color w:val="auto"/>
              </w:rPr>
            </w:pPr>
            <w:r>
              <w:rPr>
                <w:rFonts w:ascii="Arial" w:cs="Arial" w:eastAsia="Arial" w:hAnsi="Arial"/>
                <w:sz w:val="11"/>
                <w:szCs w:val="11"/>
                <w:b w:val="1"/>
                <w:bCs w:val="1"/>
                <w:color w:val="auto"/>
              </w:rPr>
              <w:t>Commercial, financial, leasing, etc.:</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Loan grades:</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ind w:left="280"/>
              <w:spacing w:after="0"/>
              <w:rPr>
                <w:sz w:val="20"/>
                <w:szCs w:val="20"/>
                <w:color w:val="auto"/>
              </w:rPr>
            </w:pPr>
            <w:r>
              <w:rPr>
                <w:rFonts w:ascii="Arial" w:cs="Arial" w:eastAsia="Arial" w:hAnsi="Arial"/>
                <w:sz w:val="11"/>
                <w:szCs w:val="11"/>
                <w:color w:val="auto"/>
              </w:rPr>
              <w:t>Pass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1,970,94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8,575,130</w:t>
            </w: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4,952,758</w:t>
            </w: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2,024,603</w:t>
            </w: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1,796,047</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817,569</w:t>
            </w:r>
          </w:p>
        </w:tc>
        <w:tc>
          <w:tcPr>
            <w:tcW w:w="1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19,444,247</w:t>
            </w:r>
          </w:p>
        </w:tc>
        <w:tc>
          <w:tcPr>
            <w:tcW w:w="1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40,471</w:t>
            </w:r>
          </w:p>
        </w:tc>
        <w:tc>
          <w:tcPr>
            <w:tcW w:w="10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39,621,772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280"/>
              <w:spacing w:after="0"/>
              <w:rPr>
                <w:sz w:val="20"/>
                <w:szCs w:val="20"/>
                <w:color w:val="auto"/>
              </w:rPr>
            </w:pPr>
            <w:r>
              <w:rPr>
                <w:rFonts w:ascii="Arial" w:cs="Arial" w:eastAsia="Arial" w:hAnsi="Arial"/>
                <w:sz w:val="11"/>
                <w:szCs w:val="11"/>
                <w:color w:val="auto"/>
              </w:rPr>
              <w:t>Criticized accrual</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247,626</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222,861</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190,368</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116,881</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71,485</w:t>
            </w: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246,846</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768,497</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17,026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1,881,590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80"/>
              <w:spacing w:after="0"/>
              <w:rPr>
                <w:sz w:val="20"/>
                <w:szCs w:val="20"/>
                <w:color w:val="auto"/>
              </w:rPr>
            </w:pPr>
            <w:r>
              <w:rPr>
                <w:rFonts w:ascii="Arial" w:cs="Arial" w:eastAsia="Arial" w:hAnsi="Arial"/>
                <w:sz w:val="11"/>
                <w:szCs w:val="11"/>
                <w:color w:val="auto"/>
              </w:rPr>
              <w:t>Criticized nonaccrual</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18,379</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52,067</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37,608</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36,241</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35,689</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59,146</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100,972</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7,102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347,204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Total commercial,</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2,276,93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140" w:type="dxa"/>
            <w:vAlign w:val="bottom"/>
            <w:vMerge w:val="continue"/>
            <w:shd w:val="clear" w:color="auto" w:fill="CFF0FC"/>
          </w:tcPr>
          <w:p>
            <w:pPr>
              <w:spacing w:after="0"/>
              <w:rPr>
                <w:sz w:val="3"/>
                <w:szCs w:val="3"/>
                <w:color w:val="auto"/>
              </w:rPr>
            </w:pPr>
          </w:p>
        </w:tc>
        <w:tc>
          <w:tcPr>
            <w:tcW w:w="180" w:type="dxa"/>
            <w:vAlign w:val="bottom"/>
            <w:vMerge w:val="restart"/>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8,841,135</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5,227,686</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2,252,579</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1,949,169</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924,743</w:t>
            </w:r>
          </w:p>
        </w:tc>
        <w:tc>
          <w:tcPr>
            <w:tcW w:w="120" w:type="dxa"/>
            <w:vAlign w:val="bottom"/>
            <w:shd w:val="clear" w:color="auto" w:fill="CFF0FC"/>
          </w:tcPr>
          <w:p>
            <w:pPr>
              <w:spacing w:after="0"/>
              <w:rPr>
                <w:sz w:val="3"/>
                <w:szCs w:val="3"/>
                <w:color w:val="auto"/>
              </w:rPr>
            </w:pP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20,313,716</w:t>
            </w:r>
          </w:p>
        </w:tc>
        <w:tc>
          <w:tcPr>
            <w:tcW w:w="100" w:type="dxa"/>
            <w:vAlign w:val="bottom"/>
            <w:shd w:val="clear" w:color="auto" w:fill="CFF0FC"/>
          </w:tcPr>
          <w:p>
            <w:pPr>
              <w:spacing w:after="0"/>
              <w:rPr>
                <w:sz w:val="3"/>
                <w:szCs w:val="3"/>
                <w:color w:val="auto"/>
              </w:rPr>
            </w:pP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64,599</w:t>
            </w:r>
          </w:p>
        </w:tc>
        <w:tc>
          <w:tcPr>
            <w:tcW w:w="100" w:type="dxa"/>
            <w:vAlign w:val="bottom"/>
            <w:shd w:val="clear" w:color="auto" w:fill="CFF0FC"/>
          </w:tcPr>
          <w:p>
            <w:pPr>
              <w:spacing w:after="0"/>
              <w:rPr>
                <w:sz w:val="3"/>
                <w:szCs w:val="3"/>
                <w:color w:val="auto"/>
              </w:rPr>
            </w:pP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41,850,566</w:t>
            </w: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140" w:type="dxa"/>
            <w:vAlign w:val="bottom"/>
            <w:shd w:val="clear" w:color="auto" w:fill="CFF0FC"/>
          </w:tcPr>
          <w:p>
            <w:pPr>
              <w:ind w:left="100"/>
              <w:spacing w:after="0" w:line="86" w:lineRule="exact"/>
              <w:rPr>
                <w:sz w:val="20"/>
                <w:szCs w:val="20"/>
                <w:color w:val="auto"/>
              </w:rPr>
            </w:pPr>
            <w:r>
              <w:rPr>
                <w:rFonts w:ascii="Arial" w:cs="Arial" w:eastAsia="Arial" w:hAnsi="Arial"/>
                <w:sz w:val="9"/>
                <w:szCs w:val="9"/>
                <w:color w:val="auto"/>
              </w:rPr>
              <w:t>financial, leasing, etc.</w:t>
            </w:r>
          </w:p>
        </w:tc>
        <w:tc>
          <w:tcPr>
            <w:tcW w:w="180" w:type="dxa"/>
            <w:vAlign w:val="bottom"/>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Real estate:</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Commercial:</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Loan grades:</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ind w:left="280"/>
              <w:spacing w:after="0"/>
              <w:rPr>
                <w:sz w:val="20"/>
                <w:szCs w:val="20"/>
                <w:color w:val="auto"/>
              </w:rPr>
            </w:pPr>
            <w:r>
              <w:rPr>
                <w:rFonts w:ascii="Arial" w:cs="Arial" w:eastAsia="Arial" w:hAnsi="Arial"/>
                <w:sz w:val="11"/>
                <w:szCs w:val="11"/>
                <w:color w:val="auto"/>
              </w:rPr>
              <w:t>Pass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10,905,9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4,136,890</w:t>
            </w: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3,379,900</w:t>
            </w: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3,388,590</w:t>
            </w: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4,557,065</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3,293,380</w:t>
            </w:r>
          </w:p>
        </w:tc>
        <w:tc>
          <w:tcPr>
            <w:tcW w:w="12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869,981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30,531,762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280"/>
              <w:spacing w:after="0"/>
              <w:rPr>
                <w:sz w:val="20"/>
                <w:szCs w:val="20"/>
                <w:color w:val="auto"/>
              </w:rPr>
            </w:pPr>
            <w:r>
              <w:rPr>
                <w:rFonts w:ascii="Arial" w:cs="Arial" w:eastAsia="Arial" w:hAnsi="Arial"/>
                <w:sz w:val="11"/>
                <w:szCs w:val="11"/>
                <w:color w:val="auto"/>
              </w:rPr>
              <w:t>Criticized accrual</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1,890,29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324,652</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463,484</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467,557</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688,239</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937,421</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48,099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4,819,749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80"/>
              <w:spacing w:after="0"/>
              <w:rPr>
                <w:sz w:val="20"/>
                <w:szCs w:val="20"/>
                <w:color w:val="auto"/>
              </w:rPr>
            </w:pPr>
            <w:r>
              <w:rPr>
                <w:rFonts w:ascii="Arial" w:cs="Arial" w:eastAsia="Arial" w:hAnsi="Arial"/>
                <w:sz w:val="11"/>
                <w:szCs w:val="11"/>
                <w:color w:val="auto"/>
              </w:rPr>
              <w:t>Criticized nonaccrual</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11,541</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22,459</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183,986</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297,106</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170,382</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688,079</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23,109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1,396,662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Total commercial real</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13,484,3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140" w:type="dxa"/>
            <w:vAlign w:val="bottom"/>
            <w:vMerge w:val="continue"/>
            <w:shd w:val="clear" w:color="auto" w:fill="CFF0FC"/>
          </w:tcPr>
          <w:p>
            <w:pPr>
              <w:spacing w:after="0"/>
              <w:rPr>
                <w:sz w:val="3"/>
                <w:szCs w:val="3"/>
                <w:color w:val="auto"/>
              </w:rPr>
            </w:pPr>
          </w:p>
        </w:tc>
        <w:tc>
          <w:tcPr>
            <w:tcW w:w="180" w:type="dxa"/>
            <w:vAlign w:val="bottom"/>
            <w:vMerge w:val="restart"/>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4,473,083</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3,865,843</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4,040,133</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5,542,410</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4,401,183</w:t>
            </w:r>
          </w:p>
        </w:tc>
        <w:tc>
          <w:tcPr>
            <w:tcW w:w="120" w:type="dxa"/>
            <w:vAlign w:val="bottom"/>
            <w:shd w:val="clear" w:color="auto" w:fill="CFF0FC"/>
          </w:tcPr>
          <w:p>
            <w:pPr>
              <w:spacing w:after="0"/>
              <w:rPr>
                <w:sz w:val="3"/>
                <w:szCs w:val="3"/>
                <w:color w:val="auto"/>
              </w:rPr>
            </w:pP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32</w:t>
            </w:r>
          </w:p>
        </w:tc>
        <w:tc>
          <w:tcPr>
            <w:tcW w:w="120" w:type="dxa"/>
            <w:vAlign w:val="bottom"/>
            <w:shd w:val="clear" w:color="auto" w:fill="CFF0FC"/>
          </w:tcPr>
          <w:p>
            <w:pPr>
              <w:spacing w:after="0"/>
              <w:rPr>
                <w:sz w:val="3"/>
                <w:szCs w:val="3"/>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941,189</w:t>
            </w: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36,748,173</w:t>
            </w: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140" w:type="dxa"/>
            <w:vAlign w:val="bottom"/>
            <w:shd w:val="clear" w:color="auto" w:fill="CFF0FC"/>
          </w:tcPr>
          <w:p>
            <w:pPr>
              <w:ind w:left="100"/>
              <w:spacing w:after="0" w:line="86" w:lineRule="exact"/>
              <w:rPr>
                <w:sz w:val="20"/>
                <w:szCs w:val="20"/>
                <w:color w:val="auto"/>
              </w:rPr>
            </w:pPr>
            <w:r>
              <w:rPr>
                <w:rFonts w:ascii="Arial" w:cs="Arial" w:eastAsia="Arial" w:hAnsi="Arial"/>
                <w:sz w:val="9"/>
                <w:szCs w:val="9"/>
                <w:color w:val="auto"/>
              </w:rPr>
              <w:t>estate</w:t>
            </w:r>
          </w:p>
        </w:tc>
        <w:tc>
          <w:tcPr>
            <w:tcW w:w="180" w:type="dxa"/>
            <w:vAlign w:val="bottom"/>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Residential builder and developer:</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0"/>
              <w:spacing w:after="0"/>
              <w:rPr>
                <w:sz w:val="20"/>
                <w:szCs w:val="20"/>
                <w:color w:val="auto"/>
              </w:rPr>
            </w:pPr>
            <w:r>
              <w:rPr>
                <w:rFonts w:ascii="Arial" w:cs="Arial" w:eastAsia="Arial" w:hAnsi="Arial"/>
                <w:sz w:val="11"/>
                <w:szCs w:val="11"/>
                <w:color w:val="auto"/>
              </w:rPr>
              <w:t>Loan grades: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2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680,705</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230,079</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11,280</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22,111</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12,812</w:t>
            </w: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9,865</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150,404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1,117,256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80"/>
              <w:spacing w:after="0"/>
              <w:rPr>
                <w:sz w:val="20"/>
                <w:szCs w:val="20"/>
                <w:color w:val="auto"/>
              </w:rPr>
            </w:pPr>
            <w:r>
              <w:rPr>
                <w:rFonts w:ascii="Arial" w:cs="Arial" w:eastAsia="Arial" w:hAnsi="Arial"/>
                <w:sz w:val="11"/>
                <w:szCs w:val="11"/>
                <w:color w:val="auto"/>
              </w:rPr>
              <w:t>Criticized accrual</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2,969</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28,472</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9,952</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108,968</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15,069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30,815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196,245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280"/>
              <w:spacing w:after="0"/>
              <w:rPr>
                <w:sz w:val="20"/>
                <w:szCs w:val="20"/>
                <w:color w:val="auto"/>
              </w:rPr>
            </w:pPr>
            <w:r>
              <w:rPr>
                <w:rFonts w:ascii="Arial" w:cs="Arial" w:eastAsia="Arial" w:hAnsi="Arial"/>
                <w:sz w:val="11"/>
                <w:szCs w:val="11"/>
                <w:color w:val="auto"/>
              </w:rPr>
              <w:t>Criticized nonaccrual</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654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518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ind w:left="20"/>
              <w:spacing w:after="0"/>
              <w:rPr>
                <w:sz w:val="20"/>
                <w:szCs w:val="20"/>
                <w:color w:val="auto"/>
              </w:rPr>
            </w:pPr>
            <w:r>
              <w:rPr>
                <w:rFonts w:ascii="Arial" w:cs="Arial" w:eastAsia="Arial" w:hAnsi="Arial"/>
                <w:sz w:val="11"/>
                <w:szCs w:val="11"/>
                <w:color w:val="auto"/>
              </w:rPr>
              <w:t>Total residential builder</w:t>
            </w:r>
          </w:p>
        </w:tc>
        <w:tc>
          <w:tcPr>
            <w:tcW w:w="180" w:type="dxa"/>
            <w:vAlign w:val="bottom"/>
            <w:vMerge w:val="restart"/>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683,731</w:t>
            </w:r>
          </w:p>
        </w:tc>
        <w:tc>
          <w:tcPr>
            <w:tcW w:w="12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259,205</w:t>
            </w:r>
          </w:p>
        </w:tc>
        <w:tc>
          <w:tcPr>
            <w:tcW w:w="12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21,232</w:t>
            </w:r>
          </w:p>
        </w:tc>
        <w:tc>
          <w:tcPr>
            <w:tcW w:w="12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131,597</w:t>
            </w:r>
          </w:p>
        </w:tc>
        <w:tc>
          <w:tcPr>
            <w:tcW w:w="12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27,881</w:t>
            </w:r>
          </w:p>
        </w:tc>
        <w:tc>
          <w:tcPr>
            <w:tcW w:w="12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color w:val="auto"/>
              </w:rPr>
              <w:t>9,865</w:t>
            </w:r>
          </w:p>
        </w:tc>
        <w:tc>
          <w:tcPr>
            <w:tcW w:w="12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181,219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1,314,730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40" w:type="dxa"/>
            <w:vAlign w:val="bottom"/>
          </w:tcPr>
          <w:p>
            <w:pPr>
              <w:ind w:left="100"/>
              <w:spacing w:after="0" w:line="86" w:lineRule="exact"/>
              <w:rPr>
                <w:sz w:val="20"/>
                <w:szCs w:val="20"/>
                <w:color w:val="auto"/>
              </w:rPr>
            </w:pPr>
            <w:r>
              <w:rPr>
                <w:rFonts w:ascii="Arial" w:cs="Arial" w:eastAsia="Arial" w:hAnsi="Arial"/>
                <w:sz w:val="9"/>
                <w:szCs w:val="9"/>
                <w:color w:val="auto"/>
              </w:rPr>
              <w:t>and developer</w:t>
            </w:r>
          </w:p>
        </w:tc>
        <w:tc>
          <w:tcPr>
            <w:tcW w:w="1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Other commercial construction: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Loan grades:</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80"/>
              <w:spacing w:after="0"/>
              <w:rPr>
                <w:sz w:val="20"/>
                <w:szCs w:val="20"/>
                <w:color w:val="auto"/>
              </w:rPr>
            </w:pPr>
            <w:r>
              <w:rPr>
                <w:rFonts w:ascii="Arial" w:cs="Arial" w:eastAsia="Arial" w:hAnsi="Arial"/>
                <w:sz w:val="11"/>
                <w:szCs w:val="11"/>
                <w:color w:val="auto"/>
              </w:rPr>
              <w:t>Pass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1,032,774</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1,080,141</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1,225,845</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1,185,685</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366,686</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297,355</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15,575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5,204,061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280"/>
              <w:spacing w:after="0"/>
              <w:rPr>
                <w:sz w:val="20"/>
                <w:szCs w:val="20"/>
                <w:color w:val="auto"/>
              </w:rPr>
            </w:pPr>
            <w:r>
              <w:rPr>
                <w:rFonts w:ascii="Arial" w:cs="Arial" w:eastAsia="Arial" w:hAnsi="Arial"/>
                <w:sz w:val="11"/>
                <w:szCs w:val="11"/>
                <w:color w:val="auto"/>
              </w:rPr>
              <w:t>Criticized accrual</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37,893</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145,199</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320,463</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1,025,371</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299,350</w:t>
            </w: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144,394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1,972,670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80"/>
              <w:spacing w:after="0"/>
              <w:rPr>
                <w:sz w:val="20"/>
                <w:szCs w:val="20"/>
                <w:color w:val="auto"/>
              </w:rPr>
            </w:pPr>
            <w:r>
              <w:rPr>
                <w:rFonts w:ascii="Arial" w:cs="Arial" w:eastAsia="Arial" w:hAnsi="Arial"/>
                <w:sz w:val="11"/>
                <w:szCs w:val="11"/>
                <w:color w:val="auto"/>
              </w:rPr>
              <w:t>Criticized nonaccrual</w:t>
            </w:r>
          </w:p>
        </w:tc>
        <w:tc>
          <w:tcPr>
            <w:tcW w:w="1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9,992</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44,037</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35,841</w:t>
            </w:r>
          </w:p>
        </w:tc>
        <w:tc>
          <w:tcPr>
            <w:tcW w:w="960" w:type="dxa"/>
            <w:vAlign w:val="bottom"/>
            <w:gridSpan w:val="3"/>
          </w:tcPr>
          <w:p>
            <w:pPr>
              <w:jc w:val="right"/>
              <w:spacing w:after="0"/>
              <w:rPr>
                <w:sz w:val="20"/>
                <w:szCs w:val="20"/>
                <w:color w:val="auto"/>
              </w:rPr>
            </w:pPr>
            <w:r>
              <w:rPr>
                <w:rFonts w:ascii="Arial" w:cs="Arial" w:eastAsia="Arial" w:hAnsi="Arial"/>
                <w:sz w:val="11"/>
                <w:szCs w:val="11"/>
                <w:color w:val="auto"/>
              </w:rPr>
              <w:t>10,542</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22,099</w:t>
            </w:r>
          </w:p>
        </w:tc>
        <w:tc>
          <w:tcPr>
            <w:tcW w:w="1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2,426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124,937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other commercial</w:t>
            </w:r>
          </w:p>
        </w:tc>
        <w:tc>
          <w:tcPr>
            <w:tcW w:w="180" w:type="dxa"/>
            <w:vAlign w:val="bottom"/>
            <w:vMerge w:val="restart"/>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1,070,667</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1,235,332</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1,590,345</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2,246,897</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676,578</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463,848</w:t>
            </w:r>
          </w:p>
        </w:tc>
        <w:tc>
          <w:tcPr>
            <w:tcW w:w="1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18,001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7,301,668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40" w:type="dxa"/>
            <w:vAlign w:val="bottom"/>
            <w:tcBorders>
              <w:bottom w:val="single" w:sz="8" w:color="CFF0FC"/>
            </w:tcBorders>
            <w:shd w:val="clear" w:color="auto" w:fill="CFF0FC"/>
          </w:tcPr>
          <w:p>
            <w:pPr>
              <w:ind w:left="100"/>
              <w:spacing w:after="0" w:line="86" w:lineRule="exact"/>
              <w:rPr>
                <w:sz w:val="20"/>
                <w:szCs w:val="20"/>
                <w:color w:val="auto"/>
              </w:rPr>
            </w:pPr>
            <w:r>
              <w:rPr>
                <w:rFonts w:ascii="Arial" w:cs="Arial" w:eastAsia="Arial" w:hAnsi="Arial"/>
                <w:sz w:val="9"/>
                <w:szCs w:val="9"/>
                <w:color w:val="auto"/>
              </w:rPr>
              <w:t>construction</w:t>
            </w: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auto"/>
            </w:tcBorders>
            <w:vMerge w:val="continue"/>
            <w:shd w:val="clear" w:color="auto" w:fill="CFF0FC"/>
          </w:tcPr>
          <w:p>
            <w:pPr>
              <w:spacing w:after="0"/>
              <w:rPr>
                <w:sz w:val="12"/>
                <w:szCs w:val="12"/>
                <w:color w:val="auto"/>
              </w:rPr>
            </w:pPr>
          </w:p>
        </w:tc>
        <w:tc>
          <w:tcPr>
            <w:tcW w:w="60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346"/>
              <w:spacing w:after="0"/>
              <w:rPr>
                <w:sz w:val="20"/>
                <w:szCs w:val="20"/>
                <w:color w:val="auto"/>
              </w:rPr>
            </w:pPr>
            <w:r>
              <w:rPr>
                <w:rFonts w:ascii="Arial" w:cs="Arial" w:eastAsia="Arial" w:hAnsi="Arial"/>
                <w:sz w:val="16"/>
                <w:szCs w:val="16"/>
                <w:color w:val="auto"/>
              </w:rPr>
              <w:t>- 18 -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4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58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80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60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62" w:right="680"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520" w:firstLine="696"/>
        <w:spacing w:after="0" w:line="275" w:lineRule="auto"/>
        <w:rPr>
          <w:sz w:val="20"/>
          <w:szCs w:val="20"/>
          <w:color w:val="auto"/>
        </w:rPr>
      </w:pPr>
      <w:r>
        <w:rPr>
          <w:rFonts w:ascii="Arial" w:cs="Arial" w:eastAsia="Arial" w:hAnsi="Arial"/>
          <w:sz w:val="18"/>
          <w:szCs w:val="18"/>
          <w:color w:val="auto"/>
        </w:rPr>
        <w:t>A summary of loans in accrual and nonaccrual status at December 31, 2022 for the various classes of the Company’s residential real estate loans and consumer loans by origination year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Converted to</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5"/>
          </w:tcPr>
          <w:p>
            <w:pPr>
              <w:ind w:left="20"/>
              <w:spacing w:after="0"/>
              <w:rPr>
                <w:sz w:val="20"/>
                <w:szCs w:val="20"/>
                <w:color w:val="auto"/>
              </w:rPr>
            </w:pPr>
            <w:r>
              <w:rPr>
                <w:rFonts w:ascii="Arial" w:cs="Arial" w:eastAsia="Arial" w:hAnsi="Arial"/>
                <w:sz w:val="11"/>
                <w:szCs w:val="11"/>
                <w:b w:val="1"/>
                <w:bCs w:val="1"/>
                <w:color w:val="auto"/>
              </w:rPr>
              <w:t>Term Loans by Origination Year</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86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86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86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86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240"/>
              <w:spacing w:after="0"/>
              <w:rPr>
                <w:sz w:val="20"/>
                <w:szCs w:val="20"/>
                <w:color w:val="auto"/>
              </w:rPr>
            </w:pPr>
            <w:r>
              <w:rPr>
                <w:rFonts w:ascii="Arial" w:cs="Arial" w:eastAsia="Arial" w:hAnsi="Arial"/>
                <w:sz w:val="11"/>
                <w:szCs w:val="11"/>
                <w:b w:val="1"/>
                <w:bCs w:val="1"/>
                <w:color w:val="auto"/>
              </w:rPr>
              <w:t>Prior</w:t>
            </w:r>
          </w:p>
        </w:tc>
        <w:tc>
          <w:tcPr>
            <w:tcW w:w="12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40" w:type="dxa"/>
            <w:vAlign w:val="bottom"/>
          </w:tcPr>
          <w:p>
            <w:pPr>
              <w:ind w:left="20"/>
              <w:spacing w:after="0"/>
              <w:rPr>
                <w:sz w:val="20"/>
                <w:szCs w:val="20"/>
                <w:color w:val="auto"/>
              </w:rPr>
            </w:pPr>
            <w:r>
              <w:rPr>
                <w:rFonts w:ascii="Arial" w:cs="Arial" w:eastAsia="Arial" w:hAnsi="Arial"/>
                <w:sz w:val="11"/>
                <w:szCs w:val="11"/>
                <w:b w:val="1"/>
                <w:bCs w:val="1"/>
                <w:color w:val="auto"/>
              </w:rPr>
              <w:t>Residential:</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Current</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5,071,379</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4,001,652</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2,717,371</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1,392,866</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753,908</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7,523,890</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30,440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21,491,506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30-89 days past due</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59,477</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51,308</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40,337</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21,849</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23,126</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399,301</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595,897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Accruing loans past due</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90 days or more</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12,012</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39,934</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20,067</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14,050</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14,007</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245,332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345,402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Nonaccrual</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5,686</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10,865</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2,583</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9,860</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4,650</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231,093</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7,353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272,090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residential</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5,148,554</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4,103,759</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2,780,358</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1,438,625</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795,691</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8,399,616</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38,292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22,704,895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1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Residential - limited documentation:</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Current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950,782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950,782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22,456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22,456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77,814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77,814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ind w:left="20"/>
              <w:spacing w:after="0"/>
              <w:rPr>
                <w:sz w:val="20"/>
                <w:szCs w:val="20"/>
                <w:color w:val="auto"/>
              </w:rPr>
            </w:pPr>
            <w:r>
              <w:rPr>
                <w:rFonts w:ascii="Arial" w:cs="Arial" w:eastAsia="Arial" w:hAnsi="Arial"/>
                <w:sz w:val="11"/>
                <w:szCs w:val="11"/>
                <w:color w:val="auto"/>
              </w:rPr>
              <w:t>Total residential - limited</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1,051,052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1,051,052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40" w:type="dxa"/>
            <w:vAlign w:val="bottom"/>
          </w:tcPr>
          <w:p>
            <w:pPr>
              <w:ind w:left="100"/>
              <w:spacing w:after="0" w:line="86" w:lineRule="exact"/>
              <w:rPr>
                <w:sz w:val="20"/>
                <w:szCs w:val="20"/>
                <w:color w:val="auto"/>
              </w:rPr>
            </w:pPr>
            <w:r>
              <w:rPr>
                <w:rFonts w:ascii="Arial" w:cs="Arial" w:eastAsia="Arial" w:hAnsi="Arial"/>
                <w:sz w:val="9"/>
                <w:szCs w:val="9"/>
                <w:color w:val="auto"/>
              </w:rPr>
              <w:t>documentation</w:t>
            </w:r>
          </w:p>
        </w:tc>
        <w:tc>
          <w:tcPr>
            <w:tcW w:w="1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rPr>
                <w:sz w:val="20"/>
                <w:szCs w:val="20"/>
                <w:color w:val="auto"/>
              </w:rPr>
            </w:pPr>
            <w:r>
              <w:rPr>
                <w:rFonts w:ascii="Arial" w:cs="Arial" w:eastAsia="Arial" w:hAnsi="Arial"/>
                <w:sz w:val="11"/>
                <w:szCs w:val="11"/>
                <w:b w:val="1"/>
                <w:bCs w:val="1"/>
                <w:color w:val="auto"/>
              </w:rPr>
              <w:t>Consumer: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Home equity lines and</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loans:</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Current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930</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2,109</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2,441</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15,361</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23,321</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97,282</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3,262,533</w:t>
            </w:r>
          </w:p>
        </w:tc>
        <w:tc>
          <w:tcPr>
            <w:tcW w:w="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1,487,334</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4,891,311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171</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126</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2,030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28,460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30,787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536</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334</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6,458</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2,799</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74,646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84,788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ind w:left="20"/>
              <w:spacing w:after="0"/>
              <w:rPr>
                <w:sz w:val="20"/>
                <w:szCs w:val="20"/>
                <w:color w:val="auto"/>
              </w:rPr>
            </w:pPr>
            <w:r>
              <w:rPr>
                <w:rFonts w:ascii="Arial" w:cs="Arial" w:eastAsia="Arial" w:hAnsi="Arial"/>
                <w:sz w:val="11"/>
                <w:szCs w:val="11"/>
                <w:color w:val="auto"/>
              </w:rPr>
              <w:t>Total home equity lines and</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930</w:t>
            </w: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2,124</w:t>
            </w: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2,441</w:t>
            </w: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16,068</w:t>
            </w: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23,781</w:t>
            </w: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105,770</w:t>
            </w: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3,265,332</w:t>
            </w:r>
          </w:p>
        </w:tc>
        <w:tc>
          <w:tcPr>
            <w:tcW w:w="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1,590,440</w:t>
            </w:r>
          </w:p>
        </w:tc>
        <w:tc>
          <w:tcPr>
            <w:tcW w:w="10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5,006,886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40" w:type="dxa"/>
            <w:vAlign w:val="bottom"/>
          </w:tcPr>
          <w:p>
            <w:pPr>
              <w:ind w:left="100"/>
              <w:spacing w:after="0" w:line="86" w:lineRule="exact"/>
              <w:rPr>
                <w:sz w:val="20"/>
                <w:szCs w:val="20"/>
                <w:color w:val="auto"/>
              </w:rPr>
            </w:pPr>
            <w:r>
              <w:rPr>
                <w:rFonts w:ascii="Arial" w:cs="Arial" w:eastAsia="Arial" w:hAnsi="Arial"/>
                <w:sz w:val="9"/>
                <w:szCs w:val="9"/>
                <w:color w:val="auto"/>
              </w:rPr>
              <w:t>loans</w:t>
            </w:r>
          </w:p>
        </w:tc>
        <w:tc>
          <w:tcPr>
            <w:tcW w:w="1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Recreational finance: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Current</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2,842,091</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2,280,627</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1,587,629</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963,907</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486,964</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812,953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8,974,171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30-89 days past due</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8,648</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9,525</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12,412</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8,387</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5,202</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10,419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54,593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Accruing loans past due</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90 days or more</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Nonaccrual</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3,533</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7,440</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9,427</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7,625</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5,344</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11,261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44,630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recreational finance</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2,854,272</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2,297,592</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1,609,468</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979,919</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497,510</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834,633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9,073,394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1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Automobile:</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Current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1,491,076</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1,557,676</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702,711</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378,962</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167,438</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95,343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4,393,206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6,926</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13,324</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7,284</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7,239</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5,464</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4,249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44,486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2,493</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10,698</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7,372</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7,520</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5,620</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5,881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39,584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rPr>
                <w:sz w:val="20"/>
                <w:szCs w:val="20"/>
                <w:color w:val="auto"/>
              </w:rPr>
            </w:pPr>
            <w:r>
              <w:rPr>
                <w:rFonts w:ascii="Arial" w:cs="Arial" w:eastAsia="Arial" w:hAnsi="Arial"/>
                <w:sz w:val="11"/>
                <w:szCs w:val="11"/>
                <w:color w:val="auto"/>
              </w:rPr>
              <w:t>Total automobile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1,500,495</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1,581,698</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717,367</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393,721</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178,522</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105,473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4,477,276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Current</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274,530</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172,238</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58,339</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38,439</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8,217</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23,163</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1,375,049</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8,221</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1,958,196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30-89 days past due</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3,783</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1,450</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326</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386</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569</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15,655</w:t>
            </w:r>
          </w:p>
        </w:tc>
        <w:tc>
          <w:tcPr>
            <w:tcW w:w="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651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22,961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Accruing loans past due</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90 days or more</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226</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4,643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4,869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140"/>
              <w:spacing w:after="0"/>
              <w:rPr>
                <w:sz w:val="20"/>
                <w:szCs w:val="20"/>
                <w:color w:val="auto"/>
              </w:rPr>
            </w:pPr>
            <w:r>
              <w:rPr>
                <w:rFonts w:ascii="Arial" w:cs="Arial" w:eastAsia="Arial" w:hAnsi="Arial"/>
                <w:sz w:val="11"/>
                <w:szCs w:val="11"/>
                <w:color w:val="auto"/>
              </w:rPr>
              <w:t>Nonaccrual</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2,745</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830</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332</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371</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465</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44,449</w:t>
            </w:r>
          </w:p>
        </w:tc>
        <w:tc>
          <w:tcPr>
            <w:tcW w:w="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49,497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other</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281,058</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174,518</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58,997</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39,196</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8,478</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24,423</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1,439,796</w:t>
            </w: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9,057</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2,035,523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1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and leases at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131,564,16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40" w:type="dxa"/>
            <w:vAlign w:val="bottom"/>
            <w:tcBorders>
              <w:bottom w:val="single" w:sz="8" w:color="CFF0FC"/>
            </w:tcBorders>
            <w:shd w:val="clear" w:color="auto" w:fill="CFF0FC"/>
          </w:tcPr>
          <w:p>
            <w:pPr>
              <w:ind w:left="100"/>
              <w:spacing w:after="0" w:line="112" w:lineRule="exact"/>
              <w:rPr>
                <w:sz w:val="20"/>
                <w:szCs w:val="20"/>
                <w:color w:val="auto"/>
              </w:rPr>
            </w:pPr>
            <w:r>
              <w:rPr>
                <w:rFonts w:ascii="Arial" w:cs="Arial" w:eastAsia="Arial" w:hAnsi="Arial"/>
                <w:sz w:val="11"/>
                <w:szCs w:val="11"/>
                <w:b w:val="1"/>
                <w:bCs w:val="1"/>
                <w:color w:val="auto"/>
              </w:rPr>
              <w:t>December 31, 2022</w:t>
            </w:r>
          </w:p>
        </w:tc>
        <w:tc>
          <w:tcPr>
            <w:tcW w:w="120" w:type="dxa"/>
            <w:vAlign w:val="bottom"/>
            <w:tcBorders>
              <w:bottom w:val="single" w:sz="8" w:color="auto"/>
            </w:tcBorders>
            <w:shd w:val="clear" w:color="auto" w:fill="CFF0FC"/>
          </w:tcPr>
          <w:p>
            <w:pPr>
              <w:jc w:val="right"/>
              <w:ind w:right="11"/>
              <w:spacing w:after="0" w:line="112"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24,853,925</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18,747,757</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13,072,920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12,737,602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7,534,367</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26,755,951</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26,197,545</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1,664,096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1"/>
                <w:szCs w:val="11"/>
                <w:color w:val="auto"/>
              </w:rPr>
              <w:t>3</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- 19 -</w:t>
      </w:r>
    </w:p>
    <w:p>
      <w:pPr>
        <w:sectPr>
          <w:pgSz w:w="11900" w:h="16840" w:orient="portrait"/>
          <w:cols w:equalWidth="0" w:num="1">
            <w:col w:w="10560"/>
          </w:cols>
          <w:pgMar w:left="660" w:top="562" w:right="680"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ind w:right="4860" w:firstLine="6"/>
        <w:spacing w:after="0" w:line="367"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Loans and leases and the allowance for credit losses, continued </w:t>
      </w:r>
      <w:r>
        <w:rPr>
          <w:rFonts w:ascii="Arial" w:cs="Arial" w:eastAsia="Arial" w:hAnsi="Arial"/>
          <w:sz w:val="18"/>
          <w:szCs w:val="18"/>
          <w:b w:val="1"/>
          <w:bCs w:val="1"/>
          <w:i w:val="1"/>
          <w:iCs w:val="1"/>
          <w:color w:val="auto"/>
        </w:rPr>
        <w:t>Allowance for credit losses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the level of the allowance for credit losses, the Company evaluates its loan and lease portfolio by type.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for the three months ended March 31, 2023 and 2022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9"/>
              </w:rPr>
              <w:t>Financial,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60" w:type="dxa"/>
            <w:vAlign w:val="bottom"/>
            <w:gridSpan w:val="7"/>
          </w:tcPr>
          <w:p>
            <w:pPr>
              <w:jc w:val="right"/>
              <w:ind w:right="780"/>
              <w:spacing w:after="0"/>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Leasing, etc.</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5"/>
                <w:szCs w:val="15"/>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Residential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Consumer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r>
      <w:tr>
        <w:trPr>
          <w:trHeight w:val="18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478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 March 31, 2023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47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502,153</w:t>
            </w: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676,684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115,092</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631,402</w:t>
            </w: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1,925,331</w:t>
            </w:r>
          </w:p>
        </w:tc>
        <w:tc>
          <w:tcPr>
            <w:tcW w:w="80" w:type="dxa"/>
            <w:vAlign w:val="bottom"/>
            <w:shd w:val="clear" w:color="auto" w:fill="CFF0FC"/>
          </w:tcPr>
          <w:p>
            <w:pPr>
              <w:spacing w:after="0"/>
              <w:rPr>
                <w:sz w:val="18"/>
                <w:szCs w:val="18"/>
                <w:color w:val="auto"/>
              </w:rPr>
            </w:pPr>
          </w:p>
        </w:tc>
      </w:tr>
      <w:tr>
        <w:trPr>
          <w:trHeight w:val="203"/>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Provision for credit losses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95,992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6"/>
                <w:szCs w:val="16"/>
                <w:color w:val="auto"/>
              </w:rPr>
              <w:t>(1,522)</w:t>
            </w: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13,343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120,000</w:t>
            </w:r>
          </w:p>
        </w:tc>
        <w:tc>
          <w:tcPr>
            <w:tcW w:w="80" w:type="dxa"/>
            <w:vAlign w:val="bottom"/>
          </w:tcPr>
          <w:p>
            <w:pPr>
              <w:spacing w:after="0"/>
              <w:rPr>
                <w:sz w:val="17"/>
                <w:szCs w:val="17"/>
                <w:color w:val="auto"/>
              </w:rPr>
            </w:pPr>
          </w:p>
        </w:tc>
      </w:tr>
      <w:tr>
        <w:trPr>
          <w:trHeight w:val="205"/>
        </w:trPr>
        <w:tc>
          <w:tcPr>
            <w:tcW w:w="47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6"/>
                <w:szCs w:val="16"/>
                <w:color w:val="auto"/>
              </w:rPr>
              <w:t>Charge-offs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(19,002 )</w:t>
            </w:r>
          </w:p>
        </w:tc>
        <w:tc>
          <w:tcPr>
            <w:tcW w:w="1300" w:type="dxa"/>
            <w:vAlign w:val="bottom"/>
            <w:gridSpan w:val="5"/>
          </w:tcPr>
          <w:p>
            <w:pPr>
              <w:jc w:val="right"/>
              <w:ind w:right="160"/>
              <w:spacing w:after="0"/>
              <w:rPr>
                <w:sz w:val="20"/>
                <w:szCs w:val="20"/>
                <w:color w:val="auto"/>
              </w:rPr>
            </w:pPr>
            <w:r>
              <w:rPr>
                <w:rFonts w:ascii="Arial" w:cs="Arial" w:eastAsia="Arial" w:hAnsi="Arial"/>
                <w:sz w:val="16"/>
                <w:szCs w:val="16"/>
                <w:color w:val="auto"/>
              </w:rPr>
              <w:t>(30,385 )</w:t>
            </w:r>
          </w:p>
        </w:tc>
        <w:tc>
          <w:tcPr>
            <w:tcW w:w="960" w:type="dxa"/>
            <w:vAlign w:val="bottom"/>
            <w:gridSpan w:val="4"/>
          </w:tcPr>
          <w:p>
            <w:pPr>
              <w:jc w:val="right"/>
              <w:ind w:right="40"/>
              <w:spacing w:after="0"/>
              <w:rPr>
                <w:sz w:val="20"/>
                <w:szCs w:val="20"/>
                <w:color w:val="auto"/>
              </w:rPr>
            </w:pPr>
            <w:r>
              <w:rPr>
                <w:rFonts w:ascii="Arial" w:cs="Arial" w:eastAsia="Arial" w:hAnsi="Arial"/>
                <w:sz w:val="16"/>
                <w:szCs w:val="16"/>
                <w:color w:val="auto"/>
              </w:rPr>
              <w:t>(1,701)</w:t>
            </w:r>
          </w:p>
        </w:tc>
        <w:tc>
          <w:tcPr>
            <w:tcW w:w="1080" w:type="dxa"/>
            <w:vAlign w:val="bottom"/>
            <w:gridSpan w:val="5"/>
          </w:tcPr>
          <w:p>
            <w:pPr>
              <w:jc w:val="right"/>
              <w:ind w:right="40"/>
              <w:spacing w:after="0"/>
              <w:rPr>
                <w:sz w:val="20"/>
                <w:szCs w:val="20"/>
                <w:color w:val="auto"/>
              </w:rPr>
            </w:pPr>
            <w:r>
              <w:rPr>
                <w:rFonts w:ascii="Arial" w:cs="Arial" w:eastAsia="Arial" w:hAnsi="Arial"/>
                <w:sz w:val="16"/>
                <w:szCs w:val="16"/>
                <w:color w:val="auto"/>
              </w:rPr>
              <w:t>(43,851 )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(94,939 )</w:t>
            </w:r>
          </w:p>
        </w:tc>
      </w:tr>
      <w:tr>
        <w:trPr>
          <w:trHeight w:val="205"/>
        </w:trPr>
        <w:tc>
          <w:tcPr>
            <w:tcW w:w="20" w:type="dxa"/>
            <w:vAlign w:val="bottom"/>
            <w:shd w:val="clear" w:color="auto" w:fill="CFF0FC"/>
          </w:tcPr>
          <w:p>
            <w:pPr>
              <w:spacing w:after="0"/>
              <w:rPr>
                <w:sz w:val="17"/>
                <w:szCs w:val="17"/>
                <w:color w:val="auto"/>
              </w:rPr>
            </w:pPr>
          </w:p>
        </w:tc>
        <w:tc>
          <w:tcPr>
            <w:tcW w:w="47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Recoveries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9,441</w:t>
            </w:r>
          </w:p>
        </w:tc>
        <w:tc>
          <w:tcPr>
            <w:tcW w:w="1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1,330</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1,323</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12,624</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24,718</w:t>
            </w:r>
          </w:p>
        </w:tc>
        <w:tc>
          <w:tcPr>
            <w:tcW w:w="8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(9,561)</w:t>
            </w:r>
          </w:p>
        </w:tc>
        <w:tc>
          <w:tcPr>
            <w:tcW w:w="1300" w:type="dxa"/>
            <w:vAlign w:val="bottom"/>
            <w:gridSpan w:val="5"/>
          </w:tcPr>
          <w:p>
            <w:pPr>
              <w:jc w:val="right"/>
              <w:ind w:right="160"/>
              <w:spacing w:after="0"/>
              <w:rPr>
                <w:sz w:val="20"/>
                <w:szCs w:val="20"/>
                <w:color w:val="auto"/>
              </w:rPr>
            </w:pPr>
            <w:r>
              <w:rPr>
                <w:rFonts w:ascii="Arial" w:cs="Arial" w:eastAsia="Arial" w:hAnsi="Arial"/>
                <w:sz w:val="16"/>
                <w:szCs w:val="16"/>
                <w:color w:val="auto"/>
              </w:rPr>
              <w:t>(29,055 )</w:t>
            </w:r>
          </w:p>
        </w:tc>
        <w:tc>
          <w:tcPr>
            <w:tcW w:w="960" w:type="dxa"/>
            <w:vAlign w:val="bottom"/>
            <w:gridSpan w:val="4"/>
          </w:tcPr>
          <w:p>
            <w:pPr>
              <w:jc w:val="right"/>
              <w:ind w:right="40"/>
              <w:spacing w:after="0"/>
              <w:rPr>
                <w:sz w:val="20"/>
                <w:szCs w:val="20"/>
                <w:color w:val="auto"/>
              </w:rPr>
            </w:pPr>
            <w:r>
              <w:rPr>
                <w:rFonts w:ascii="Arial" w:cs="Arial" w:eastAsia="Arial" w:hAnsi="Arial"/>
                <w:sz w:val="16"/>
                <w:szCs w:val="16"/>
                <w:color w:val="auto"/>
              </w:rPr>
              <w:t>(378 )</w:t>
            </w:r>
          </w:p>
        </w:tc>
        <w:tc>
          <w:tcPr>
            <w:tcW w:w="1080" w:type="dxa"/>
            <w:vAlign w:val="bottom"/>
            <w:gridSpan w:val="5"/>
          </w:tcPr>
          <w:p>
            <w:pPr>
              <w:jc w:val="right"/>
              <w:ind w:right="40"/>
              <w:spacing w:after="0"/>
              <w:rPr>
                <w:sz w:val="20"/>
                <w:szCs w:val="20"/>
                <w:color w:val="auto"/>
              </w:rPr>
            </w:pPr>
            <w:r>
              <w:rPr>
                <w:rFonts w:ascii="Arial" w:cs="Arial" w:eastAsia="Arial" w:hAnsi="Arial"/>
                <w:sz w:val="16"/>
                <w:szCs w:val="16"/>
                <w:color w:val="auto"/>
              </w:rPr>
              <w:t>(31,227 )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(70,221 )</w:t>
            </w:r>
          </w:p>
        </w:tc>
      </w:tr>
      <w:tr>
        <w:trPr>
          <w:trHeight w:val="245"/>
        </w:trPr>
        <w:tc>
          <w:tcPr>
            <w:tcW w:w="47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504,779</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743,621</w:t>
            </w: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113,192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613,518</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1,975,110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Financial,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60" w:type="dxa"/>
            <w:vAlign w:val="bottom"/>
            <w:gridSpan w:val="7"/>
          </w:tcPr>
          <w:p>
            <w:pPr>
              <w:jc w:val="right"/>
              <w:ind w:right="780"/>
              <w:spacing w:after="0"/>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Leasing, etc.</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Residential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Consumer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r>
      <w:tr>
        <w:trPr>
          <w:trHeight w:val="18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3"/>
        </w:trPr>
        <w:tc>
          <w:tcPr>
            <w:tcW w:w="478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 March 31, 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47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283,899</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557,239</w:t>
            </w:r>
          </w:p>
        </w:tc>
        <w:tc>
          <w:tcPr>
            <w:tcW w:w="16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71,726</w:t>
            </w:r>
          </w:p>
        </w:tc>
        <w:tc>
          <w:tcPr>
            <w:tcW w:w="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556,362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1,469,226</w:t>
            </w:r>
          </w:p>
        </w:tc>
        <w:tc>
          <w:tcPr>
            <w:tcW w:w="80" w:type="dxa"/>
            <w:vAlign w:val="bottom"/>
            <w:shd w:val="clear" w:color="auto" w:fill="CFF0FC"/>
          </w:tcPr>
          <w:p>
            <w:pPr>
              <w:spacing w:after="0"/>
              <w:rPr>
                <w:sz w:val="18"/>
                <w:szCs w:val="18"/>
                <w:color w:val="auto"/>
              </w:rPr>
            </w:pPr>
          </w:p>
        </w:tc>
      </w:tr>
      <w:tr>
        <w:trPr>
          <w:trHeight w:val="203"/>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Provision for credit losses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6"/>
                <w:szCs w:val="16"/>
                <w:color w:val="auto"/>
              </w:rPr>
              <w:t>(30,938 )</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1,720</w:t>
            </w:r>
          </w:p>
        </w:tc>
        <w:tc>
          <w:tcPr>
            <w:tcW w:w="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10,493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r>
      <w:tr>
        <w:trPr>
          <w:trHeight w:val="205"/>
        </w:trPr>
        <w:tc>
          <w:tcPr>
            <w:tcW w:w="47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6"/>
                <w:szCs w:val="16"/>
                <w:color w:val="auto"/>
              </w:rPr>
              <w:t>Charge-offs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(19,234 )</w:t>
            </w:r>
          </w:p>
        </w:tc>
        <w:tc>
          <w:tcPr>
            <w:tcW w:w="1300" w:type="dxa"/>
            <w:vAlign w:val="bottom"/>
            <w:gridSpan w:val="5"/>
          </w:tcPr>
          <w:p>
            <w:pPr>
              <w:jc w:val="right"/>
              <w:ind w:right="100"/>
              <w:spacing w:after="0"/>
              <w:rPr>
                <w:sz w:val="20"/>
                <w:szCs w:val="20"/>
                <w:color w:val="auto"/>
              </w:rPr>
            </w:pPr>
            <w:r>
              <w:rPr>
                <w:rFonts w:ascii="Arial" w:cs="Arial" w:eastAsia="Arial" w:hAnsi="Arial"/>
                <w:sz w:val="16"/>
                <w:szCs w:val="16"/>
                <w:color w:val="auto"/>
              </w:rPr>
              <w:t>(1,800)</w:t>
            </w:r>
          </w:p>
        </w:tc>
        <w:tc>
          <w:tcPr>
            <w:tcW w:w="960" w:type="dxa"/>
            <w:vAlign w:val="bottom"/>
            <w:gridSpan w:val="4"/>
          </w:tcPr>
          <w:p>
            <w:pPr>
              <w:jc w:val="right"/>
              <w:ind w:right="20"/>
              <w:spacing w:after="0"/>
              <w:rPr>
                <w:sz w:val="20"/>
                <w:szCs w:val="20"/>
                <w:color w:val="auto"/>
              </w:rPr>
            </w:pPr>
            <w:r>
              <w:rPr>
                <w:rFonts w:ascii="Arial" w:cs="Arial" w:eastAsia="Arial" w:hAnsi="Arial"/>
                <w:sz w:val="16"/>
                <w:szCs w:val="16"/>
                <w:color w:val="auto"/>
              </w:rPr>
              <w:t>(3,972)</w:t>
            </w:r>
          </w:p>
        </w:tc>
        <w:tc>
          <w:tcPr>
            <w:tcW w:w="1080" w:type="dxa"/>
            <w:vAlign w:val="bottom"/>
            <w:gridSpan w:val="5"/>
          </w:tcPr>
          <w:p>
            <w:pPr>
              <w:jc w:val="right"/>
              <w:ind w:right="60"/>
              <w:spacing w:after="0"/>
              <w:rPr>
                <w:sz w:val="20"/>
                <w:szCs w:val="20"/>
                <w:color w:val="auto"/>
              </w:rPr>
            </w:pPr>
            <w:r>
              <w:rPr>
                <w:rFonts w:ascii="Arial" w:cs="Arial" w:eastAsia="Arial" w:hAnsi="Arial"/>
                <w:sz w:val="16"/>
                <w:szCs w:val="16"/>
                <w:color w:val="auto"/>
              </w:rPr>
              <w:t>(26,032 )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(51,038 )</w:t>
            </w:r>
          </w:p>
        </w:tc>
      </w:tr>
      <w:tr>
        <w:trPr>
          <w:trHeight w:val="205"/>
        </w:trPr>
        <w:tc>
          <w:tcPr>
            <w:tcW w:w="20" w:type="dxa"/>
            <w:vAlign w:val="bottom"/>
            <w:shd w:val="clear" w:color="auto" w:fill="CFF0FC"/>
          </w:tcPr>
          <w:p>
            <w:pPr>
              <w:spacing w:after="0"/>
              <w:rPr>
                <w:sz w:val="17"/>
                <w:szCs w:val="17"/>
                <w:color w:val="auto"/>
              </w:rPr>
            </w:pPr>
          </w:p>
        </w:tc>
        <w:tc>
          <w:tcPr>
            <w:tcW w:w="47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Recoveries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13,665</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14,943</w:t>
            </w: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3,107</w:t>
            </w:r>
          </w:p>
        </w:tc>
        <w:tc>
          <w:tcPr>
            <w:tcW w:w="8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12,456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44,171</w:t>
            </w:r>
          </w:p>
        </w:tc>
        <w:tc>
          <w:tcPr>
            <w:tcW w:w="8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Net (charge-offs) recoveries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(5,569)</w:t>
            </w: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13,143</w:t>
            </w:r>
          </w:p>
        </w:tc>
        <w:tc>
          <w:tcPr>
            <w:tcW w:w="160" w:type="dxa"/>
            <w:vAlign w:val="bottom"/>
          </w:tcPr>
          <w:p>
            <w:pPr>
              <w:spacing w:after="0"/>
              <w:rPr>
                <w:sz w:val="17"/>
                <w:szCs w:val="17"/>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6"/>
                <w:szCs w:val="16"/>
                <w:color w:val="auto"/>
              </w:rPr>
              <w:t>(865 )</w:t>
            </w:r>
          </w:p>
        </w:tc>
        <w:tc>
          <w:tcPr>
            <w:tcW w:w="1080" w:type="dxa"/>
            <w:vAlign w:val="bottom"/>
            <w:gridSpan w:val="5"/>
          </w:tcPr>
          <w:p>
            <w:pPr>
              <w:jc w:val="right"/>
              <w:ind w:right="60"/>
              <w:spacing w:after="0"/>
              <w:rPr>
                <w:sz w:val="20"/>
                <w:szCs w:val="20"/>
                <w:color w:val="auto"/>
              </w:rPr>
            </w:pPr>
            <w:r>
              <w:rPr>
                <w:rFonts w:ascii="Arial" w:cs="Arial" w:eastAsia="Arial" w:hAnsi="Arial"/>
                <w:sz w:val="16"/>
                <w:szCs w:val="16"/>
                <w:color w:val="auto"/>
              </w:rPr>
              <w:t>(13,576 )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(6,867)</w:t>
            </w:r>
          </w:p>
        </w:tc>
      </w:tr>
      <w:tr>
        <w:trPr>
          <w:trHeight w:val="244"/>
        </w:trPr>
        <w:tc>
          <w:tcPr>
            <w:tcW w:w="47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307,055</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539,444</w:t>
            </w:r>
          </w:p>
        </w:tc>
        <w:tc>
          <w:tcPr>
            <w:tcW w:w="1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72,581</w:t>
            </w:r>
          </w:p>
        </w:tc>
        <w:tc>
          <w:tcPr>
            <w:tcW w:w="8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553,279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1,472,359</w:t>
            </w:r>
          </w:p>
        </w:tc>
        <w:tc>
          <w:tcPr>
            <w:tcW w:w="80" w:type="dxa"/>
            <w:vAlign w:val="bottom"/>
            <w:shd w:val="clear" w:color="auto" w:fill="CFF0FC"/>
          </w:tcPr>
          <w:p>
            <w:pPr>
              <w:spacing w:after="0"/>
              <w:rPr>
                <w:sz w:val="21"/>
                <w:szCs w:val="21"/>
                <w:color w:val="auto"/>
              </w:rPr>
            </w:pPr>
          </w:p>
        </w:tc>
      </w:tr>
      <w:tr>
        <w:trPr>
          <w:trHeight w:val="491"/>
        </w:trPr>
        <w:tc>
          <w:tcPr>
            <w:tcW w:w="20" w:type="dxa"/>
            <w:vAlign w:val="bottom"/>
            <w:tcBorders>
              <w:top w:val="single" w:sz="8" w:color="CFF0FC"/>
            </w:tcBorders>
          </w:tcPr>
          <w:p>
            <w:pPr>
              <w:spacing w:after="0"/>
              <w:rPr>
                <w:sz w:val="24"/>
                <w:szCs w:val="24"/>
                <w:color w:val="auto"/>
              </w:rPr>
            </w:pPr>
          </w:p>
        </w:tc>
        <w:tc>
          <w:tcPr>
            <w:tcW w:w="2280" w:type="dxa"/>
            <w:vAlign w:val="bottom"/>
            <w:tcBorders>
              <w:top w:val="single" w:sz="8" w:color="CFF0FC"/>
            </w:tcBorders>
          </w:tcPr>
          <w:p>
            <w:pPr>
              <w:spacing w:after="0"/>
              <w:rPr>
                <w:sz w:val="24"/>
                <w:szCs w:val="24"/>
                <w:color w:val="auto"/>
              </w:rPr>
            </w:pPr>
          </w:p>
        </w:tc>
        <w:tc>
          <w:tcPr>
            <w:tcW w:w="24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425"/>
              <w:spacing w:after="0"/>
              <w:rPr>
                <w:sz w:val="20"/>
                <w:szCs w:val="20"/>
                <w:color w:val="auto"/>
              </w:rPr>
            </w:pPr>
            <w:r>
              <w:rPr>
                <w:rFonts w:ascii="Arial" w:cs="Arial" w:eastAsia="Arial" w:hAnsi="Arial"/>
                <w:sz w:val="16"/>
                <w:szCs w:val="16"/>
                <w:color w:val="auto"/>
              </w:rPr>
              <w:t>- 20 -</w:t>
            </w: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2280" w:type="dxa"/>
            <w:vAlign w:val="bottom"/>
            <w:tcBorders>
              <w:bottom w:val="single" w:sz="8" w:color="EEEEEE"/>
            </w:tcBorders>
          </w:tcPr>
          <w:p>
            <w:pPr>
              <w:spacing w:after="0"/>
              <w:rPr>
                <w:sz w:val="8"/>
                <w:szCs w:val="8"/>
                <w:color w:val="auto"/>
              </w:rPr>
            </w:pPr>
          </w:p>
        </w:tc>
        <w:tc>
          <w:tcPr>
            <w:tcW w:w="248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94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80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8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78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ectPr>
          <w:pgSz w:w="11900" w:h="16840" w:orient="portrait"/>
          <w:cols w:equalWidth="0" w:num="1">
            <w:col w:w="10560"/>
          </w:cols>
          <w:pgMar w:left="660" w:top="562" w:right="680"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firstLine="468"/>
        <w:spacing w:after="0" w:line="251" w:lineRule="auto"/>
        <w:rPr>
          <w:sz w:val="20"/>
          <w:szCs w:val="20"/>
          <w:color w:val="auto"/>
        </w:rPr>
      </w:pPr>
      <w:r>
        <w:rPr>
          <w:rFonts w:ascii="Arial" w:cs="Arial" w:eastAsia="Arial" w:hAnsi="Arial"/>
          <w:sz w:val="18"/>
          <w:szCs w:val="18"/>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each of March 31, 2023 and December 31, 2022,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85" w:lineRule="exact"/>
        <w:rPr>
          <w:sz w:val="20"/>
          <w:szCs w:val="20"/>
          <w:color w:val="auto"/>
        </w:rPr>
      </w:pPr>
    </w:p>
    <w:p>
      <w:pPr>
        <w:ind w:right="20" w:firstLine="468"/>
        <w:spacing w:after="0" w:line="254" w:lineRule="auto"/>
        <w:rPr>
          <w:sz w:val="20"/>
          <w:szCs w:val="20"/>
          <w:color w:val="auto"/>
        </w:rPr>
      </w:pPr>
      <w:r>
        <w:rPr>
          <w:rFonts w:ascii="Arial" w:cs="Arial" w:eastAsia="Arial" w:hAnsi="Arial"/>
          <w:sz w:val="18"/>
          <w:szCs w:val="18"/>
          <w:color w:val="auto"/>
        </w:rPr>
        <w:t>For residential real estate loans, including home equity loans and lines of credit, the excess of the loan balance over the net realizable value of the property collateralizing the loan is charged- 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w:t>
      </w:r>
    </w:p>
    <w:p>
      <w:pPr>
        <w:spacing w:after="0" w:line="75" w:lineRule="exact"/>
        <w:rPr>
          <w:sz w:val="20"/>
          <w:szCs w:val="20"/>
          <w:color w:val="auto"/>
        </w:rPr>
      </w:pPr>
    </w:p>
    <w:p>
      <w:pPr>
        <w:ind w:right="80" w:firstLine="468"/>
        <w:spacing w:after="0" w:line="259" w:lineRule="auto"/>
        <w:rPr>
          <w:sz w:val="20"/>
          <w:szCs w:val="20"/>
          <w:color w:val="auto"/>
        </w:rPr>
      </w:pPr>
      <w:r>
        <w:rPr>
          <w:rFonts w:ascii="Arial" w:cs="Arial" w:eastAsia="Arial" w:hAnsi="Arial"/>
          <w:sz w:val="18"/>
          <w:szCs w:val="18"/>
          <w:color w:val="auto"/>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Company’s reserve for off-balance sheet credit exposures was not material at March 31, 2023 and December 31, 2022.</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120" w:firstLine="468"/>
        <w:spacing w:after="0" w:line="275" w:lineRule="auto"/>
        <w:rPr>
          <w:sz w:val="20"/>
          <w:szCs w:val="20"/>
          <w:color w:val="auto"/>
        </w:rPr>
      </w:pPr>
      <w:r>
        <w:rPr>
          <w:rFonts w:ascii="Arial" w:cs="Arial" w:eastAsia="Arial" w:hAnsi="Arial"/>
          <w:sz w:val="18"/>
          <w:szCs w:val="18"/>
          <w:color w:val="auto"/>
        </w:rPr>
        <w:t>Information with respect to loans and leases that were considered nonaccrual at the beginning and end of the reporting period and the interest income recognized on such loans for three-month periods ended March 31, 2023 and 2022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left="56"/>
              <w:spacing w:after="0"/>
              <w:rPr>
                <w:sz w:val="20"/>
                <w:szCs w:val="20"/>
                <w:color w:val="auto"/>
              </w:rPr>
            </w:pPr>
            <w:r>
              <w:rPr>
                <w:rFonts w:ascii="Arial" w:cs="Arial" w:eastAsia="Arial" w:hAnsi="Arial"/>
                <w:sz w:val="11"/>
                <w:szCs w:val="11"/>
                <w:b w:val="1"/>
                <w:bCs w:val="1"/>
                <w:color w:val="auto"/>
                <w:w w:val="98"/>
              </w:rPr>
              <w:t>Amortized Cost</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tcPr>
          <w:p>
            <w:pPr>
              <w:spacing w:after="0"/>
              <w:rPr>
                <w:sz w:val="11"/>
                <w:szCs w:val="11"/>
                <w:color w:val="auto"/>
              </w:rPr>
            </w:pP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Amortized Cost</w:t>
            </w:r>
          </w:p>
        </w:tc>
        <w:tc>
          <w:tcPr>
            <w:tcW w:w="36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without</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40"/>
              <w:spacing w:after="0"/>
              <w:rPr>
                <w:sz w:val="20"/>
                <w:szCs w:val="20"/>
                <w:color w:val="auto"/>
              </w:rPr>
            </w:pPr>
            <w:r>
              <w:rPr>
                <w:rFonts w:ascii="Arial" w:cs="Arial" w:eastAsia="Arial" w:hAnsi="Arial"/>
                <w:sz w:val="11"/>
                <w:szCs w:val="11"/>
                <w:b w:val="1"/>
                <w:bCs w:val="1"/>
                <w:color w:val="auto"/>
              </w:rPr>
              <w:t>Interest Income</w:t>
            </w:r>
          </w:p>
        </w:tc>
        <w:tc>
          <w:tcPr>
            <w:tcW w:w="0" w:type="dxa"/>
            <w:vAlign w:val="bottom"/>
          </w:tcPr>
          <w:p>
            <w:pPr>
              <w:spacing w:after="0"/>
              <w:rPr>
                <w:sz w:val="1"/>
                <w:szCs w:val="1"/>
                <w:color w:val="auto"/>
              </w:rPr>
            </w:pPr>
          </w:p>
        </w:tc>
      </w:tr>
      <w:tr>
        <w:trPr>
          <w:trHeight w:val="150"/>
        </w:trPr>
        <w:tc>
          <w:tcPr>
            <w:tcW w:w="490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1"/>
                <w:szCs w:val="11"/>
                <w:b w:val="1"/>
                <w:bCs w:val="1"/>
                <w:color w:val="auto"/>
              </w:rPr>
              <w:t>with Allowance</w:t>
            </w:r>
          </w:p>
        </w:tc>
        <w:tc>
          <w:tcPr>
            <w:tcW w:w="36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Allowance</w:t>
            </w:r>
          </w:p>
        </w:tc>
        <w:tc>
          <w:tcPr>
            <w:tcW w:w="38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Total</w:t>
            </w:r>
          </w:p>
        </w:tc>
        <w:tc>
          <w:tcPr>
            <w:tcW w:w="1160" w:type="dxa"/>
            <w:vAlign w:val="bottom"/>
            <w:gridSpan w:val="3"/>
          </w:tcPr>
          <w:p>
            <w:pPr>
              <w:ind w:left="240"/>
              <w:spacing w:after="0"/>
              <w:rPr>
                <w:sz w:val="20"/>
                <w:szCs w:val="20"/>
                <w:color w:val="auto"/>
              </w:rPr>
            </w:pPr>
            <w:r>
              <w:rPr>
                <w:rFonts w:ascii="Arial" w:cs="Arial" w:eastAsia="Arial" w:hAnsi="Arial"/>
                <w:sz w:val="11"/>
                <w:szCs w:val="11"/>
                <w:b w:val="1"/>
                <w:bCs w:val="1"/>
                <w:color w:val="auto"/>
              </w:rPr>
              <w:t>Amortized Cost</w:t>
            </w:r>
          </w:p>
        </w:tc>
        <w:tc>
          <w:tcPr>
            <w:tcW w:w="3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Recognized</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left="56"/>
              <w:spacing w:after="0"/>
              <w:rPr>
                <w:sz w:val="20"/>
                <w:szCs w:val="20"/>
                <w:color w:val="auto"/>
              </w:rPr>
            </w:pPr>
            <w:r>
              <w:rPr>
                <w:rFonts w:ascii="Arial" w:cs="Arial" w:eastAsia="Arial" w:hAnsi="Arial"/>
                <w:sz w:val="11"/>
                <w:szCs w:val="11"/>
                <w:b w:val="1"/>
                <w:bCs w:val="1"/>
                <w:color w:val="auto"/>
                <w:w w:val="96"/>
              </w:rPr>
              <w:t>Three Months</w:t>
            </w:r>
          </w:p>
        </w:tc>
        <w:tc>
          <w:tcPr>
            <w:tcW w:w="0" w:type="dxa"/>
            <w:vAlign w:val="bottom"/>
          </w:tcPr>
          <w:p>
            <w:pPr>
              <w:spacing w:after="0"/>
              <w:rPr>
                <w:sz w:val="1"/>
                <w:szCs w:val="1"/>
                <w:color w:val="auto"/>
              </w:rPr>
            </w:pPr>
          </w:p>
        </w:tc>
      </w:tr>
      <w:tr>
        <w:trPr>
          <w:trHeight w:val="132"/>
        </w:trPr>
        <w:tc>
          <w:tcPr>
            <w:tcW w:w="4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Ended March</w:t>
            </w:r>
          </w:p>
        </w:tc>
        <w:tc>
          <w:tcPr>
            <w:tcW w:w="0" w:type="dxa"/>
            <w:vAlign w:val="bottom"/>
          </w:tcPr>
          <w:p>
            <w:pPr>
              <w:spacing w:after="0"/>
              <w:rPr>
                <w:sz w:val="1"/>
                <w:szCs w:val="1"/>
                <w:color w:val="auto"/>
              </w:rPr>
            </w:pPr>
          </w:p>
        </w:tc>
      </w:tr>
      <w:tr>
        <w:trPr>
          <w:trHeight w:val="150"/>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left="56"/>
              <w:spacing w:after="0"/>
              <w:rPr>
                <w:sz w:val="20"/>
                <w:szCs w:val="20"/>
                <w:color w:val="auto"/>
              </w:rPr>
            </w:pPr>
            <w:r>
              <w:rPr>
                <w:rFonts w:ascii="Arial" w:cs="Arial" w:eastAsia="Arial" w:hAnsi="Arial"/>
                <w:sz w:val="11"/>
                <w:szCs w:val="11"/>
                <w:b w:val="1"/>
                <w:bCs w:val="1"/>
                <w:color w:val="auto"/>
                <w:w w:val="97"/>
              </w:rPr>
              <w:t>March 31, 2023</w:t>
            </w: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ind w:left="240"/>
              <w:spacing w:after="0"/>
              <w:rPr>
                <w:sz w:val="20"/>
                <w:szCs w:val="20"/>
                <w:color w:val="auto"/>
              </w:rPr>
            </w:pPr>
            <w:r>
              <w:rPr>
                <w:rFonts w:ascii="Arial" w:cs="Arial" w:eastAsia="Arial" w:hAnsi="Arial"/>
                <w:sz w:val="11"/>
                <w:szCs w:val="11"/>
                <w:b w:val="1"/>
                <w:bCs w:val="1"/>
                <w:color w:val="auto"/>
              </w:rPr>
              <w:t>January 1, 2023</w:t>
            </w:r>
          </w:p>
        </w:tc>
        <w:tc>
          <w:tcPr>
            <w:tcW w:w="300" w:type="dxa"/>
            <w:vAlign w:val="bottom"/>
          </w:tcPr>
          <w:p>
            <w:pPr>
              <w:spacing w:after="0"/>
              <w:rPr>
                <w:sz w:val="13"/>
                <w:szCs w:val="13"/>
                <w:color w:val="auto"/>
              </w:rPr>
            </w:pPr>
          </w:p>
        </w:tc>
        <w:tc>
          <w:tcPr>
            <w:tcW w:w="760" w:type="dxa"/>
            <w:vAlign w:val="bottom"/>
          </w:tcPr>
          <w:p>
            <w:pPr>
              <w:jc w:val="center"/>
              <w:ind w:right="31"/>
              <w:spacing w:after="0"/>
              <w:rPr>
                <w:sz w:val="20"/>
                <w:szCs w:val="20"/>
                <w:color w:val="auto"/>
              </w:rPr>
            </w:pPr>
            <w:r>
              <w:rPr>
                <w:rFonts w:ascii="Arial" w:cs="Arial" w:eastAsia="Arial" w:hAnsi="Arial"/>
                <w:sz w:val="11"/>
                <w:szCs w:val="11"/>
                <w:b w:val="1"/>
                <w:bCs w:val="1"/>
                <w:color w:val="auto"/>
                <w:w w:val="97"/>
              </w:rPr>
              <w:t>31, 2023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ind w:left="240"/>
              <w:spacing w:after="0"/>
              <w:rPr>
                <w:sz w:val="20"/>
                <w:szCs w:val="20"/>
                <w:color w:val="auto"/>
              </w:rPr>
            </w:pPr>
            <w:r>
              <w:rPr>
                <w:rFonts w:ascii="Arial" w:cs="Arial" w:eastAsia="Arial" w:hAnsi="Arial"/>
                <w:sz w:val="11"/>
                <w:szCs w:val="11"/>
                <w:b w:val="1"/>
                <w:bCs w:val="1"/>
                <w:color w:val="auto"/>
              </w:rPr>
              <w:t>(In thousands)</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financial, leasing, etc.</w:t>
            </w:r>
          </w:p>
        </w:tc>
        <w:tc>
          <w:tcPr>
            <w:tcW w:w="220" w:type="dxa"/>
            <w:vAlign w:val="bottom"/>
            <w:shd w:val="clear" w:color="auto" w:fill="CFF0FC"/>
          </w:tcPr>
          <w:p>
            <w:pPr>
              <w:jc w:val="right"/>
              <w:ind w:right="54"/>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185,867</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196,401</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382,268</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347,204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180"/>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404,564</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1,112,091</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1,516,655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1,396,662</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340"/>
              <w:spacing w:after="0"/>
              <w:rPr>
                <w:sz w:val="20"/>
                <w:szCs w:val="20"/>
                <w:color w:val="auto"/>
              </w:rPr>
            </w:pPr>
            <w:r>
              <w:rPr>
                <w:rFonts w:ascii="Arial" w:cs="Arial" w:eastAsia="Arial" w:hAnsi="Arial"/>
                <w:sz w:val="14"/>
                <w:szCs w:val="14"/>
                <w:color w:val="auto"/>
              </w:rPr>
              <w:t>Residential builder and developer</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Other commercial construction</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94,188</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48,827</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143,015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124,937</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124,574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129,072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253,646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272,090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Residential — limited documentation</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40,165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28,770</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68,935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77,814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18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Home equity lines and loans</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39,131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41,635</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80,766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84,788</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340"/>
              <w:spacing w:after="0"/>
              <w:rPr>
                <w:sz w:val="20"/>
                <w:szCs w:val="20"/>
                <w:color w:val="auto"/>
              </w:rPr>
            </w:pPr>
            <w:r>
              <w:rPr>
                <w:rFonts w:ascii="Arial" w:cs="Arial" w:eastAsia="Arial" w:hAnsi="Arial"/>
                <w:sz w:val="14"/>
                <w:szCs w:val="14"/>
                <w:color w:val="auto"/>
              </w:rPr>
              <w:t>Recreational finance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24,409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34,186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44,630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Automobile</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3,916</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26,842</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39,584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47,152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49,497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986,279</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1,570,520</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2,556,799</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2,438,435</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16,863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left="56"/>
              <w:spacing w:after="0"/>
              <w:rPr>
                <w:sz w:val="20"/>
                <w:szCs w:val="20"/>
                <w:color w:val="auto"/>
              </w:rPr>
            </w:pPr>
            <w:r>
              <w:rPr>
                <w:rFonts w:ascii="Arial" w:cs="Arial" w:eastAsia="Arial" w:hAnsi="Arial"/>
                <w:sz w:val="11"/>
                <w:szCs w:val="11"/>
                <w:b w:val="1"/>
                <w:bCs w:val="1"/>
                <w:color w:val="auto"/>
                <w:w w:val="96"/>
              </w:rPr>
              <w:t>Three Months</w:t>
            </w:r>
          </w:p>
        </w:tc>
        <w:tc>
          <w:tcPr>
            <w:tcW w:w="0" w:type="dxa"/>
            <w:vAlign w:val="bottom"/>
          </w:tcPr>
          <w:p>
            <w:pPr>
              <w:spacing w:after="0"/>
              <w:rPr>
                <w:sz w:val="1"/>
                <w:szCs w:val="1"/>
                <w:color w:val="auto"/>
              </w:rPr>
            </w:pPr>
          </w:p>
        </w:tc>
      </w:tr>
      <w:tr>
        <w:trPr>
          <w:trHeight w:val="132"/>
        </w:trPr>
        <w:tc>
          <w:tcPr>
            <w:tcW w:w="4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Ended March</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56"/>
              <w:spacing w:after="0"/>
              <w:rPr>
                <w:sz w:val="20"/>
                <w:szCs w:val="20"/>
                <w:color w:val="auto"/>
              </w:rPr>
            </w:pPr>
            <w:r>
              <w:rPr>
                <w:rFonts w:ascii="Arial" w:cs="Arial" w:eastAsia="Arial" w:hAnsi="Arial"/>
                <w:sz w:val="11"/>
                <w:szCs w:val="11"/>
                <w:b w:val="1"/>
                <w:bCs w:val="1"/>
                <w:color w:val="auto"/>
                <w:w w:val="97"/>
              </w:rPr>
              <w:t>March 31, 2022</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ind w:left="240"/>
              <w:spacing w:after="0"/>
              <w:rPr>
                <w:sz w:val="20"/>
                <w:szCs w:val="20"/>
                <w:color w:val="auto"/>
              </w:rPr>
            </w:pPr>
            <w:r>
              <w:rPr>
                <w:rFonts w:ascii="Arial" w:cs="Arial" w:eastAsia="Arial" w:hAnsi="Arial"/>
                <w:sz w:val="11"/>
                <w:szCs w:val="11"/>
                <w:b w:val="1"/>
                <w:bCs w:val="1"/>
                <w:color w:val="auto"/>
              </w:rPr>
              <w:t>January 1, 2022</w:t>
            </w:r>
          </w:p>
        </w:tc>
        <w:tc>
          <w:tcPr>
            <w:tcW w:w="300" w:type="dxa"/>
            <w:vAlign w:val="bottom"/>
          </w:tcPr>
          <w:p>
            <w:pPr>
              <w:spacing w:after="0"/>
              <w:rPr>
                <w:sz w:val="12"/>
                <w:szCs w:val="12"/>
                <w:color w:val="auto"/>
              </w:rPr>
            </w:pPr>
          </w:p>
        </w:tc>
        <w:tc>
          <w:tcPr>
            <w:tcW w:w="760" w:type="dxa"/>
            <w:vAlign w:val="bottom"/>
          </w:tcPr>
          <w:p>
            <w:pPr>
              <w:jc w:val="center"/>
              <w:ind w:right="31"/>
              <w:spacing w:after="0"/>
              <w:rPr>
                <w:sz w:val="20"/>
                <w:szCs w:val="20"/>
                <w:color w:val="auto"/>
              </w:rPr>
            </w:pPr>
            <w:r>
              <w:rPr>
                <w:rFonts w:ascii="Arial" w:cs="Arial" w:eastAsia="Arial" w:hAnsi="Arial"/>
                <w:sz w:val="11"/>
                <w:szCs w:val="11"/>
                <w:b w:val="1"/>
                <w:bCs w:val="1"/>
                <w:color w:val="auto"/>
                <w:w w:val="97"/>
              </w:rPr>
              <w:t>31, 2022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ind w:left="240"/>
              <w:spacing w:after="0"/>
              <w:rPr>
                <w:sz w:val="20"/>
                <w:szCs w:val="20"/>
                <w:color w:val="auto"/>
              </w:rPr>
            </w:pPr>
            <w:r>
              <w:rPr>
                <w:rFonts w:ascii="Arial" w:cs="Arial" w:eastAsia="Arial" w:hAnsi="Arial"/>
                <w:sz w:val="11"/>
                <w:szCs w:val="11"/>
                <w:b w:val="1"/>
                <w:bCs w:val="1"/>
                <w:color w:val="auto"/>
              </w:rPr>
              <w:t>(In thousands)</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financial, leasing, etc.</w:t>
            </w:r>
          </w:p>
        </w:tc>
        <w:tc>
          <w:tcPr>
            <w:tcW w:w="220" w:type="dxa"/>
            <w:vAlign w:val="bottom"/>
            <w:shd w:val="clear" w:color="auto" w:fill="CFF0FC"/>
          </w:tcPr>
          <w:p>
            <w:pPr>
              <w:jc w:val="right"/>
              <w:ind w:right="54"/>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171,322</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103,824</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275,146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221,022</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13,594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180"/>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222,771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934,915</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1,157,686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1,069,280</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340"/>
              <w:spacing w:after="0"/>
              <w:rPr>
                <w:sz w:val="20"/>
                <w:szCs w:val="20"/>
                <w:color w:val="auto"/>
              </w:rPr>
            </w:pPr>
            <w:r>
              <w:rPr>
                <w:rFonts w:ascii="Arial" w:cs="Arial" w:eastAsia="Arial" w:hAnsi="Arial"/>
                <w:sz w:val="14"/>
                <w:szCs w:val="14"/>
                <w:color w:val="auto"/>
              </w:rPr>
              <w:t>Residential builder and developer</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Other commercial construction</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29,914</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20,941</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50,855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111,405</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191,495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150,176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341,671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355,858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Residential — limited documentation</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80,590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42,922</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123,512</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122,888</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18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Home equity lines and loans</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32,783</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38,706</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71,489</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70,488</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340"/>
              <w:spacing w:after="0"/>
              <w:rPr>
                <w:sz w:val="20"/>
                <w:szCs w:val="20"/>
                <w:color w:val="auto"/>
              </w:rPr>
            </w:pPr>
            <w:r>
              <w:rPr>
                <w:rFonts w:ascii="Arial" w:cs="Arial" w:eastAsia="Arial" w:hAnsi="Arial"/>
                <w:sz w:val="14"/>
                <w:szCs w:val="14"/>
                <w:color w:val="auto"/>
              </w:rPr>
              <w:t>Recreational finance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24,350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31,546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Automobile</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30,129</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5,221</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35,350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34,037</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3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43,964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44,060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44,289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827,842</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1,306,389</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2,134,231</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2,060,083</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29,616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modifications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normal course of business, the Company modifies loans to maximize recovery efforts from borrowers experiencing financial difficulty. Such loan modifications typically include payment deferrals and interest rate reductions, but may also include other modified terms. Those modified loans may be considered nonaccrual if the Company does not expect to collect the contractual cash flows owed under the loan agreement. On January 1, 2023 the Company adopted amended guidance that eliminated the accounting guidance for troubled debt restructurings while expanding disclosure requirements for certain loan refinancings and restructurings by creditors when a borrower is experiencing financial difficulty. The amended guidance also requires disclosure of current period gross charge-offs by year of origination.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- 22 -</w:t>
      </w:r>
    </w:p>
    <w:p>
      <w:pPr>
        <w:sectPr>
          <w:pgSz w:w="11900" w:h="16840" w:orient="portrait"/>
          <w:cols w:equalWidth="0" w:num="1">
            <w:col w:w="10580"/>
          </w:cols>
          <w:pgMar w:left="660" w:top="562" w:right="660"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260" w:firstLine="468"/>
        <w:spacing w:after="0" w:line="275" w:lineRule="auto"/>
        <w:rPr>
          <w:sz w:val="20"/>
          <w:szCs w:val="20"/>
          <w:color w:val="auto"/>
        </w:rPr>
      </w:pPr>
      <w:r>
        <w:rPr>
          <w:rFonts w:ascii="Arial" w:cs="Arial" w:eastAsia="Arial" w:hAnsi="Arial"/>
          <w:sz w:val="18"/>
          <w:szCs w:val="18"/>
          <w:color w:val="auto"/>
        </w:rPr>
        <w:t>The table that follows summarizes the Company’s loan modification activities to borrowers experiencing financial difficulty for the three-month period ended March 31,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Combinatio</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Percent of</w:t>
            </w: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Payment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Rate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Modification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Total Loan</w:t>
            </w:r>
          </w:p>
        </w:tc>
      </w:tr>
      <w:tr>
        <w:trPr>
          <w:trHeight w:val="180"/>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Deferral</w:t>
            </w:r>
          </w:p>
        </w:tc>
        <w:tc>
          <w:tcPr>
            <w:tcW w:w="180" w:type="dxa"/>
            <w:vAlign w:val="bottom"/>
          </w:tcPr>
          <w:p>
            <w:pPr>
              <w:spacing w:after="0"/>
              <w:rPr>
                <w:sz w:val="15"/>
                <w:szCs w:val="15"/>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Reduction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Types (a)</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(b)</w:t>
            </w:r>
          </w:p>
        </w:tc>
        <w:tc>
          <w:tcPr>
            <w:tcW w:w="12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Class</w:t>
            </w: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6"/>
          </w:tcPr>
          <w:p>
            <w:pPr>
              <w:ind w:left="8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8"/>
        </w:trPr>
        <w:tc>
          <w:tcPr>
            <w:tcW w:w="4380" w:type="dxa"/>
            <w:vAlign w:val="bottom"/>
            <w:gridSpan w:val="3"/>
            <w:shd w:val="clear" w:color="auto" w:fill="CFF0FC"/>
          </w:tcPr>
          <w:p>
            <w:pPr>
              <w:ind w:left="20"/>
              <w:spacing w:after="0" w:line="168" w:lineRule="exact"/>
              <w:rPr>
                <w:sz w:val="20"/>
                <w:szCs w:val="20"/>
                <w:color w:val="auto"/>
              </w:rPr>
            </w:pPr>
            <w:r>
              <w:rPr>
                <w:rFonts w:ascii="Arial" w:cs="Arial" w:eastAsia="Arial" w:hAnsi="Arial"/>
                <w:sz w:val="16"/>
                <w:szCs w:val="16"/>
                <w:b w:val="1"/>
                <w:bCs w:val="1"/>
                <w:color w:val="auto"/>
              </w:rPr>
              <w:t>Three Months Ended March 31, 2023</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680" w:type="dxa"/>
            <w:vAlign w:val="bottom"/>
            <w:tcBorders>
              <w:top w:val="single" w:sz="8" w:color="auto"/>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2"/>
        </w:trPr>
        <w:tc>
          <w:tcPr>
            <w:tcW w:w="4380" w:type="dxa"/>
            <w:vAlign w:val="bottom"/>
            <w:gridSpan w:val="3"/>
          </w:tcPr>
          <w:p>
            <w:pPr>
              <w:ind w:left="20"/>
              <w:spacing w:after="0"/>
              <w:rPr>
                <w:sz w:val="20"/>
                <w:szCs w:val="20"/>
                <w:color w:val="auto"/>
              </w:rPr>
            </w:pPr>
            <w:r>
              <w:rPr>
                <w:rFonts w:ascii="Arial" w:cs="Arial" w:eastAsia="Arial" w:hAnsi="Arial"/>
                <w:sz w:val="16"/>
                <w:szCs w:val="16"/>
                <w:color w:val="auto"/>
              </w:rPr>
              <w:t>Commercial, financial, leasing, etc.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43,564</w:t>
            </w:r>
          </w:p>
        </w:tc>
        <w:tc>
          <w:tcPr>
            <w:tcW w:w="1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43,850</w:t>
            </w:r>
          </w:p>
        </w:tc>
        <w:tc>
          <w:tcPr>
            <w:tcW w:w="10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0.10 %</w:t>
            </w:r>
          </w:p>
        </w:tc>
      </w:tr>
      <w:tr>
        <w:trPr>
          <w:trHeight w:val="204"/>
        </w:trPr>
        <w:tc>
          <w:tcPr>
            <w:tcW w:w="4380" w:type="dxa"/>
            <w:vAlign w:val="bottom"/>
            <w:gridSpan w:val="3"/>
          </w:tcPr>
          <w:p>
            <w:pPr>
              <w:ind w:left="20"/>
              <w:spacing w:after="0"/>
              <w:rPr>
                <w:sz w:val="20"/>
                <w:szCs w:val="20"/>
                <w:color w:val="auto"/>
              </w:rPr>
            </w:pPr>
            <w:r>
              <w:rPr>
                <w:rFonts w:ascii="Arial" w:cs="Arial" w:eastAsia="Arial" w:hAnsi="Arial"/>
                <w:sz w:val="16"/>
                <w:szCs w:val="16"/>
                <w:color w:val="auto"/>
              </w:rPr>
              <w:t>Real estate: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120,304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120,304</w:t>
            </w:r>
          </w:p>
        </w:tc>
        <w:tc>
          <w:tcPr>
            <w:tcW w:w="1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0.32 %</w:t>
            </w: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Residential builder and developer</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7,983</w:t>
            </w:r>
          </w:p>
        </w:tc>
        <w:tc>
          <w:tcPr>
            <w:tcW w:w="1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0.64 %</w:t>
            </w: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Other commercial construction</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91,811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91,811</w:t>
            </w:r>
          </w:p>
        </w:tc>
        <w:tc>
          <w:tcPr>
            <w:tcW w:w="1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1.39 %</w:t>
            </w: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32,460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34,423</w:t>
            </w:r>
          </w:p>
        </w:tc>
        <w:tc>
          <w:tcPr>
            <w:tcW w:w="1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0.15 %</w:t>
            </w: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Residential — limited documentation</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5,237</w:t>
            </w:r>
          </w:p>
        </w:tc>
        <w:tc>
          <w:tcPr>
            <w:tcW w:w="1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0.51 %</w:t>
            </w:r>
          </w:p>
        </w:tc>
      </w:tr>
      <w:tr>
        <w:trPr>
          <w:trHeight w:val="204"/>
        </w:trPr>
        <w:tc>
          <w:tcPr>
            <w:tcW w:w="4380" w:type="dxa"/>
            <w:vAlign w:val="bottom"/>
            <w:gridSpan w:val="3"/>
          </w:tcPr>
          <w:p>
            <w:pPr>
              <w:ind w:left="20"/>
              <w:spacing w:after="0"/>
              <w:rPr>
                <w:sz w:val="20"/>
                <w:szCs w:val="20"/>
                <w:color w:val="auto"/>
              </w:rPr>
            </w:pPr>
            <w:r>
              <w:rPr>
                <w:rFonts w:ascii="Arial" w:cs="Arial" w:eastAsia="Arial" w:hAnsi="Arial"/>
                <w:sz w:val="16"/>
                <w:szCs w:val="16"/>
                <w:color w:val="auto"/>
              </w:rPr>
              <w:t>Consumer:</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Home equity lines and loans</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0.01 %</w:t>
            </w: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Recreational finance</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0.00 %</w:t>
            </w: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Automobile</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0.00 %</w:t>
            </w:r>
          </w:p>
        </w:tc>
      </w:tr>
      <w:tr>
        <w:trPr>
          <w:trHeight w:val="204"/>
        </w:trPr>
        <w:tc>
          <w:tcPr>
            <w:tcW w:w="20" w:type="dxa"/>
            <w:vAlign w:val="bottom"/>
          </w:tcPr>
          <w:p>
            <w:pPr>
              <w:spacing w:after="0"/>
              <w:rPr>
                <w:sz w:val="17"/>
                <w:szCs w:val="17"/>
                <w:color w:val="auto"/>
              </w:rPr>
            </w:pPr>
          </w:p>
        </w:tc>
        <w:tc>
          <w:tcPr>
            <w:tcW w:w="4360" w:type="dxa"/>
            <w:vAlign w:val="bottom"/>
            <w:gridSpan w:val="2"/>
          </w:tcPr>
          <w:p>
            <w:pPr>
              <w:ind w:left="16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r>
      <w:tr>
        <w:trPr>
          <w:trHeight w:val="225"/>
        </w:trPr>
        <w:tc>
          <w:tcPr>
            <w:tcW w:w="43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301,540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ind w:left="36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304,231</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0.23 %</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6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(a)Predominantly payment deferrals combined with interest rate reductions.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(b)Includes approximately $23 million of loans guaranteed by government-related entities (predominantly first lien residential mortgage loans).</w:t>
      </w:r>
    </w:p>
    <w:p>
      <w:pPr>
        <w:spacing w:after="0" w:line="109" w:lineRule="exact"/>
        <w:rPr>
          <w:sz w:val="20"/>
          <w:szCs w:val="20"/>
          <w:color w:val="auto"/>
        </w:rPr>
      </w:pPr>
    </w:p>
    <w:p>
      <w:pPr>
        <w:ind w:right="220" w:firstLine="468"/>
        <w:spacing w:after="0" w:line="275" w:lineRule="auto"/>
        <w:rPr>
          <w:sz w:val="20"/>
          <w:szCs w:val="20"/>
          <w:color w:val="auto"/>
        </w:rPr>
      </w:pPr>
      <w:r>
        <w:rPr>
          <w:rFonts w:ascii="Arial" w:cs="Arial" w:eastAsia="Arial" w:hAnsi="Arial"/>
          <w:sz w:val="18"/>
          <w:szCs w:val="18"/>
          <w:color w:val="auto"/>
        </w:rPr>
        <w:t>The financial effects of the modifications in the previous table include an increase in the weighted-average remaining term for commercial loans of 1.1 years, commercial real estate loans of 1.2 years and residential real estate loans of 9.1 years.</w:t>
      </w:r>
    </w:p>
    <w:p>
      <w:pPr>
        <w:spacing w:after="0" w:line="54" w:lineRule="exact"/>
        <w:rPr>
          <w:sz w:val="20"/>
          <w:szCs w:val="20"/>
          <w:color w:val="auto"/>
        </w:rPr>
      </w:pPr>
    </w:p>
    <w:p>
      <w:pPr>
        <w:ind w:right="160" w:firstLine="468"/>
        <w:spacing w:after="0" w:line="256" w:lineRule="auto"/>
        <w:rPr>
          <w:sz w:val="20"/>
          <w:szCs w:val="20"/>
          <w:color w:val="auto"/>
        </w:rPr>
      </w:pPr>
      <w:r>
        <w:rPr>
          <w:rFonts w:ascii="Arial" w:cs="Arial" w:eastAsia="Arial" w:hAnsi="Arial"/>
          <w:sz w:val="18"/>
          <w:szCs w:val="18"/>
          <w:color w:val="auto"/>
        </w:rPr>
        <w:t>Modified loans to borrowers experiencing financial difficulty are subject to the allowance for credit losses methodology described herein, including the use of models to inform credit loss estimates and, to the extent larger balance commercial and commercial real estate loans are in nonaccrual status, a loan -by-loan analysis of expected credit losses on those individual loans. Loans to borrowers experiencing financial difficulty that were modified during the three months ended March 31, 2023 and for which there was a subsequent payment default during that period were not material.</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- 23 -</w:t>
      </w:r>
    </w:p>
    <w:p>
      <w:pPr>
        <w:sectPr>
          <w:pgSz w:w="11900" w:h="16840" w:orient="portrait"/>
          <w:cols w:equalWidth="0" w:num="1">
            <w:col w:w="10620"/>
          </w:cols>
          <w:pgMar w:left="660" w:top="562" w:right="620"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color w:val="auto"/>
        </w:rPr>
        <w:t>Prior to January 1, 2023, if the borrower was experiencing financial difficulty such that the Company did not expect to collect the contractual cash flows owed under the original loan agreement and a concession in loan terms was granted, the Company considered the loan modification as a troubled debt restructuring. The table that follows summarizes the Company’s loan modification activities that were considered troubled debt restructurings for the three- month period ended March 31, 2022. The table is not comparative to the preceding table. The Company no longer designates modified loans as a troubled debt restructuring in conjunction with the adoption of amended accounting guidance on January 1,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Pre-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ind w:left="580"/>
              <w:spacing w:after="0"/>
              <w:rPr>
                <w:sz w:val="20"/>
                <w:szCs w:val="20"/>
                <w:color w:val="auto"/>
              </w:rPr>
            </w:pPr>
            <w:r>
              <w:rPr>
                <w:rFonts w:ascii="Arial" w:cs="Arial" w:eastAsia="Arial" w:hAnsi="Arial"/>
                <w:sz w:val="13"/>
                <w:szCs w:val="13"/>
                <w:b w:val="1"/>
                <w:bCs w:val="1"/>
                <w:color w:val="auto"/>
                <w:w w:val="98"/>
              </w:rPr>
              <w:t>Post-modification (a)</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modificat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ion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Recorde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Combinati</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on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Investme</w:t>
            </w:r>
          </w:p>
        </w:tc>
        <w:tc>
          <w:tcPr>
            <w:tcW w:w="1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Principal</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Rate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Concessio</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nt</w:t>
            </w:r>
          </w:p>
        </w:tc>
        <w:tc>
          <w:tcPr>
            <w:tcW w:w="1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Deferral</w:t>
            </w:r>
          </w:p>
        </w:tc>
        <w:tc>
          <w:tcPr>
            <w:tcW w:w="280" w:type="dxa"/>
            <w:vAlign w:val="bottom"/>
          </w:tcPr>
          <w:p>
            <w:pPr>
              <w:spacing w:after="0"/>
              <w:rPr>
                <w:sz w:val="15"/>
                <w:szCs w:val="15"/>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Reduction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 Types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gridSpan w:val="6"/>
          </w:tcPr>
          <w:p>
            <w:pPr>
              <w:jc w:val="right"/>
              <w:ind w:right="40"/>
              <w:spacing w:after="0"/>
              <w:rPr>
                <w:sz w:val="20"/>
                <w:szCs w:val="20"/>
                <w:color w:val="auto"/>
              </w:rPr>
            </w:pPr>
            <w:r>
              <w:rPr>
                <w:rFonts w:ascii="Arial" w:cs="Arial" w:eastAsia="Arial" w:hAnsi="Arial"/>
                <w:sz w:val="13"/>
                <w:szCs w:val="13"/>
                <w:b w:val="1"/>
                <w:bCs w:val="1"/>
                <w:color w:val="auto"/>
              </w:rPr>
              <w:t>(Dollars in thousands)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80" w:type="dxa"/>
            <w:vAlign w:val="bottom"/>
            <w:gridSpan w:val="3"/>
          </w:tcPr>
          <w:p>
            <w:pPr>
              <w:ind w:left="20"/>
              <w:spacing w:after="0" w:line="168" w:lineRule="exact"/>
              <w:rPr>
                <w:sz w:val="20"/>
                <w:szCs w:val="20"/>
                <w:color w:val="auto"/>
              </w:rPr>
            </w:pPr>
            <w:r>
              <w:rPr>
                <w:rFonts w:ascii="Arial" w:cs="Arial" w:eastAsia="Arial" w:hAnsi="Arial"/>
                <w:sz w:val="16"/>
                <w:szCs w:val="16"/>
                <w:b w:val="1"/>
                <w:bCs w:val="1"/>
                <w:color w:val="auto"/>
              </w:rPr>
              <w:t>Three Months Ended March 31, 2022</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2680" w:type="dxa"/>
            <w:vAlign w:val="bottom"/>
            <w:tcBorders>
              <w:top w:val="single" w:sz="8" w:color="auto"/>
            </w:tcBorders>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Commercial, financial, leasing, etc.</w:t>
            </w: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$ 10,003</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6,920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2,780</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9,754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Real estate:</w:t>
            </w: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7,582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Residential</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24,051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15,443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9,961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25,404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tcPr>
          <w:p>
            <w:pPr>
              <w:ind w:left="160"/>
              <w:spacing w:after="0"/>
              <w:rPr>
                <w:sz w:val="20"/>
                <w:szCs w:val="20"/>
                <w:color w:val="auto"/>
              </w:rPr>
            </w:pPr>
            <w:r>
              <w:rPr>
                <w:rFonts w:ascii="Arial" w:cs="Arial" w:eastAsia="Arial" w:hAnsi="Arial"/>
                <w:sz w:val="16"/>
                <w:szCs w:val="16"/>
                <w:color w:val="auto"/>
              </w:rPr>
              <w:t>Residential — limited documentation</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Consumer:</w:t>
            </w: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tcPr>
          <w:p>
            <w:pPr>
              <w:ind w:left="160"/>
              <w:spacing w:after="0"/>
              <w:rPr>
                <w:sz w:val="20"/>
                <w:szCs w:val="20"/>
                <w:color w:val="auto"/>
              </w:rPr>
            </w:pPr>
            <w:r>
              <w:rPr>
                <w:rFonts w:ascii="Arial" w:cs="Arial" w:eastAsia="Arial" w:hAnsi="Arial"/>
                <w:sz w:val="16"/>
                <w:szCs w:val="16"/>
                <w:color w:val="auto"/>
              </w:rPr>
              <w:t>Home equity lines and loans</w:t>
            </w: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1,988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Recreational finance</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5,997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tcPr>
          <w:p>
            <w:pPr>
              <w:ind w:left="160"/>
              <w:spacing w:after="0"/>
              <w:rPr>
                <w:sz w:val="20"/>
                <w:szCs w:val="20"/>
                <w:color w:val="auto"/>
              </w:rPr>
            </w:pPr>
            <w:r>
              <w:rPr>
                <w:rFonts w:ascii="Arial" w:cs="Arial" w:eastAsia="Arial" w:hAnsi="Arial"/>
                <w:sz w:val="16"/>
                <w:szCs w:val="16"/>
                <w:color w:val="auto"/>
              </w:rPr>
              <w:t>Automobile</w:t>
            </w:r>
          </w:p>
        </w:tc>
        <w:tc>
          <w:tcPr>
            <w:tcW w:w="620" w:type="dxa"/>
            <w:vAlign w:val="bottom"/>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10,263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10,233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10,233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Other</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620" w:type="dxa"/>
            <w:vAlign w:val="bottom"/>
          </w:tcPr>
          <w:p>
            <w:pPr>
              <w:jc w:val="right"/>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$ 61,456</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46,178</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2,155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13,961</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62,294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3"/>
          <w:szCs w:val="13"/>
          <w:i w:val="1"/>
          <w:iCs w:val="1"/>
          <w:color w:val="auto"/>
        </w:rPr>
        <w:t>_____________________________________________</w:t>
      </w:r>
    </w:p>
    <w:p>
      <w:pPr>
        <w:spacing w:after="0" w:line="7" w:lineRule="exact"/>
        <w:rPr>
          <w:sz w:val="20"/>
          <w:szCs w:val="20"/>
          <w:color w:val="auto"/>
        </w:rPr>
      </w:pPr>
    </w:p>
    <w:p>
      <w:pPr>
        <w:ind w:right="220"/>
        <w:spacing w:after="0" w:line="263" w:lineRule="auto"/>
        <w:rPr>
          <w:sz w:val="20"/>
          <w:szCs w:val="20"/>
          <w:color w:val="auto"/>
        </w:rPr>
      </w:pPr>
      <w:r>
        <w:rPr>
          <w:rFonts w:ascii="Arial" w:cs="Arial" w:eastAsia="Arial" w:hAnsi="Arial"/>
          <w:sz w:val="13"/>
          <w:szCs w:val="13"/>
          <w:i w:val="1"/>
          <w:iCs w:val="1"/>
          <w:color w:val="auto"/>
        </w:rPr>
        <w:t>(a)Financial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73" w:lineRule="exact"/>
        <w:rPr>
          <w:sz w:val="20"/>
          <w:szCs w:val="20"/>
          <w:color w:val="auto"/>
        </w:rPr>
      </w:pPr>
    </w:p>
    <w:p>
      <w:pPr>
        <w:ind w:right="140" w:firstLine="468"/>
        <w:spacing w:after="0" w:line="259" w:lineRule="auto"/>
        <w:rPr>
          <w:sz w:val="20"/>
          <w:szCs w:val="20"/>
          <w:color w:val="auto"/>
        </w:rPr>
      </w:pPr>
      <w:r>
        <w:rPr>
          <w:rFonts w:ascii="Arial" w:cs="Arial" w:eastAsia="Arial" w:hAnsi="Arial"/>
          <w:sz w:val="18"/>
          <w:szCs w:val="18"/>
          <w:color w:val="auto"/>
        </w:rPr>
        <w:t>The amount of foreclosed property held by the Company, predominantly consisting of residential real estate, was $45 million and $41 million at March 31, 2023 and December 31, 2022, respectively. There were $194 million and $201 million at March 31, 2023 and December 31, 2022, respectively, of loans secured by residential real estate that were in the process of foreclosure. Of all loans in the process of foreclosure at March 31, 2023, approximately 44% were government guaranteed.</w:t>
      </w:r>
    </w:p>
    <w:p>
      <w:pPr>
        <w:spacing w:after="0" w:line="67" w:lineRule="exact"/>
        <w:rPr>
          <w:sz w:val="20"/>
          <w:szCs w:val="20"/>
          <w:color w:val="auto"/>
        </w:rPr>
      </w:pPr>
    </w:p>
    <w:p>
      <w:pPr>
        <w:ind w:right="100" w:firstLine="468"/>
        <w:spacing w:after="0" w:line="255" w:lineRule="auto"/>
        <w:rPr>
          <w:sz w:val="20"/>
          <w:szCs w:val="20"/>
          <w:color w:val="auto"/>
        </w:rPr>
      </w:pPr>
      <w:r>
        <w:rPr>
          <w:rFonts w:ascii="Arial" w:cs="Arial" w:eastAsia="Arial" w:hAnsi="Arial"/>
          <w:sz w:val="18"/>
          <w:szCs w:val="18"/>
          <w:color w:val="auto"/>
        </w:rPr>
        <w:t>The Company pledged certain loans to secure outstanding borrowings and available lines of credit. At March 31, 2023, the Company pledged approximately $11.6 billion of commercial loans and leases, $16.5 billion of commercial real estate loans, $19.5 billion of one-to-four family residential real estate loans, $2.4 billion of home equity loans and lines of credit and $11.1 billion of other consumer loans. At December 31, 2022, the Company pledged approximately $10.5 billion of commercial loans and leases, $16.3 billion of commercial real estate loans, $19.5 billion of one-to-four family residential real estate loans, $2.4 billion of homes equity loans and lines of credit and $10.7 billion of other consumer loans.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M&amp;T had $537 million of fixed and variable rate junior subordinated deferrable interest debentures ("Junior Subordinated Debentures") outstanding at March 31, 2023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- 24 -</w:t>
      </w:r>
    </w:p>
    <w:p>
      <w:pPr>
        <w:sectPr>
          <w:pgSz w:w="11900" w:h="16840" w:orient="portrait"/>
          <w:cols w:equalWidth="0" w:num="1">
            <w:col w:w="10600"/>
          </w:cols>
          <w:pgMar w:left="660" w:top="562" w:right="640"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 continued</w:t>
      </w:r>
    </w:p>
    <w:p>
      <w:pPr>
        <w:spacing w:after="0" w:line="115" w:lineRule="exact"/>
        <w:rPr>
          <w:sz w:val="20"/>
          <w:szCs w:val="20"/>
          <w:color w:val="auto"/>
        </w:rPr>
      </w:pPr>
    </w:p>
    <w:p>
      <w:pPr>
        <w:ind w:right="80" w:firstLine="468"/>
        <w:spacing w:after="0" w:line="272" w:lineRule="auto"/>
        <w:rPr>
          <w:sz w:val="20"/>
          <w:szCs w:val="20"/>
          <w:color w:val="auto"/>
        </w:rPr>
      </w:pPr>
      <w:r>
        <w:rPr>
          <w:rFonts w:ascii="Arial" w:cs="Arial" w:eastAsia="Arial" w:hAnsi="Arial"/>
          <w:sz w:val="17"/>
          <w:szCs w:val="17"/>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8" w:lineRule="exact"/>
        <w:rPr>
          <w:sz w:val="20"/>
          <w:szCs w:val="20"/>
          <w:color w:val="auto"/>
        </w:rPr>
      </w:pPr>
    </w:p>
    <w:p>
      <w:pPr>
        <w:ind w:right="200" w:firstLine="468"/>
        <w:spacing w:after="0" w:line="254"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75" w:lineRule="exact"/>
        <w:rPr>
          <w:sz w:val="20"/>
          <w:szCs w:val="20"/>
          <w:color w:val="auto"/>
        </w:rPr>
      </w:pPr>
    </w:p>
    <w:p>
      <w:pPr>
        <w:ind w:firstLine="468"/>
        <w:spacing w:after="0" w:line="256" w:lineRule="auto"/>
        <w:rPr>
          <w:sz w:val="20"/>
          <w:szCs w:val="20"/>
          <w:color w:val="auto"/>
        </w:rPr>
      </w:pPr>
      <w:r>
        <w:rPr>
          <w:rFonts w:ascii="Arial" w:cs="Arial" w:eastAsia="Arial" w:hAnsi="Arial"/>
          <w:sz w:val="18"/>
          <w:szCs w:val="18"/>
          <w:color w:val="auto"/>
        </w:rPr>
        <w:t>In January 2023, M&amp;T issued $1.0 billion of senior notes that mature in January 2034 and pay a 5.053% fixed rate semi-annually until January 2033 after which the Secured Overnight Financing Rate ("SOFR") plus 1.85% will be paid quarterly until maturity. Additionally, in January 2023 M&amp;T Bank issued $1.3 billion of senior notes that mature in January 2026 and pay a fixed rate of 4.65% semi-annually until maturity and $1.2 billion of senior notes that mature in January 2028 and pay a fixed rate of 4.70% semi-annually until maturity.</w:t>
      </w:r>
    </w:p>
    <w:p>
      <w:pPr>
        <w:spacing w:after="0" w:line="7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At March 31, 2023, M&amp;T Bank had borrowing facilities available with the Federal Home Loan Bank of New York whereby M&amp;T Bank could borrow an additional $ 17.1 billion. M&amp;T Bank also had an available line of credit with the Federal Reserve Bank of New York totaling approximately $15.4 billion at March 31, 2023. M&amp;T Bank is required to pledge loans and investment securities as collateral for these borrowing facilities and could increase the availability under such facilities by pledging additional assets.</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w:t>
      </w:r>
    </w:p>
    <w:p>
      <w:pPr>
        <w:spacing w:after="0" w:line="11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March 31, 2023 and December 31, 2022, the Company had $68 million and $74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March 31, 2023 and December 31, 2022, the Company had deferred revenue of $45 million and $48 million, respectively, related to the sources in the accompanying tables recorded in accrued interest and other liabilities in the consolidated balance sheet.</w:t>
      </w:r>
    </w:p>
    <w:p>
      <w:pPr>
        <w:spacing w:after="0" w:line="59" w:lineRule="exact"/>
        <w:rPr>
          <w:sz w:val="20"/>
          <w:szCs w:val="20"/>
          <w:color w:val="auto"/>
        </w:rPr>
      </w:pPr>
    </w:p>
    <w:p>
      <w:pPr>
        <w:ind w:right="260" w:firstLine="468"/>
        <w:spacing w:after="0" w:line="275" w:lineRule="auto"/>
        <w:rPr>
          <w:sz w:val="20"/>
          <w:szCs w:val="20"/>
          <w:color w:val="auto"/>
        </w:rPr>
      </w:pPr>
      <w:r>
        <w:rPr>
          <w:rFonts w:ascii="Arial" w:cs="Arial" w:eastAsia="Arial" w:hAnsi="Arial"/>
          <w:sz w:val="18"/>
          <w:szCs w:val="18"/>
          <w:color w:val="auto"/>
        </w:rPr>
        <w:t>The following tables summarize sources of the Company’s noninterest income during the three-month periods ended March 31, 2023 and 2022 that are subject to the revenue recognition accounting guidance.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Residential</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b w:val="1"/>
                <w:bCs w:val="1"/>
                <w:color w:val="auto"/>
              </w:rPr>
              <w:t>Business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Commercial</w:t>
            </w: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Commercial</w:t>
            </w: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Discretionary</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Mortgage</w:t>
            </w: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Retail</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b w:val="1"/>
                <w:bCs w:val="1"/>
                <w:color w:val="auto"/>
              </w:rPr>
              <w:t>Banking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Banking</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Real Estate</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Portfolio</w:t>
            </w:r>
          </w:p>
        </w:tc>
        <w:tc>
          <w:tcPr>
            <w:tcW w:w="1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Banking</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Banking</w:t>
            </w:r>
          </w:p>
        </w:tc>
        <w:tc>
          <w:tcPr>
            <w:tcW w:w="8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r>
      <w:tr>
        <w:trPr>
          <w:trHeight w:val="148"/>
        </w:trPr>
        <w:tc>
          <w:tcPr>
            <w:tcW w:w="2680" w:type="dxa"/>
            <w:vAlign w:val="bottom"/>
            <w:gridSpan w:val="3"/>
          </w:tcPr>
          <w:p>
            <w:pPr>
              <w:ind w:left="20"/>
              <w:spacing w:after="0"/>
              <w:rPr>
                <w:sz w:val="20"/>
                <w:szCs w:val="20"/>
                <w:color w:val="auto"/>
              </w:rPr>
            </w:pPr>
            <w:r>
              <w:rPr>
                <w:rFonts w:ascii="Arial" w:cs="Arial" w:eastAsia="Arial" w:hAnsi="Arial"/>
                <w:sz w:val="12"/>
                <w:szCs w:val="12"/>
                <w:b w:val="1"/>
                <w:bCs w:val="1"/>
                <w:color w:val="auto"/>
              </w:rPr>
              <w:t>Three Months Ended March 31, 2023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ind w:left="520"/>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5"/>
        </w:trPr>
        <w:tc>
          <w:tcPr>
            <w:tcW w:w="2680" w:type="dxa"/>
            <w:vAlign w:val="bottom"/>
            <w:gridSpan w:val="3"/>
            <w:shd w:val="clear" w:color="auto" w:fill="CFF0FC"/>
          </w:tcPr>
          <w:p>
            <w:pPr>
              <w:ind w:left="20"/>
              <w:spacing w:after="0"/>
              <w:rPr>
                <w:sz w:val="20"/>
                <w:szCs w:val="20"/>
                <w:color w:val="auto"/>
              </w:rPr>
            </w:pPr>
            <w:r>
              <w:rPr>
                <w:rFonts w:ascii="Arial" w:cs="Arial" w:eastAsia="Arial" w:hAnsi="Arial"/>
                <w:sz w:val="12"/>
                <w:szCs w:val="12"/>
                <w:b w:val="1"/>
                <w:bCs w:val="1"/>
                <w:color w:val="auto"/>
              </w:rPr>
              <w:t>Classification in consolidated</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1"/>
        </w:trPr>
        <w:tc>
          <w:tcPr>
            <w:tcW w:w="20" w:type="dxa"/>
            <w:vAlign w:val="bottom"/>
            <w:shd w:val="clear" w:color="auto" w:fill="CFF0FC"/>
          </w:tcPr>
          <w:p>
            <w:pPr>
              <w:spacing w:after="0"/>
              <w:rPr>
                <w:sz w:val="14"/>
                <w:szCs w:val="14"/>
                <w:color w:val="auto"/>
              </w:rPr>
            </w:pPr>
          </w:p>
        </w:tc>
        <w:tc>
          <w:tcPr>
            <w:tcW w:w="2660" w:type="dxa"/>
            <w:vAlign w:val="bottom"/>
            <w:gridSpan w:val="2"/>
            <w:shd w:val="clear" w:color="auto" w:fill="CFF0FC"/>
          </w:tcPr>
          <w:p>
            <w:pPr>
              <w:ind w:left="100"/>
              <w:spacing w:after="0"/>
              <w:rPr>
                <w:sz w:val="20"/>
                <w:szCs w:val="20"/>
                <w:color w:val="auto"/>
              </w:rPr>
            </w:pPr>
            <w:r>
              <w:rPr>
                <w:rFonts w:ascii="Arial" w:cs="Arial" w:eastAsia="Arial" w:hAnsi="Arial"/>
                <w:sz w:val="12"/>
                <w:szCs w:val="12"/>
                <w:b w:val="1"/>
                <w:bCs w:val="1"/>
                <w:color w:val="auto"/>
              </w:rPr>
              <w:t>statement of income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354"/>
        </w:trPr>
        <w:tc>
          <w:tcPr>
            <w:tcW w:w="2680" w:type="dxa"/>
            <w:vAlign w:val="bottom"/>
            <w:gridSpan w:val="3"/>
          </w:tcPr>
          <w:p>
            <w:pPr>
              <w:ind w:left="20"/>
              <w:spacing w:after="0"/>
              <w:rPr>
                <w:sz w:val="20"/>
                <w:szCs w:val="20"/>
                <w:color w:val="auto"/>
              </w:rPr>
            </w:pPr>
            <w:r>
              <w:rPr>
                <w:rFonts w:ascii="Arial" w:cs="Arial" w:eastAsia="Arial" w:hAnsi="Arial"/>
                <w:sz w:val="12"/>
                <w:szCs w:val="12"/>
                <w:color w:val="auto"/>
              </w:rPr>
              <w:t>Service charges on deposit accounts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19,470</w:t>
            </w: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28,473</w:t>
            </w: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59,452</w:t>
            </w: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1,965</w:t>
            </w:r>
          </w:p>
        </w:tc>
        <w:tc>
          <w:tcPr>
            <w:tcW w:w="8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113,546</w:t>
            </w:r>
          </w:p>
        </w:tc>
        <w:tc>
          <w:tcPr>
            <w:tcW w:w="80" w:type="dxa"/>
            <w:vAlign w:val="bottom"/>
          </w:tcPr>
          <w:p>
            <w:pPr>
              <w:spacing w:after="0"/>
              <w:rPr>
                <w:sz w:val="24"/>
                <w:szCs w:val="24"/>
                <w:color w:val="auto"/>
              </w:rPr>
            </w:pPr>
          </w:p>
        </w:tc>
      </w:tr>
      <w:tr>
        <w:trPr>
          <w:trHeight w:val="186"/>
        </w:trPr>
        <w:tc>
          <w:tcPr>
            <w:tcW w:w="2680" w:type="dxa"/>
            <w:vAlign w:val="bottom"/>
            <w:gridSpan w:val="3"/>
            <w:shd w:val="clear" w:color="auto" w:fill="CFF0FC"/>
          </w:tcPr>
          <w:p>
            <w:pPr>
              <w:ind w:left="20"/>
              <w:spacing w:after="0"/>
              <w:rPr>
                <w:sz w:val="20"/>
                <w:szCs w:val="20"/>
                <w:color w:val="auto"/>
              </w:rPr>
            </w:pPr>
            <w:r>
              <w:rPr>
                <w:rFonts w:ascii="Arial" w:cs="Arial" w:eastAsia="Arial" w:hAnsi="Arial"/>
                <w:sz w:val="12"/>
                <w:szCs w:val="12"/>
                <w:color w:val="auto"/>
              </w:rPr>
              <w:t>Trust income</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193,792</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193,802</w:t>
            </w:r>
          </w:p>
        </w:tc>
        <w:tc>
          <w:tcPr>
            <w:tcW w:w="80" w:type="dxa"/>
            <w:vAlign w:val="bottom"/>
            <w:shd w:val="clear" w:color="auto" w:fill="CFF0FC"/>
          </w:tcPr>
          <w:p>
            <w:pPr>
              <w:spacing w:after="0"/>
              <w:rPr>
                <w:sz w:val="16"/>
                <w:szCs w:val="16"/>
                <w:color w:val="auto"/>
              </w:rPr>
            </w:pPr>
          </w:p>
        </w:tc>
      </w:tr>
      <w:tr>
        <w:trPr>
          <w:trHeight w:val="174"/>
        </w:trPr>
        <w:tc>
          <w:tcPr>
            <w:tcW w:w="2680" w:type="dxa"/>
            <w:vAlign w:val="bottom"/>
            <w:gridSpan w:val="3"/>
          </w:tcPr>
          <w:p>
            <w:pPr>
              <w:ind w:left="20"/>
              <w:spacing w:after="0"/>
              <w:rPr>
                <w:sz w:val="20"/>
                <w:szCs w:val="20"/>
                <w:color w:val="auto"/>
              </w:rPr>
            </w:pPr>
            <w:r>
              <w:rPr>
                <w:rFonts w:ascii="Arial" w:cs="Arial" w:eastAsia="Arial" w:hAnsi="Arial"/>
                <w:sz w:val="12"/>
                <w:szCs w:val="12"/>
                <w:color w:val="auto"/>
              </w:rPr>
              <w:t>Brokerage services income</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24,041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24,041</w:t>
            </w:r>
          </w:p>
        </w:tc>
        <w:tc>
          <w:tcPr>
            <w:tcW w:w="80" w:type="dxa"/>
            <w:vAlign w:val="bottom"/>
          </w:tcPr>
          <w:p>
            <w:pPr>
              <w:spacing w:after="0"/>
              <w:rPr>
                <w:sz w:val="15"/>
                <w:szCs w:val="15"/>
                <w:color w:val="auto"/>
              </w:rPr>
            </w:pPr>
          </w:p>
        </w:tc>
      </w:tr>
      <w:tr>
        <w:trPr>
          <w:trHeight w:val="186"/>
        </w:trPr>
        <w:tc>
          <w:tcPr>
            <w:tcW w:w="2680" w:type="dxa"/>
            <w:vAlign w:val="bottom"/>
            <w:gridSpan w:val="3"/>
            <w:shd w:val="clear" w:color="auto" w:fill="CFF0FC"/>
          </w:tcPr>
          <w:p>
            <w:pPr>
              <w:ind w:left="20"/>
              <w:spacing w:after="0"/>
              <w:rPr>
                <w:sz w:val="20"/>
                <w:szCs w:val="20"/>
                <w:color w:val="auto"/>
              </w:rPr>
            </w:pPr>
            <w:r>
              <w:rPr>
                <w:rFonts w:ascii="Arial" w:cs="Arial" w:eastAsia="Arial" w:hAnsi="Arial"/>
                <w:sz w:val="12"/>
                <w:szCs w:val="12"/>
                <w:color w:val="auto"/>
              </w:rPr>
              <w:t>Other revenues from operations:</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2660" w:type="dxa"/>
            <w:vAlign w:val="bottom"/>
            <w:gridSpan w:val="2"/>
          </w:tcPr>
          <w:p>
            <w:pPr>
              <w:ind w:left="80"/>
              <w:spacing w:after="0"/>
              <w:rPr>
                <w:sz w:val="20"/>
                <w:szCs w:val="20"/>
                <w:color w:val="auto"/>
              </w:rPr>
            </w:pPr>
            <w:r>
              <w:rPr>
                <w:rFonts w:ascii="Arial" w:cs="Arial" w:eastAsia="Arial" w:hAnsi="Arial"/>
                <w:sz w:val="12"/>
                <w:szCs w:val="12"/>
                <w:color w:val="auto"/>
              </w:rPr>
              <w:t>Merchant discount and credit card fees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14,258</w:t>
            </w: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15,791</w:t>
            </w: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5,361</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36,802</w:t>
            </w:r>
          </w:p>
        </w:tc>
        <w:tc>
          <w:tcPr>
            <w:tcW w:w="80" w:type="dxa"/>
            <w:vAlign w:val="bottom"/>
          </w:tcPr>
          <w:p>
            <w:pPr>
              <w:spacing w:after="0"/>
              <w:rPr>
                <w:sz w:val="15"/>
                <w:szCs w:val="15"/>
                <w:color w:val="auto"/>
              </w:rPr>
            </w:pPr>
          </w:p>
        </w:tc>
      </w:tr>
      <w:tr>
        <w:trPr>
          <w:trHeight w:val="186"/>
        </w:trPr>
        <w:tc>
          <w:tcPr>
            <w:tcW w:w="20" w:type="dxa"/>
            <w:vAlign w:val="bottom"/>
            <w:shd w:val="clear" w:color="auto" w:fill="CFF0FC"/>
          </w:tcPr>
          <w:p>
            <w:pPr>
              <w:spacing w:after="0"/>
              <w:rPr>
                <w:sz w:val="16"/>
                <w:szCs w:val="16"/>
                <w:color w:val="auto"/>
              </w:rPr>
            </w:pPr>
          </w:p>
        </w:tc>
        <w:tc>
          <w:tcPr>
            <w:tcW w:w="26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4,671</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1,186</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340</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7,406</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1,030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14,654</w:t>
            </w:r>
          </w:p>
        </w:tc>
        <w:tc>
          <w:tcPr>
            <w:tcW w:w="80" w:type="dxa"/>
            <w:vAlign w:val="bottom"/>
            <w:shd w:val="clear" w:color="auto" w:fill="CFF0F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33,738</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48,935</w:t>
            </w: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6,459</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340</w:t>
            </w: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72,219</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221,133</w:t>
            </w:r>
          </w:p>
        </w:tc>
        <w:tc>
          <w:tcPr>
            <w:tcW w:w="80" w:type="dxa"/>
            <w:vAlign w:val="bottom"/>
          </w:tcPr>
          <w:p>
            <w:pPr>
              <w:spacing w:after="0"/>
              <w:rPr>
                <w:sz w:val="15"/>
                <w:szCs w:val="15"/>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382,845</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6"/>
        </w:trPr>
        <w:tc>
          <w:tcPr>
            <w:tcW w:w="2680" w:type="dxa"/>
            <w:vAlign w:val="bottom"/>
            <w:gridSpan w:val="3"/>
          </w:tcPr>
          <w:p>
            <w:pPr>
              <w:ind w:left="20"/>
              <w:spacing w:after="0"/>
              <w:rPr>
                <w:sz w:val="20"/>
                <w:szCs w:val="20"/>
                <w:color w:val="auto"/>
              </w:rPr>
            </w:pPr>
            <w:r>
              <w:rPr>
                <w:rFonts w:ascii="Arial" w:cs="Arial" w:eastAsia="Arial" w:hAnsi="Arial"/>
                <w:sz w:val="12"/>
                <w:szCs w:val="12"/>
                <w:b w:val="1"/>
                <w:bCs w:val="1"/>
                <w:color w:val="auto"/>
              </w:rPr>
              <w:t>Three Months Ended March 31, 2022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5"/>
        </w:trPr>
        <w:tc>
          <w:tcPr>
            <w:tcW w:w="2680" w:type="dxa"/>
            <w:vAlign w:val="bottom"/>
            <w:gridSpan w:val="3"/>
            <w:shd w:val="clear" w:color="auto" w:fill="CFF0FC"/>
          </w:tcPr>
          <w:p>
            <w:pPr>
              <w:ind w:left="20"/>
              <w:spacing w:after="0"/>
              <w:rPr>
                <w:sz w:val="20"/>
                <w:szCs w:val="20"/>
                <w:color w:val="auto"/>
              </w:rPr>
            </w:pPr>
            <w:r>
              <w:rPr>
                <w:rFonts w:ascii="Arial" w:cs="Arial" w:eastAsia="Arial" w:hAnsi="Arial"/>
                <w:sz w:val="12"/>
                <w:szCs w:val="12"/>
                <w:b w:val="1"/>
                <w:bCs w:val="1"/>
                <w:color w:val="auto"/>
              </w:rPr>
              <w:t>Classification in consolidated</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1"/>
        </w:trPr>
        <w:tc>
          <w:tcPr>
            <w:tcW w:w="20" w:type="dxa"/>
            <w:vAlign w:val="bottom"/>
            <w:shd w:val="clear" w:color="auto" w:fill="CFF0FC"/>
          </w:tcPr>
          <w:p>
            <w:pPr>
              <w:spacing w:after="0"/>
              <w:rPr>
                <w:sz w:val="14"/>
                <w:szCs w:val="14"/>
                <w:color w:val="auto"/>
              </w:rPr>
            </w:pPr>
          </w:p>
        </w:tc>
        <w:tc>
          <w:tcPr>
            <w:tcW w:w="2660" w:type="dxa"/>
            <w:vAlign w:val="bottom"/>
            <w:gridSpan w:val="2"/>
            <w:shd w:val="clear" w:color="auto" w:fill="CFF0FC"/>
          </w:tcPr>
          <w:p>
            <w:pPr>
              <w:ind w:left="100"/>
              <w:spacing w:after="0"/>
              <w:rPr>
                <w:sz w:val="20"/>
                <w:szCs w:val="20"/>
                <w:color w:val="auto"/>
              </w:rPr>
            </w:pPr>
            <w:r>
              <w:rPr>
                <w:rFonts w:ascii="Arial" w:cs="Arial" w:eastAsia="Arial" w:hAnsi="Arial"/>
                <w:sz w:val="12"/>
                <w:szCs w:val="12"/>
                <w:b w:val="1"/>
                <w:bCs w:val="1"/>
                <w:color w:val="auto"/>
              </w:rPr>
              <w:t>statement of income</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354"/>
        </w:trPr>
        <w:tc>
          <w:tcPr>
            <w:tcW w:w="2680" w:type="dxa"/>
            <w:vAlign w:val="bottom"/>
            <w:gridSpan w:val="3"/>
          </w:tcPr>
          <w:p>
            <w:pPr>
              <w:ind w:left="20"/>
              <w:spacing w:after="0"/>
              <w:rPr>
                <w:sz w:val="20"/>
                <w:szCs w:val="20"/>
                <w:color w:val="auto"/>
              </w:rPr>
            </w:pPr>
            <w:r>
              <w:rPr>
                <w:rFonts w:ascii="Arial" w:cs="Arial" w:eastAsia="Arial" w:hAnsi="Arial"/>
                <w:sz w:val="12"/>
                <w:szCs w:val="12"/>
                <w:color w:val="auto"/>
              </w:rPr>
              <w:t>Service charges on deposit accounts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14,681</w:t>
            </w: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25,571</w:t>
            </w: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3,478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56,347</w:t>
            </w: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1,430</w:t>
            </w:r>
          </w:p>
        </w:tc>
        <w:tc>
          <w:tcPr>
            <w:tcW w:w="8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101,507</w:t>
            </w:r>
          </w:p>
        </w:tc>
        <w:tc>
          <w:tcPr>
            <w:tcW w:w="80" w:type="dxa"/>
            <w:vAlign w:val="bottom"/>
          </w:tcPr>
          <w:p>
            <w:pPr>
              <w:spacing w:after="0"/>
              <w:rPr>
                <w:sz w:val="24"/>
                <w:szCs w:val="24"/>
                <w:color w:val="auto"/>
              </w:rPr>
            </w:pPr>
          </w:p>
        </w:tc>
      </w:tr>
      <w:tr>
        <w:trPr>
          <w:trHeight w:val="186"/>
        </w:trPr>
        <w:tc>
          <w:tcPr>
            <w:tcW w:w="2680" w:type="dxa"/>
            <w:vAlign w:val="bottom"/>
            <w:gridSpan w:val="3"/>
            <w:shd w:val="clear" w:color="auto" w:fill="CFF0FC"/>
          </w:tcPr>
          <w:p>
            <w:pPr>
              <w:ind w:left="20"/>
              <w:spacing w:after="0"/>
              <w:rPr>
                <w:sz w:val="20"/>
                <w:szCs w:val="20"/>
                <w:color w:val="auto"/>
              </w:rPr>
            </w:pPr>
            <w:r>
              <w:rPr>
                <w:rFonts w:ascii="Arial" w:cs="Arial" w:eastAsia="Arial" w:hAnsi="Arial"/>
                <w:sz w:val="12"/>
                <w:szCs w:val="12"/>
                <w:color w:val="auto"/>
              </w:rPr>
              <w:t>Trust income</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169,213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169,213</w:t>
            </w:r>
          </w:p>
        </w:tc>
        <w:tc>
          <w:tcPr>
            <w:tcW w:w="80" w:type="dxa"/>
            <w:vAlign w:val="bottom"/>
            <w:shd w:val="clear" w:color="auto" w:fill="CFF0FC"/>
          </w:tcPr>
          <w:p>
            <w:pPr>
              <w:spacing w:after="0"/>
              <w:rPr>
                <w:sz w:val="16"/>
                <w:szCs w:val="16"/>
                <w:color w:val="auto"/>
              </w:rPr>
            </w:pPr>
          </w:p>
        </w:tc>
      </w:tr>
      <w:tr>
        <w:trPr>
          <w:trHeight w:val="174"/>
        </w:trPr>
        <w:tc>
          <w:tcPr>
            <w:tcW w:w="2680" w:type="dxa"/>
            <w:vAlign w:val="bottom"/>
            <w:gridSpan w:val="3"/>
          </w:tcPr>
          <w:p>
            <w:pPr>
              <w:ind w:left="20"/>
              <w:spacing w:after="0"/>
              <w:rPr>
                <w:sz w:val="20"/>
                <w:szCs w:val="20"/>
                <w:color w:val="auto"/>
              </w:rPr>
            </w:pPr>
            <w:r>
              <w:rPr>
                <w:rFonts w:ascii="Arial" w:cs="Arial" w:eastAsia="Arial" w:hAnsi="Arial"/>
                <w:sz w:val="12"/>
                <w:szCs w:val="12"/>
                <w:color w:val="auto"/>
              </w:rPr>
              <w:t>Brokerage services income</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20,190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20,190</w:t>
            </w:r>
          </w:p>
        </w:tc>
        <w:tc>
          <w:tcPr>
            <w:tcW w:w="80" w:type="dxa"/>
            <w:vAlign w:val="bottom"/>
          </w:tcPr>
          <w:p>
            <w:pPr>
              <w:spacing w:after="0"/>
              <w:rPr>
                <w:sz w:val="15"/>
                <w:szCs w:val="15"/>
                <w:color w:val="auto"/>
              </w:rPr>
            </w:pPr>
          </w:p>
        </w:tc>
      </w:tr>
      <w:tr>
        <w:trPr>
          <w:trHeight w:val="186"/>
        </w:trPr>
        <w:tc>
          <w:tcPr>
            <w:tcW w:w="2680" w:type="dxa"/>
            <w:vAlign w:val="bottom"/>
            <w:gridSpan w:val="3"/>
            <w:shd w:val="clear" w:color="auto" w:fill="CFF0FC"/>
          </w:tcPr>
          <w:p>
            <w:pPr>
              <w:ind w:left="20"/>
              <w:spacing w:after="0"/>
              <w:rPr>
                <w:sz w:val="20"/>
                <w:szCs w:val="20"/>
                <w:color w:val="auto"/>
              </w:rPr>
            </w:pPr>
            <w:r>
              <w:rPr>
                <w:rFonts w:ascii="Arial" w:cs="Arial" w:eastAsia="Arial" w:hAnsi="Arial"/>
                <w:sz w:val="12"/>
                <w:szCs w:val="12"/>
                <w:color w:val="auto"/>
              </w:rPr>
              <w:t>Other revenues from operations:</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2660" w:type="dxa"/>
            <w:vAlign w:val="bottom"/>
            <w:gridSpan w:val="2"/>
          </w:tcPr>
          <w:p>
            <w:pPr>
              <w:ind w:left="80"/>
              <w:spacing w:after="0"/>
              <w:rPr>
                <w:sz w:val="20"/>
                <w:szCs w:val="20"/>
                <w:color w:val="auto"/>
              </w:rPr>
            </w:pPr>
            <w:r>
              <w:rPr>
                <w:rFonts w:ascii="Arial" w:cs="Arial" w:eastAsia="Arial" w:hAnsi="Arial"/>
                <w:sz w:val="12"/>
                <w:szCs w:val="12"/>
                <w:color w:val="auto"/>
              </w:rPr>
              <w:t>Merchant discount and credit card fees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12,805</w:t>
            </w: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13,459</w:t>
            </w: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4,510</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31,755</w:t>
            </w:r>
          </w:p>
        </w:tc>
        <w:tc>
          <w:tcPr>
            <w:tcW w:w="80" w:type="dxa"/>
            <w:vAlign w:val="bottom"/>
          </w:tcPr>
          <w:p>
            <w:pPr>
              <w:spacing w:after="0"/>
              <w:rPr>
                <w:sz w:val="15"/>
                <w:szCs w:val="15"/>
                <w:color w:val="auto"/>
              </w:rPr>
            </w:pPr>
          </w:p>
        </w:tc>
      </w:tr>
      <w:tr>
        <w:trPr>
          <w:trHeight w:val="186"/>
        </w:trPr>
        <w:tc>
          <w:tcPr>
            <w:tcW w:w="20" w:type="dxa"/>
            <w:vAlign w:val="bottom"/>
            <w:shd w:val="clear" w:color="auto" w:fill="CFF0FC"/>
          </w:tcPr>
          <w:p>
            <w:pPr>
              <w:spacing w:after="0"/>
              <w:rPr>
                <w:sz w:val="16"/>
                <w:szCs w:val="16"/>
                <w:color w:val="auto"/>
              </w:rPr>
            </w:pPr>
          </w:p>
        </w:tc>
        <w:tc>
          <w:tcPr>
            <w:tcW w:w="26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1,903</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2,464</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693</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1,729</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5,099</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12,891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24,779</w:t>
            </w:r>
          </w:p>
        </w:tc>
        <w:tc>
          <w:tcPr>
            <w:tcW w:w="80" w:type="dxa"/>
            <w:vAlign w:val="bottom"/>
            <w:shd w:val="clear" w:color="auto" w:fill="CFF0F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27,486</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40,933</w:t>
            </w: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6,816</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693</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1,729</w:t>
            </w: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65,956</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203,831</w:t>
            </w:r>
          </w:p>
        </w:tc>
        <w:tc>
          <w:tcPr>
            <w:tcW w:w="80" w:type="dxa"/>
            <w:vAlign w:val="bottom"/>
          </w:tcPr>
          <w:p>
            <w:pPr>
              <w:spacing w:after="0"/>
              <w:rPr>
                <w:sz w:val="15"/>
                <w:szCs w:val="15"/>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347,444</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qualified retired employees. Net periodic defined benefit cost for defined benefit plans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4"/>
          </w:tcPr>
          <w:p>
            <w:pPr>
              <w:jc w:val="center"/>
              <w:ind w:left="267"/>
              <w:spacing w:after="0"/>
              <w:rPr>
                <w:sz w:val="20"/>
                <w:szCs w:val="20"/>
                <w:color w:val="auto"/>
              </w:rPr>
            </w:pPr>
            <w:r>
              <w:rPr>
                <w:rFonts w:ascii="Arial" w:cs="Arial" w:eastAsia="Arial" w:hAnsi="Arial"/>
                <w:sz w:val="13"/>
                <w:szCs w:val="13"/>
                <w:b w:val="1"/>
                <w:bCs w:val="1"/>
                <w:color w:val="auto"/>
              </w:rPr>
              <w:t>Other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Pension</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4"/>
          </w:tcPr>
          <w:p>
            <w:pPr>
              <w:jc w:val="center"/>
              <w:ind w:left="247"/>
              <w:spacing w:after="0"/>
              <w:rPr>
                <w:sz w:val="20"/>
                <w:szCs w:val="20"/>
                <w:color w:val="auto"/>
              </w:rPr>
            </w:pPr>
            <w:r>
              <w:rPr>
                <w:rFonts w:ascii="Arial" w:cs="Arial" w:eastAsia="Arial" w:hAnsi="Arial"/>
                <w:sz w:val="13"/>
                <w:szCs w:val="13"/>
                <w:b w:val="1"/>
                <w:bCs w:val="1"/>
                <w:color w:val="auto"/>
              </w:rPr>
              <w:t>Postretirement</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4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Benefits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4"/>
          </w:tcPr>
          <w:p>
            <w:pPr>
              <w:jc w:val="center"/>
              <w:ind w:left="267"/>
              <w:spacing w:after="0"/>
              <w:rPr>
                <w:sz w:val="20"/>
                <w:szCs w:val="20"/>
                <w:color w:val="auto"/>
              </w:rPr>
            </w:pPr>
            <w:r>
              <w:rPr>
                <w:rFonts w:ascii="Arial" w:cs="Arial" w:eastAsia="Arial" w:hAnsi="Arial"/>
                <w:sz w:val="13"/>
                <w:szCs w:val="13"/>
                <w:b w:val="1"/>
                <w:bCs w:val="1"/>
                <w:color w:val="auto"/>
              </w:rPr>
              <w:t>Benefits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6"/>
          </w:tcPr>
          <w:p>
            <w:pPr>
              <w:ind w:left="2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6"/>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2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2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3"/>
        </w:trPr>
        <w:tc>
          <w:tcPr>
            <w:tcW w:w="4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4"/>
          </w:tcPr>
          <w:p>
            <w:pPr>
              <w:ind w:left="520"/>
              <w:spacing w:after="0"/>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4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2,723</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4"/>
              </w:rPr>
              <w:t>4,271</w:t>
            </w:r>
          </w:p>
        </w:tc>
        <w:tc>
          <w:tcPr>
            <w:tcW w:w="1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FF0FC"/>
          </w:tcPr>
          <w:p>
            <w:pPr>
              <w:spacing w:after="0"/>
              <w:rPr>
                <w:sz w:val="17"/>
                <w:szCs w:val="17"/>
                <w:color w:val="auto"/>
              </w:rPr>
            </w:pP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Interest cost on projected benefit obligation</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7"/>
                <w:szCs w:val="17"/>
                <w:color w:val="auto"/>
              </w:rPr>
            </w:pPr>
          </w:p>
        </w:tc>
      </w:tr>
      <w:tr>
        <w:trPr>
          <w:trHeight w:val="205"/>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(50,400 )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(37,150 )</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(525 )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(1,075)</w:t>
            </w:r>
          </w:p>
        </w:tc>
      </w:tr>
      <w:tr>
        <w:trPr>
          <w:trHeight w:val="265"/>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actuarial loss (gain)</w:t>
            </w:r>
          </w:p>
        </w:tc>
        <w:tc>
          <w:tcPr>
            <w:tcW w:w="14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40"/>
              <w:spacing w:after="0" w:line="265" w:lineRule="exact"/>
              <w:rPr>
                <w:sz w:val="20"/>
                <w:szCs w:val="20"/>
                <w:color w:val="auto"/>
              </w:rPr>
            </w:pPr>
            <w:r>
              <w:rPr>
                <w:rFonts w:ascii="Arial" w:cs="Arial" w:eastAsia="Arial" w:hAnsi="Arial"/>
                <w:sz w:val="15"/>
                <w:szCs w:val="15"/>
                <w:color w:val="auto"/>
              </w:rPr>
              <w:t xml:space="preserve">(900 </w:t>
            </w:r>
            <w:r>
              <w:rPr>
                <w:rFonts w:ascii="Arial" w:cs="Arial" w:eastAsia="Arial" w:hAnsi="Arial"/>
                <w:sz w:val="30"/>
                <w:szCs w:val="30"/>
                <w:color w:val="auto"/>
                <w:vertAlign w:val="superscript"/>
              </w:rPr>
              <w:t>)</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920" w:type="dxa"/>
            <w:vAlign w:val="bottom"/>
            <w:shd w:val="clear" w:color="auto" w:fill="CFF0FC"/>
          </w:tcPr>
          <w:p>
            <w:pPr>
              <w:ind w:left="520"/>
              <w:spacing w:after="0"/>
              <w:rPr>
                <w:sz w:val="20"/>
                <w:szCs w:val="20"/>
                <w:color w:val="auto"/>
              </w:rPr>
            </w:pPr>
            <w:r>
              <w:rPr>
                <w:rFonts w:ascii="Arial" w:cs="Arial" w:eastAsia="Arial" w:hAnsi="Arial"/>
                <w:sz w:val="16"/>
                <w:szCs w:val="16"/>
                <w:color w:val="auto"/>
                <w:w w:val="94"/>
              </w:rPr>
              <w:t>4,625</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40"/>
              <w:spacing w:after="0" w:line="265" w:lineRule="exact"/>
              <w:rPr>
                <w:sz w:val="20"/>
                <w:szCs w:val="20"/>
                <w:color w:val="auto"/>
              </w:rPr>
            </w:pPr>
            <w:r>
              <w:rPr>
                <w:rFonts w:ascii="Arial" w:cs="Arial" w:eastAsia="Arial" w:hAnsi="Arial"/>
                <w:sz w:val="15"/>
                <w:szCs w:val="15"/>
                <w:color w:val="auto"/>
              </w:rPr>
              <w:t xml:space="preserve">(650 </w:t>
            </w:r>
            <w:r>
              <w:rPr>
                <w:rFonts w:ascii="Arial" w:cs="Arial" w:eastAsia="Arial" w:hAnsi="Arial"/>
                <w:sz w:val="30"/>
                <w:szCs w:val="30"/>
                <w:color w:val="auto"/>
                <w:vertAlign w:val="superscript"/>
              </w:rPr>
              <w:t>)</w:t>
            </w: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20"/>
              <w:spacing w:after="0" w:line="265" w:lineRule="exact"/>
              <w:rPr>
                <w:sz w:val="20"/>
                <w:szCs w:val="20"/>
                <w:color w:val="auto"/>
              </w:rPr>
            </w:pPr>
            <w:r>
              <w:rPr>
                <w:rFonts w:ascii="Arial" w:cs="Arial" w:eastAsia="Arial" w:hAnsi="Arial"/>
                <w:sz w:val="15"/>
                <w:szCs w:val="15"/>
                <w:color w:val="auto"/>
              </w:rPr>
              <w:t xml:space="preserve">(325 </w:t>
            </w:r>
            <w:r>
              <w:rPr>
                <w:rFonts w:ascii="Arial" w:cs="Arial" w:eastAsia="Arial" w:hAnsi="Arial"/>
                <w:sz w:val="30"/>
                <w:szCs w:val="30"/>
                <w:color w:val="auto"/>
                <w:vertAlign w:val="superscript"/>
              </w:rPr>
              <w:t>)</w:t>
            </w:r>
          </w:p>
        </w:tc>
      </w:tr>
      <w:tr>
        <w:trPr>
          <w:trHeight w:val="204"/>
        </w:trPr>
        <w:tc>
          <w:tcPr>
            <w:tcW w:w="4040" w:type="dxa"/>
            <w:vAlign w:val="bottom"/>
          </w:tcPr>
          <w:p>
            <w:pPr>
              <w:ind w:left="20"/>
              <w:spacing w:after="0"/>
              <w:rPr>
                <w:sz w:val="20"/>
                <w:szCs w:val="20"/>
                <w:color w:val="auto"/>
              </w:rPr>
            </w:pPr>
            <w:r>
              <w:rPr>
                <w:rFonts w:ascii="Arial" w:cs="Arial" w:eastAsia="Arial" w:hAnsi="Arial"/>
                <w:sz w:val="16"/>
                <w:szCs w:val="16"/>
                <w:color w:val="auto"/>
              </w:rPr>
              <w:t>Net periodic cost (benefit)</w:t>
            </w: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(19,692 )</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(11,862 )</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(813 )</w:t>
            </w:r>
          </w:p>
        </w:tc>
      </w:tr>
      <w:tr>
        <w:trPr>
          <w:trHeight w:val="20"/>
        </w:trPr>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40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- 26 -</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4"/>
        </w:trPr>
        <w:tc>
          <w:tcPr>
            <w:tcW w:w="4040" w:type="dxa"/>
            <w:vAlign w:val="bottom"/>
            <w:tcBorders>
              <w:bottom w:val="single" w:sz="8" w:color="EEEEEE"/>
            </w:tcBorders>
          </w:tcPr>
          <w:p>
            <w:pPr>
              <w:spacing w:after="0"/>
              <w:rPr>
                <w:sz w:val="6"/>
                <w:szCs w:val="6"/>
                <w:color w:val="auto"/>
              </w:rPr>
            </w:pPr>
          </w:p>
        </w:tc>
        <w:tc>
          <w:tcPr>
            <w:tcW w:w="1480" w:type="dxa"/>
            <w:vAlign w:val="bottom"/>
            <w:tcBorders>
              <w:bottom w:val="single" w:sz="8" w:color="EEEEEE"/>
            </w:tcBorders>
          </w:tcPr>
          <w:p>
            <w:pPr>
              <w:spacing w:after="0"/>
              <w:rPr>
                <w:sz w:val="6"/>
                <w:szCs w:val="6"/>
                <w:color w:val="auto"/>
              </w:rPr>
            </w:pPr>
          </w:p>
        </w:tc>
        <w:tc>
          <w:tcPr>
            <w:tcW w:w="240" w:type="dxa"/>
            <w:vAlign w:val="bottom"/>
            <w:tcBorders>
              <w:bottom w:val="single" w:sz="8" w:color="EEEEEE"/>
            </w:tcBorders>
          </w:tcPr>
          <w:p>
            <w:pPr>
              <w:spacing w:after="0"/>
              <w:rPr>
                <w:sz w:val="6"/>
                <w:szCs w:val="6"/>
                <w:color w:val="auto"/>
              </w:rPr>
            </w:pPr>
          </w:p>
        </w:tc>
        <w:tc>
          <w:tcPr>
            <w:tcW w:w="86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20" w:type="dxa"/>
            <w:vAlign w:val="bottom"/>
            <w:tcBorders>
              <w:bottom w:val="single" w:sz="8" w:color="EEEEEE"/>
            </w:tcBorders>
          </w:tcPr>
          <w:p>
            <w:pPr>
              <w:spacing w:after="0"/>
              <w:rPr>
                <w:sz w:val="6"/>
                <w:szCs w:val="6"/>
                <w:color w:val="auto"/>
              </w:rPr>
            </w:pPr>
          </w:p>
        </w:tc>
        <w:tc>
          <w:tcPr>
            <w:tcW w:w="180" w:type="dxa"/>
            <w:vAlign w:val="bottom"/>
            <w:tcBorders>
              <w:bottom w:val="single" w:sz="8" w:color="EEEEEE"/>
            </w:tcBorders>
          </w:tcPr>
          <w:p>
            <w:pPr>
              <w:spacing w:after="0"/>
              <w:rPr>
                <w:sz w:val="6"/>
                <w:szCs w:val="6"/>
                <w:color w:val="auto"/>
              </w:rPr>
            </w:pPr>
          </w:p>
        </w:tc>
        <w:tc>
          <w:tcPr>
            <w:tcW w:w="92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20" w:type="dxa"/>
            <w:vAlign w:val="bottom"/>
            <w:tcBorders>
              <w:bottom w:val="single" w:sz="8" w:color="EEEEEE"/>
            </w:tcBorders>
          </w:tcPr>
          <w:p>
            <w:pPr>
              <w:spacing w:after="0"/>
              <w:rPr>
                <w:sz w:val="6"/>
                <w:szCs w:val="6"/>
                <w:color w:val="auto"/>
              </w:rPr>
            </w:pPr>
          </w:p>
        </w:tc>
        <w:tc>
          <w:tcPr>
            <w:tcW w:w="340" w:type="dxa"/>
            <w:vAlign w:val="bottom"/>
            <w:tcBorders>
              <w:bottom w:val="single" w:sz="8" w:color="EEEEEE"/>
            </w:tcBorders>
          </w:tcPr>
          <w:p>
            <w:pPr>
              <w:spacing w:after="0"/>
              <w:rPr>
                <w:sz w:val="6"/>
                <w:szCs w:val="6"/>
                <w:color w:val="auto"/>
              </w:rPr>
            </w:pPr>
          </w:p>
        </w:tc>
        <w:tc>
          <w:tcPr>
            <w:tcW w:w="76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340" w:type="dxa"/>
            <w:vAlign w:val="bottom"/>
            <w:tcBorders>
              <w:bottom w:val="single" w:sz="8" w:color="EEEEEE"/>
            </w:tcBorders>
          </w:tcPr>
          <w:p>
            <w:pPr>
              <w:spacing w:after="0"/>
              <w:rPr>
                <w:sz w:val="6"/>
                <w:szCs w:val="6"/>
                <w:color w:val="auto"/>
              </w:rPr>
            </w:pPr>
          </w:p>
        </w:tc>
        <w:tc>
          <w:tcPr>
            <w:tcW w:w="680" w:type="dxa"/>
            <w:vAlign w:val="bottom"/>
            <w:tcBorders>
              <w:bottom w:val="single" w:sz="8" w:color="EEEEEE"/>
            </w:tcBorders>
          </w:tcPr>
          <w:p>
            <w:pPr>
              <w:spacing w:after="0"/>
              <w:rPr>
                <w:sz w:val="6"/>
                <w:szCs w:val="6"/>
                <w:color w:val="auto"/>
              </w:rPr>
            </w:pPr>
          </w:p>
        </w:tc>
        <w:tc>
          <w:tcPr>
            <w:tcW w:w="80" w:type="dxa"/>
            <w:vAlign w:val="bottom"/>
            <w:tcBorders>
              <w:bottom w:val="single" w:sz="8" w:color="EEEEEE"/>
            </w:tcBorders>
          </w:tcPr>
          <w:p>
            <w:pPr>
              <w:spacing w:after="0"/>
              <w:rPr>
                <w:sz w:val="6"/>
                <w:szCs w:val="6"/>
                <w:color w:val="auto"/>
              </w:rPr>
            </w:pPr>
          </w:p>
        </w:tc>
      </w:tr>
    </w:tbl>
    <w:p>
      <w:pPr>
        <w:sectPr>
          <w:pgSz w:w="11900" w:h="16840" w:orient="portrait"/>
          <w:cols w:equalWidth="0" w:num="1">
            <w:col w:w="10560"/>
          </w:cols>
          <w:pgMar w:left="660" w:top="562" w:right="680"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Pension plans and other postretirement benefits, continued</w:t>
      </w:r>
    </w:p>
    <w:p>
      <w:pPr>
        <w:spacing w:after="0" w:line="115" w:lineRule="exact"/>
        <w:rPr>
          <w:sz w:val="20"/>
          <w:szCs w:val="20"/>
          <w:color w:val="auto"/>
        </w:rPr>
      </w:pPr>
    </w:p>
    <w:p>
      <w:pPr>
        <w:ind w:left="20" w:right="40" w:firstLine="468"/>
        <w:spacing w:after="0" w:line="259" w:lineRule="auto"/>
        <w:rPr>
          <w:sz w:val="20"/>
          <w:szCs w:val="20"/>
          <w:color w:val="auto"/>
        </w:rPr>
      </w:pPr>
      <w:r>
        <w:rPr>
          <w:rFonts w:ascii="Arial" w:cs="Arial" w:eastAsia="Arial" w:hAnsi="Arial"/>
          <w:sz w:val="18"/>
          <w:szCs w:val="18"/>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$44 million and $31 million for the three months ended March 31, 2023 and 2022,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20" w:type="dxa"/>
            <w:vAlign w:val="bottom"/>
            <w:gridSpan w:val="3"/>
          </w:tcPr>
          <w:p>
            <w:pPr>
              <w:jc w:val="right"/>
              <w:ind w:right="543"/>
              <w:spacing w:after="0"/>
              <w:rPr>
                <w:sz w:val="20"/>
                <w:szCs w:val="20"/>
                <w:color w:val="auto"/>
              </w:rPr>
            </w:pPr>
            <w:r>
              <w:rPr>
                <w:rFonts w:ascii="Arial" w:cs="Arial" w:eastAsia="Arial" w:hAnsi="Arial"/>
                <w:sz w:val="13"/>
                <w:szCs w:val="13"/>
                <w:b w:val="1"/>
                <w:bCs w:val="1"/>
                <w:color w:val="auto"/>
              </w:rPr>
              <w:t>Three Months Ended March 31</w:t>
            </w:r>
          </w:p>
        </w:tc>
      </w:tr>
      <w:tr>
        <w:trPr>
          <w:trHeight w:val="180"/>
        </w:trPr>
        <w:tc>
          <w:tcPr>
            <w:tcW w:w="6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jc w:val="right"/>
              <w:ind w:right="645"/>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5"/>
                <w:szCs w:val="15"/>
                <w:color w:val="auto"/>
              </w:rPr>
            </w:pPr>
          </w:p>
        </w:tc>
        <w:tc>
          <w:tcPr>
            <w:tcW w:w="1080" w:type="dxa"/>
            <w:vAlign w:val="bottom"/>
          </w:tcPr>
          <w:p>
            <w:pPr>
              <w:jc w:val="right"/>
              <w:ind w:right="503"/>
              <w:spacing w:after="0"/>
              <w:rPr>
                <w:sz w:val="20"/>
                <w:szCs w:val="20"/>
                <w:color w:val="auto"/>
              </w:rPr>
            </w:pPr>
            <w:r>
              <w:rPr>
                <w:rFonts w:ascii="Arial" w:cs="Arial" w:eastAsia="Arial" w:hAnsi="Arial"/>
                <w:sz w:val="13"/>
                <w:szCs w:val="13"/>
                <w:b w:val="1"/>
                <w:bCs w:val="1"/>
                <w:color w:val="auto"/>
              </w:rPr>
              <w:t>2022</w:t>
            </w:r>
          </w:p>
        </w:tc>
      </w:tr>
      <w:tr>
        <w:trPr>
          <w:trHeight w:val="183"/>
        </w:trPr>
        <w:tc>
          <w:tcPr>
            <w:tcW w:w="6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20" w:type="dxa"/>
            <w:vAlign w:val="bottom"/>
            <w:gridSpan w:val="3"/>
          </w:tcPr>
          <w:p>
            <w:pPr>
              <w:jc w:val="right"/>
              <w:ind w:right="483"/>
              <w:spacing w:after="0"/>
              <w:rPr>
                <w:sz w:val="20"/>
                <w:szCs w:val="20"/>
                <w:color w:val="auto"/>
              </w:rPr>
            </w:pPr>
            <w:r>
              <w:rPr>
                <w:rFonts w:ascii="Arial" w:cs="Arial" w:eastAsia="Arial" w:hAnsi="Arial"/>
                <w:sz w:val="13"/>
                <w:szCs w:val="13"/>
                <w:b w:val="1"/>
                <w:bCs w:val="1"/>
                <w:color w:val="auto"/>
              </w:rPr>
              <w:t>(In thousands, except per share)</w:t>
            </w:r>
          </w:p>
        </w:tc>
      </w:tr>
      <w:tr>
        <w:trPr>
          <w:trHeight w:val="180"/>
        </w:trPr>
        <w:tc>
          <w:tcPr>
            <w:tcW w:w="6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4"/>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available to common shareholders:</w:t>
            </w: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64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5"/>
              <w:spacing w:after="0"/>
              <w:rPr>
                <w:sz w:val="20"/>
                <w:szCs w:val="20"/>
                <w:color w:val="auto"/>
              </w:rPr>
            </w:pPr>
            <w:r>
              <w:rPr>
                <w:rFonts w:ascii="Arial" w:cs="Arial" w:eastAsia="Arial" w:hAnsi="Arial"/>
                <w:sz w:val="16"/>
                <w:szCs w:val="16"/>
                <w:color w:val="auto"/>
              </w:rPr>
              <w:t>701,624</w:t>
            </w:r>
          </w:p>
        </w:tc>
        <w:tc>
          <w:tcPr>
            <w:tcW w:w="4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362,174</w:t>
            </w:r>
          </w:p>
        </w:tc>
      </w:tr>
      <w:tr>
        <w:trPr>
          <w:trHeight w:val="205"/>
        </w:trPr>
        <w:tc>
          <w:tcPr>
            <w:tcW w:w="64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Less: Preferred stock dividends</w:t>
            </w: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(24,941 )</w:t>
            </w: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(21,765 )</w:t>
            </w:r>
          </w:p>
        </w:tc>
      </w:tr>
      <w:tr>
        <w:trPr>
          <w:trHeight w:val="203"/>
        </w:trPr>
        <w:tc>
          <w:tcPr>
            <w:tcW w:w="6440" w:type="dxa"/>
            <w:vAlign w:val="bottom"/>
          </w:tcPr>
          <w:p>
            <w:pPr>
              <w:ind w:left="180"/>
              <w:spacing w:after="0"/>
              <w:rPr>
                <w:sz w:val="20"/>
                <w:szCs w:val="20"/>
                <w:color w:val="auto"/>
              </w:rPr>
            </w:pPr>
            <w:r>
              <w:rPr>
                <w:rFonts w:ascii="Arial" w:cs="Arial" w:eastAsia="Arial" w:hAnsi="Arial"/>
                <w:sz w:val="16"/>
                <w:szCs w:val="16"/>
                <w:color w:val="auto"/>
              </w:rPr>
              <w:t>Net income available to common equity</w:t>
            </w:r>
          </w:p>
        </w:tc>
        <w:tc>
          <w:tcPr>
            <w:tcW w:w="1300" w:type="dxa"/>
            <w:vAlign w:val="bottom"/>
          </w:tcPr>
          <w:p>
            <w:pPr>
              <w:spacing w:after="0"/>
              <w:rPr>
                <w:sz w:val="17"/>
                <w:szCs w:val="17"/>
                <w:color w:val="auto"/>
              </w:rPr>
            </w:pPr>
          </w:p>
        </w:tc>
        <w:tc>
          <w:tcPr>
            <w:tcW w:w="1260" w:type="dxa"/>
            <w:vAlign w:val="bottom"/>
          </w:tcPr>
          <w:p>
            <w:pPr>
              <w:jc w:val="right"/>
              <w:ind w:right="145"/>
              <w:spacing w:after="0"/>
              <w:rPr>
                <w:sz w:val="20"/>
                <w:szCs w:val="20"/>
                <w:color w:val="auto"/>
              </w:rPr>
            </w:pPr>
            <w:r>
              <w:rPr>
                <w:rFonts w:ascii="Arial" w:cs="Arial" w:eastAsia="Arial" w:hAnsi="Arial"/>
                <w:sz w:val="16"/>
                <w:szCs w:val="16"/>
                <w:color w:val="auto"/>
              </w:rPr>
              <w:t>676,683</w:t>
            </w:r>
          </w:p>
        </w:tc>
        <w:tc>
          <w:tcPr>
            <w:tcW w:w="4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340,409</w:t>
            </w:r>
          </w:p>
        </w:tc>
      </w:tr>
      <w:tr>
        <w:trPr>
          <w:trHeight w:val="186"/>
        </w:trPr>
        <w:tc>
          <w:tcPr>
            <w:tcW w:w="64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Less: Income attributable to unvested stock-based</w:t>
            </w:r>
          </w:p>
        </w:tc>
        <w:tc>
          <w:tcPr>
            <w:tcW w:w="1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99"/>
        </w:trPr>
        <w:tc>
          <w:tcPr>
            <w:tcW w:w="64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compensation awards</w:t>
            </w: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(1,175)</w:t>
            </w: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(820 )</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5"/>
              <w:spacing w:after="0"/>
              <w:rPr>
                <w:sz w:val="20"/>
                <w:szCs w:val="20"/>
                <w:color w:val="auto"/>
              </w:rPr>
            </w:pPr>
            <w:r>
              <w:rPr>
                <w:rFonts w:ascii="Arial" w:cs="Arial" w:eastAsia="Arial" w:hAnsi="Arial"/>
                <w:sz w:val="16"/>
                <w:szCs w:val="16"/>
                <w:color w:val="auto"/>
              </w:rPr>
              <w:t>675,508</w:t>
            </w:r>
          </w:p>
        </w:tc>
        <w:tc>
          <w:tcPr>
            <w:tcW w:w="4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339,589</w:t>
            </w:r>
          </w:p>
        </w:tc>
      </w:tr>
      <w:tr>
        <w:trPr>
          <w:trHeight w:val="205"/>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w:t>
            </w: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85"/>
        </w:trPr>
        <w:tc>
          <w:tcPr>
            <w:tcW w:w="6440" w:type="dxa"/>
            <w:vAlign w:val="bottom"/>
          </w:tcPr>
          <w:p>
            <w:pPr>
              <w:ind w:left="180"/>
              <w:spacing w:after="0"/>
              <w:rPr>
                <w:sz w:val="20"/>
                <w:szCs w:val="20"/>
                <w:color w:val="auto"/>
              </w:rPr>
            </w:pPr>
            <w:r>
              <w:rPr>
                <w:rFonts w:ascii="Arial" w:cs="Arial" w:eastAsia="Arial" w:hAnsi="Arial"/>
                <w:sz w:val="16"/>
                <w:szCs w:val="16"/>
                <w:color w:val="auto"/>
              </w:rPr>
              <w:t>Common shares outstanding (including common</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0"/>
        </w:trPr>
        <w:tc>
          <w:tcPr>
            <w:tcW w:w="6440" w:type="dxa"/>
            <w:vAlign w:val="bottom"/>
          </w:tcPr>
          <w:p>
            <w:pPr>
              <w:ind w:left="300"/>
              <w:spacing w:after="0" w:line="180" w:lineRule="exact"/>
              <w:rPr>
                <w:sz w:val="20"/>
                <w:szCs w:val="20"/>
                <w:color w:val="auto"/>
              </w:rPr>
            </w:pPr>
            <w:r>
              <w:rPr>
                <w:rFonts w:ascii="Arial" w:cs="Arial" w:eastAsia="Arial" w:hAnsi="Arial"/>
                <w:sz w:val="16"/>
                <w:szCs w:val="16"/>
                <w:color w:val="auto"/>
              </w:rPr>
              <w:t>stock issuable) and unvested stock-based</w:t>
            </w: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8"/>
        </w:trPr>
        <w:tc>
          <w:tcPr>
            <w:tcW w:w="6440" w:type="dxa"/>
            <w:vAlign w:val="bottom"/>
          </w:tcPr>
          <w:p>
            <w:pPr>
              <w:ind w:left="300"/>
              <w:spacing w:after="0"/>
              <w:rPr>
                <w:sz w:val="20"/>
                <w:szCs w:val="20"/>
                <w:color w:val="auto"/>
              </w:rPr>
            </w:pPr>
            <w:r>
              <w:rPr>
                <w:rFonts w:ascii="Arial" w:cs="Arial" w:eastAsia="Arial" w:hAnsi="Arial"/>
                <w:sz w:val="16"/>
                <w:szCs w:val="16"/>
                <w:color w:val="auto"/>
              </w:rPr>
              <w:t>compensation awards</w:t>
            </w:r>
          </w:p>
        </w:tc>
        <w:tc>
          <w:tcPr>
            <w:tcW w:w="1300" w:type="dxa"/>
            <w:vAlign w:val="bottom"/>
          </w:tcPr>
          <w:p>
            <w:pPr>
              <w:spacing w:after="0"/>
              <w:rPr>
                <w:sz w:val="17"/>
                <w:szCs w:val="17"/>
                <w:color w:val="auto"/>
              </w:rPr>
            </w:pPr>
          </w:p>
        </w:tc>
        <w:tc>
          <w:tcPr>
            <w:tcW w:w="1260" w:type="dxa"/>
            <w:vAlign w:val="bottom"/>
          </w:tcPr>
          <w:p>
            <w:pPr>
              <w:jc w:val="right"/>
              <w:ind w:right="145"/>
              <w:spacing w:after="0"/>
              <w:rPr>
                <w:sz w:val="20"/>
                <w:szCs w:val="20"/>
                <w:color w:val="auto"/>
              </w:rPr>
            </w:pPr>
            <w:r>
              <w:rPr>
                <w:rFonts w:ascii="Arial" w:cs="Arial" w:eastAsia="Arial" w:hAnsi="Arial"/>
                <w:sz w:val="16"/>
                <w:szCs w:val="16"/>
                <w:color w:val="auto"/>
              </w:rPr>
              <w:t>168,010</w:t>
            </w:r>
          </w:p>
        </w:tc>
        <w:tc>
          <w:tcPr>
            <w:tcW w:w="4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129,274</w:t>
            </w:r>
          </w:p>
        </w:tc>
      </w:tr>
      <w:tr>
        <w:trPr>
          <w:trHeight w:val="205"/>
        </w:trPr>
        <w:tc>
          <w:tcPr>
            <w:tcW w:w="64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Less: Unvested stock-based compensation awards</w:t>
            </w: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(278 )</w:t>
            </w: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(329 )</w:t>
            </w:r>
          </w:p>
        </w:tc>
      </w:tr>
      <w:tr>
        <w:trPr>
          <w:trHeight w:val="202"/>
        </w:trPr>
        <w:tc>
          <w:tcPr>
            <w:tcW w:w="6440" w:type="dxa"/>
            <w:vAlign w:val="bottom"/>
          </w:tcPr>
          <w:p>
            <w:pPr>
              <w:ind w:left="20"/>
              <w:spacing w:after="0"/>
              <w:rPr>
                <w:sz w:val="20"/>
                <w:szCs w:val="20"/>
                <w:color w:val="auto"/>
              </w:rPr>
            </w:pPr>
            <w:r>
              <w:rPr>
                <w:rFonts w:ascii="Arial" w:cs="Arial" w:eastAsia="Arial" w:hAnsi="Arial"/>
                <w:sz w:val="16"/>
                <w:szCs w:val="16"/>
                <w:color w:val="auto"/>
              </w:rPr>
              <w:t>Weighted-average shares outstanding</w:t>
            </w:r>
          </w:p>
        </w:tc>
        <w:tc>
          <w:tcPr>
            <w:tcW w:w="1300" w:type="dxa"/>
            <w:vAlign w:val="bottom"/>
          </w:tcPr>
          <w:p>
            <w:pPr>
              <w:spacing w:after="0"/>
              <w:rPr>
                <w:sz w:val="17"/>
                <w:szCs w:val="17"/>
                <w:color w:val="auto"/>
              </w:rPr>
            </w:pPr>
          </w:p>
        </w:tc>
        <w:tc>
          <w:tcPr>
            <w:tcW w:w="1260" w:type="dxa"/>
            <w:vAlign w:val="bottom"/>
          </w:tcPr>
          <w:p>
            <w:pPr>
              <w:jc w:val="right"/>
              <w:ind w:right="145"/>
              <w:spacing w:after="0"/>
              <w:rPr>
                <w:sz w:val="20"/>
                <w:szCs w:val="20"/>
                <w:color w:val="auto"/>
              </w:rPr>
            </w:pPr>
            <w:r>
              <w:rPr>
                <w:rFonts w:ascii="Arial" w:cs="Arial" w:eastAsia="Arial" w:hAnsi="Arial"/>
                <w:sz w:val="16"/>
                <w:szCs w:val="16"/>
                <w:color w:val="auto"/>
              </w:rPr>
              <w:t>167,732</w:t>
            </w:r>
          </w:p>
        </w:tc>
        <w:tc>
          <w:tcPr>
            <w:tcW w:w="4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128,945</w:t>
            </w:r>
          </w:p>
        </w:tc>
      </w:tr>
      <w:tr>
        <w:trPr>
          <w:trHeight w:val="206"/>
        </w:trPr>
        <w:tc>
          <w:tcPr>
            <w:tcW w:w="6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earnings per common share</w:t>
            </w:r>
          </w:p>
        </w:tc>
        <w:tc>
          <w:tcPr>
            <w:tcW w:w="13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45"/>
              <w:spacing w:after="0"/>
              <w:rPr>
                <w:sz w:val="20"/>
                <w:szCs w:val="20"/>
                <w:color w:val="auto"/>
              </w:rPr>
            </w:pPr>
            <w:r>
              <w:rPr>
                <w:rFonts w:ascii="Arial" w:cs="Arial" w:eastAsia="Arial" w:hAnsi="Arial"/>
                <w:sz w:val="16"/>
                <w:szCs w:val="16"/>
                <w:color w:val="auto"/>
              </w:rPr>
              <w:t>4.03</w:t>
            </w:r>
          </w:p>
        </w:tc>
        <w:tc>
          <w:tcPr>
            <w:tcW w:w="4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2.63</w:t>
            </w:r>
          </w:p>
        </w:tc>
      </w:tr>
      <w:tr>
        <w:trPr>
          <w:trHeight w:val="342"/>
        </w:trPr>
        <w:tc>
          <w:tcPr>
            <w:tcW w:w="6440" w:type="dxa"/>
            <w:vAlign w:val="bottom"/>
          </w:tcPr>
          <w:p>
            <w:pPr>
              <w:ind w:left="480"/>
              <w:spacing w:after="0"/>
              <w:rPr>
                <w:sz w:val="20"/>
                <w:szCs w:val="20"/>
                <w:color w:val="auto"/>
              </w:rPr>
            </w:pPr>
            <w:r>
              <w:rPr>
                <w:rFonts w:ascii="Arial" w:cs="Arial" w:eastAsia="Arial" w:hAnsi="Arial"/>
                <w:sz w:val="18"/>
                <w:szCs w:val="18"/>
                <w:color w:val="auto"/>
              </w:rPr>
              <w:t>The computations of diluted earnings per common share follow:</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1"/>
        </w:trPr>
        <w:tc>
          <w:tcPr>
            <w:tcW w:w="6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20" w:type="dxa"/>
            <w:vAlign w:val="bottom"/>
            <w:gridSpan w:val="3"/>
          </w:tcPr>
          <w:p>
            <w:pPr>
              <w:jc w:val="right"/>
              <w:ind w:right="623"/>
              <w:spacing w:after="0"/>
              <w:rPr>
                <w:sz w:val="20"/>
                <w:szCs w:val="20"/>
                <w:color w:val="auto"/>
              </w:rPr>
            </w:pPr>
            <w:r>
              <w:rPr>
                <w:rFonts w:ascii="Arial" w:cs="Arial" w:eastAsia="Arial" w:hAnsi="Arial"/>
                <w:sz w:val="13"/>
                <w:szCs w:val="13"/>
                <w:b w:val="1"/>
                <w:bCs w:val="1"/>
                <w:color w:val="auto"/>
              </w:rPr>
              <w:t>Three Months Ended March 31</w:t>
            </w:r>
          </w:p>
        </w:tc>
      </w:tr>
      <w:tr>
        <w:trPr>
          <w:trHeight w:val="180"/>
        </w:trPr>
        <w:tc>
          <w:tcPr>
            <w:tcW w:w="6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jc w:val="right"/>
              <w:ind w:right="745"/>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5"/>
                <w:szCs w:val="15"/>
                <w:color w:val="auto"/>
              </w:rPr>
            </w:pPr>
          </w:p>
        </w:tc>
        <w:tc>
          <w:tcPr>
            <w:tcW w:w="1080" w:type="dxa"/>
            <w:vAlign w:val="bottom"/>
          </w:tcPr>
          <w:p>
            <w:pPr>
              <w:jc w:val="right"/>
              <w:ind w:right="543"/>
              <w:spacing w:after="0"/>
              <w:rPr>
                <w:sz w:val="20"/>
                <w:szCs w:val="20"/>
                <w:color w:val="auto"/>
              </w:rPr>
            </w:pPr>
            <w:r>
              <w:rPr>
                <w:rFonts w:ascii="Arial" w:cs="Arial" w:eastAsia="Arial" w:hAnsi="Arial"/>
                <w:sz w:val="13"/>
                <w:szCs w:val="13"/>
                <w:b w:val="1"/>
                <w:bCs w:val="1"/>
                <w:color w:val="auto"/>
              </w:rPr>
              <w:t>2022</w:t>
            </w:r>
          </w:p>
        </w:tc>
      </w:tr>
      <w:tr>
        <w:trPr>
          <w:trHeight w:val="183"/>
        </w:trPr>
        <w:tc>
          <w:tcPr>
            <w:tcW w:w="6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20" w:type="dxa"/>
            <w:vAlign w:val="bottom"/>
            <w:gridSpan w:val="3"/>
          </w:tcPr>
          <w:p>
            <w:pPr>
              <w:jc w:val="right"/>
              <w:ind w:right="563"/>
              <w:spacing w:after="0"/>
              <w:rPr>
                <w:sz w:val="20"/>
                <w:szCs w:val="20"/>
                <w:color w:val="auto"/>
              </w:rPr>
            </w:pPr>
            <w:r>
              <w:rPr>
                <w:rFonts w:ascii="Arial" w:cs="Arial" w:eastAsia="Arial" w:hAnsi="Arial"/>
                <w:sz w:val="13"/>
                <w:szCs w:val="13"/>
                <w:b w:val="1"/>
                <w:bCs w:val="1"/>
                <w:color w:val="auto"/>
              </w:rPr>
              <w:t>(In thousands, except per share)</w:t>
            </w:r>
          </w:p>
        </w:tc>
      </w:tr>
      <w:tr>
        <w:trPr>
          <w:trHeight w:val="204"/>
        </w:trPr>
        <w:tc>
          <w:tcPr>
            <w:tcW w:w="6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available to common equity</w:t>
            </w:r>
          </w:p>
        </w:tc>
        <w:tc>
          <w:tcPr>
            <w:tcW w:w="13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225"/>
              <w:spacing w:after="0"/>
              <w:rPr>
                <w:sz w:val="20"/>
                <w:szCs w:val="20"/>
                <w:color w:val="auto"/>
              </w:rPr>
            </w:pPr>
            <w:r>
              <w:rPr>
                <w:rFonts w:ascii="Arial" w:cs="Arial" w:eastAsia="Arial" w:hAnsi="Arial"/>
                <w:sz w:val="16"/>
                <w:szCs w:val="16"/>
                <w:color w:val="auto"/>
              </w:rPr>
              <w:t>676,683</w:t>
            </w:r>
          </w:p>
        </w:tc>
        <w:tc>
          <w:tcPr>
            <w:tcW w:w="4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340,409</w:t>
            </w:r>
          </w:p>
        </w:tc>
      </w:tr>
      <w:tr>
        <w:trPr>
          <w:trHeight w:val="185"/>
        </w:trPr>
        <w:tc>
          <w:tcPr>
            <w:tcW w:w="6440" w:type="dxa"/>
            <w:vAlign w:val="bottom"/>
          </w:tcPr>
          <w:p>
            <w:pPr>
              <w:ind w:left="180"/>
              <w:spacing w:after="0"/>
              <w:rPr>
                <w:sz w:val="20"/>
                <w:szCs w:val="20"/>
                <w:color w:val="auto"/>
              </w:rPr>
            </w:pPr>
            <w:r>
              <w:rPr>
                <w:rFonts w:ascii="Arial" w:cs="Arial" w:eastAsia="Arial" w:hAnsi="Arial"/>
                <w:sz w:val="16"/>
                <w:szCs w:val="16"/>
                <w:color w:val="auto"/>
              </w:rPr>
              <w:t>Less: Income attributable to unvested stock-based</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6440" w:type="dxa"/>
            <w:vAlign w:val="bottom"/>
          </w:tcPr>
          <w:p>
            <w:pPr>
              <w:ind w:left="300"/>
              <w:spacing w:after="0"/>
              <w:rPr>
                <w:sz w:val="20"/>
                <w:szCs w:val="20"/>
                <w:color w:val="auto"/>
              </w:rPr>
            </w:pPr>
            <w:r>
              <w:rPr>
                <w:rFonts w:ascii="Arial" w:cs="Arial" w:eastAsia="Arial" w:hAnsi="Arial"/>
                <w:sz w:val="16"/>
                <w:szCs w:val="16"/>
                <w:color w:val="auto"/>
              </w:rPr>
              <w:t>compensation awards</w:t>
            </w:r>
          </w:p>
        </w:tc>
        <w:tc>
          <w:tcPr>
            <w:tcW w:w="1300" w:type="dxa"/>
            <w:vAlign w:val="bottom"/>
          </w:tcPr>
          <w:p>
            <w:pPr>
              <w:spacing w:after="0"/>
              <w:rPr>
                <w:sz w:val="17"/>
                <w:szCs w:val="17"/>
                <w:color w:val="auto"/>
              </w:rPr>
            </w:pPr>
          </w:p>
        </w:tc>
        <w:tc>
          <w:tcPr>
            <w:tcW w:w="1260" w:type="dxa"/>
            <w:vAlign w:val="bottom"/>
          </w:tcPr>
          <w:p>
            <w:pPr>
              <w:jc w:val="right"/>
              <w:ind w:right="145"/>
              <w:spacing w:after="0"/>
              <w:rPr>
                <w:sz w:val="20"/>
                <w:szCs w:val="20"/>
                <w:color w:val="auto"/>
              </w:rPr>
            </w:pPr>
            <w:r>
              <w:rPr>
                <w:rFonts w:ascii="Arial" w:cs="Arial" w:eastAsia="Arial" w:hAnsi="Arial"/>
                <w:sz w:val="16"/>
                <w:szCs w:val="16"/>
                <w:color w:val="auto"/>
              </w:rPr>
              <w:t>(1,172)</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(819 )</w:t>
            </w:r>
          </w:p>
        </w:tc>
      </w:tr>
      <w:tr>
        <w:trPr>
          <w:trHeight w:val="205"/>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13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225"/>
              <w:spacing w:after="0"/>
              <w:rPr>
                <w:sz w:val="20"/>
                <w:szCs w:val="20"/>
                <w:color w:val="auto"/>
              </w:rPr>
            </w:pPr>
            <w:r>
              <w:rPr>
                <w:rFonts w:ascii="Arial" w:cs="Arial" w:eastAsia="Arial" w:hAnsi="Arial"/>
                <w:sz w:val="16"/>
                <w:szCs w:val="16"/>
                <w:color w:val="auto"/>
              </w:rPr>
              <w:t>675,511</w:t>
            </w:r>
          </w:p>
        </w:tc>
        <w:tc>
          <w:tcPr>
            <w:tcW w:w="4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339,590</w:t>
            </w:r>
          </w:p>
        </w:tc>
      </w:tr>
      <w:tr>
        <w:trPr>
          <w:trHeight w:val="202"/>
        </w:trPr>
        <w:tc>
          <w:tcPr>
            <w:tcW w:w="6440" w:type="dxa"/>
            <w:vAlign w:val="bottom"/>
          </w:tcPr>
          <w:p>
            <w:pPr>
              <w:ind w:left="20"/>
              <w:spacing w:after="0"/>
              <w:rPr>
                <w:sz w:val="20"/>
                <w:szCs w:val="20"/>
                <w:color w:val="auto"/>
              </w:rPr>
            </w:pPr>
            <w:r>
              <w:rPr>
                <w:rFonts w:ascii="Arial" w:cs="Arial" w:eastAsia="Arial" w:hAnsi="Arial"/>
                <w:sz w:val="16"/>
                <w:szCs w:val="16"/>
                <w:color w:val="auto"/>
              </w:rPr>
              <w:t>Adjusted weighted-average shares outstanding:</w:t>
            </w: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22"/>
        </w:trPr>
        <w:tc>
          <w:tcPr>
            <w:tcW w:w="64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85"/>
        </w:trPr>
        <w:tc>
          <w:tcPr>
            <w:tcW w:w="64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Common and unvested stock-based compensation</w:t>
            </w:r>
          </w:p>
        </w:tc>
        <w:tc>
          <w:tcPr>
            <w:tcW w:w="1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99"/>
        </w:trPr>
        <w:tc>
          <w:tcPr>
            <w:tcW w:w="64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awards</w:t>
            </w: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5"/>
              <w:spacing w:after="0"/>
              <w:rPr>
                <w:sz w:val="20"/>
                <w:szCs w:val="20"/>
                <w:color w:val="auto"/>
              </w:rPr>
            </w:pPr>
            <w:r>
              <w:rPr>
                <w:rFonts w:ascii="Arial" w:cs="Arial" w:eastAsia="Arial" w:hAnsi="Arial"/>
                <w:sz w:val="16"/>
                <w:szCs w:val="16"/>
                <w:color w:val="auto"/>
              </w:rPr>
              <w:t>168,010</w:t>
            </w: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129,274</w:t>
            </w:r>
          </w:p>
        </w:tc>
      </w:tr>
      <w:tr>
        <w:trPr>
          <w:trHeight w:val="203"/>
        </w:trPr>
        <w:tc>
          <w:tcPr>
            <w:tcW w:w="6440" w:type="dxa"/>
            <w:vAlign w:val="bottom"/>
          </w:tcPr>
          <w:p>
            <w:pPr>
              <w:ind w:left="180"/>
              <w:spacing w:after="0"/>
              <w:rPr>
                <w:sz w:val="20"/>
                <w:szCs w:val="20"/>
                <w:color w:val="auto"/>
              </w:rPr>
            </w:pPr>
            <w:r>
              <w:rPr>
                <w:rFonts w:ascii="Arial" w:cs="Arial" w:eastAsia="Arial" w:hAnsi="Arial"/>
                <w:sz w:val="16"/>
                <w:szCs w:val="16"/>
                <w:color w:val="auto"/>
              </w:rPr>
              <w:t>Less: Unvested stock-based compensation awards</w:t>
            </w:r>
          </w:p>
        </w:tc>
        <w:tc>
          <w:tcPr>
            <w:tcW w:w="1300" w:type="dxa"/>
            <w:vAlign w:val="bottom"/>
          </w:tcPr>
          <w:p>
            <w:pPr>
              <w:spacing w:after="0"/>
              <w:rPr>
                <w:sz w:val="17"/>
                <w:szCs w:val="17"/>
                <w:color w:val="auto"/>
              </w:rPr>
            </w:pPr>
          </w:p>
        </w:tc>
        <w:tc>
          <w:tcPr>
            <w:tcW w:w="1260" w:type="dxa"/>
            <w:vAlign w:val="bottom"/>
          </w:tcPr>
          <w:p>
            <w:pPr>
              <w:jc w:val="right"/>
              <w:ind w:right="145"/>
              <w:spacing w:after="0"/>
              <w:rPr>
                <w:sz w:val="20"/>
                <w:szCs w:val="20"/>
                <w:color w:val="auto"/>
              </w:rPr>
            </w:pPr>
            <w:r>
              <w:rPr>
                <w:rFonts w:ascii="Arial" w:cs="Arial" w:eastAsia="Arial" w:hAnsi="Arial"/>
                <w:sz w:val="16"/>
                <w:szCs w:val="16"/>
                <w:color w:val="auto"/>
              </w:rPr>
              <w:t>(278 )</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(329 )</w:t>
            </w:r>
          </w:p>
        </w:tc>
      </w:tr>
      <w:tr>
        <w:trPr>
          <w:trHeight w:val="186"/>
        </w:trPr>
        <w:tc>
          <w:tcPr>
            <w:tcW w:w="64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Plus: Incremental shares from assumed conversion</w:t>
            </w:r>
          </w:p>
        </w:tc>
        <w:tc>
          <w:tcPr>
            <w:tcW w:w="1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0"/>
        </w:trPr>
        <w:tc>
          <w:tcPr>
            <w:tcW w:w="6440" w:type="dxa"/>
            <w:vAlign w:val="bottom"/>
            <w:shd w:val="clear" w:color="auto" w:fill="CFF0FC"/>
          </w:tcPr>
          <w:p>
            <w:pPr>
              <w:ind w:left="300"/>
              <w:spacing w:after="0" w:line="180" w:lineRule="exact"/>
              <w:rPr>
                <w:sz w:val="20"/>
                <w:szCs w:val="20"/>
                <w:color w:val="auto"/>
              </w:rPr>
            </w:pPr>
            <w:r>
              <w:rPr>
                <w:rFonts w:ascii="Arial" w:cs="Arial" w:eastAsia="Arial" w:hAnsi="Arial"/>
                <w:sz w:val="16"/>
                <w:szCs w:val="16"/>
                <w:color w:val="auto"/>
              </w:rPr>
              <w:t>of stock-based compensation awards and warrants</w:t>
            </w:r>
          </w:p>
        </w:tc>
        <w:tc>
          <w:tcPr>
            <w:tcW w:w="1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99"/>
        </w:trPr>
        <w:tc>
          <w:tcPr>
            <w:tcW w:w="64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to purchase common stock</w:t>
            </w: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5"/>
              <w:spacing w:after="0"/>
              <w:rPr>
                <w:sz w:val="20"/>
                <w:szCs w:val="20"/>
                <w:color w:val="auto"/>
              </w:rPr>
            </w:pPr>
            <w:r>
              <w:rPr>
                <w:rFonts w:ascii="Arial" w:cs="Arial" w:eastAsia="Arial" w:hAnsi="Arial"/>
                <w:sz w:val="16"/>
                <w:szCs w:val="16"/>
                <w:color w:val="auto"/>
              </w:rPr>
              <w:t>678</w:t>
            </w: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471</w:t>
            </w:r>
          </w:p>
        </w:tc>
      </w:tr>
      <w:tr>
        <w:trPr>
          <w:trHeight w:val="202"/>
        </w:trPr>
        <w:tc>
          <w:tcPr>
            <w:tcW w:w="6440" w:type="dxa"/>
            <w:vAlign w:val="bottom"/>
          </w:tcPr>
          <w:p>
            <w:pPr>
              <w:ind w:left="20"/>
              <w:spacing w:after="0"/>
              <w:rPr>
                <w:sz w:val="20"/>
                <w:szCs w:val="20"/>
                <w:color w:val="auto"/>
              </w:rPr>
            </w:pPr>
            <w:r>
              <w:rPr>
                <w:rFonts w:ascii="Arial" w:cs="Arial" w:eastAsia="Arial" w:hAnsi="Arial"/>
                <w:sz w:val="16"/>
                <w:szCs w:val="16"/>
                <w:color w:val="auto"/>
              </w:rPr>
              <w:t>Adjusted weighted-average shares outstanding</w:t>
            </w:r>
          </w:p>
        </w:tc>
        <w:tc>
          <w:tcPr>
            <w:tcW w:w="1300" w:type="dxa"/>
            <w:vAlign w:val="bottom"/>
          </w:tcPr>
          <w:p>
            <w:pPr>
              <w:spacing w:after="0"/>
              <w:rPr>
                <w:sz w:val="17"/>
                <w:szCs w:val="17"/>
                <w:color w:val="auto"/>
              </w:rPr>
            </w:pPr>
          </w:p>
        </w:tc>
        <w:tc>
          <w:tcPr>
            <w:tcW w:w="1260" w:type="dxa"/>
            <w:vAlign w:val="bottom"/>
          </w:tcPr>
          <w:p>
            <w:pPr>
              <w:jc w:val="right"/>
              <w:ind w:right="225"/>
              <w:spacing w:after="0"/>
              <w:rPr>
                <w:sz w:val="20"/>
                <w:szCs w:val="20"/>
                <w:color w:val="auto"/>
              </w:rPr>
            </w:pPr>
            <w:r>
              <w:rPr>
                <w:rFonts w:ascii="Arial" w:cs="Arial" w:eastAsia="Arial" w:hAnsi="Arial"/>
                <w:sz w:val="16"/>
                <w:szCs w:val="16"/>
                <w:color w:val="auto"/>
              </w:rPr>
              <w:t>168,410</w:t>
            </w:r>
          </w:p>
        </w:tc>
        <w:tc>
          <w:tcPr>
            <w:tcW w:w="480" w:type="dxa"/>
            <w:vAlign w:val="bottom"/>
          </w:tcPr>
          <w:p>
            <w:pPr>
              <w:spacing w:after="0"/>
              <w:rPr>
                <w:sz w:val="17"/>
                <w:szCs w:val="17"/>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129,416</w:t>
            </w:r>
          </w:p>
        </w:tc>
      </w:tr>
      <w:tr>
        <w:trPr>
          <w:trHeight w:val="206"/>
        </w:trPr>
        <w:tc>
          <w:tcPr>
            <w:tcW w:w="6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 earnings per common share</w:t>
            </w:r>
          </w:p>
        </w:tc>
        <w:tc>
          <w:tcPr>
            <w:tcW w:w="13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225"/>
              <w:spacing w:after="0"/>
              <w:rPr>
                <w:sz w:val="20"/>
                <w:szCs w:val="20"/>
                <w:color w:val="auto"/>
              </w:rPr>
            </w:pPr>
            <w:r>
              <w:rPr>
                <w:rFonts w:ascii="Arial" w:cs="Arial" w:eastAsia="Arial" w:hAnsi="Arial"/>
                <w:sz w:val="16"/>
                <w:szCs w:val="16"/>
                <w:color w:val="auto"/>
              </w:rPr>
              <w:t>4.01</w:t>
            </w:r>
          </w:p>
        </w:tc>
        <w:tc>
          <w:tcPr>
            <w:tcW w:w="4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2.62</w:t>
            </w:r>
          </w:p>
        </w:tc>
      </w:tr>
    </w:tbl>
    <w:p>
      <w:pPr>
        <w:spacing w:after="0" w:line="89" w:lineRule="exact"/>
        <w:rPr>
          <w:sz w:val="20"/>
          <w:szCs w:val="20"/>
          <w:color w:val="auto"/>
        </w:rPr>
      </w:pPr>
    </w:p>
    <w:p>
      <w:pPr>
        <w:jc w:val="both"/>
        <w:ind w:left="20" w:right="240" w:firstLine="468"/>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28" w:name="page29"/>
    <w:bookmarkEnd w:id="28"/>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15" w:lineRule="exact"/>
        <w:rPr>
          <w:sz w:val="20"/>
          <w:szCs w:val="20"/>
          <w:color w:val="auto"/>
        </w:rPr>
      </w:pPr>
    </w:p>
    <w:p>
      <w:pPr>
        <w:ind w:left="20" w:right="180" w:firstLine="468"/>
        <w:spacing w:after="0" w:line="263" w:lineRule="auto"/>
        <w:rPr>
          <w:sz w:val="20"/>
          <w:szCs w:val="20"/>
          <w:color w:val="auto"/>
        </w:rPr>
      </w:pPr>
      <w:r>
        <w:rPr>
          <w:rFonts w:ascii="Arial" w:cs="Arial" w:eastAsia="Arial" w:hAnsi="Arial"/>
          <w:sz w:val="18"/>
          <w:szCs w:val="18"/>
          <w:color w:val="auto"/>
        </w:rPr>
        <w:t>Stock-based compensation awards to purchase common stock of M&amp;T representing 1,367,054 common shares and 114,226 common shares during the three months ended March 31, 2023 and 2022, respectively, were not included in the computations of diluted earnings per common share because the effect on those periods would have been antidilutive.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15" w:lineRule="exact"/>
        <w:rPr>
          <w:sz w:val="20"/>
          <w:szCs w:val="20"/>
          <w:color w:val="auto"/>
        </w:rPr>
      </w:pPr>
    </w:p>
    <w:p>
      <w:pPr>
        <w:ind w:left="20"/>
        <w:spacing w:after="0" w:line="275"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Defined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Total</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Investment</w:t>
            </w: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Benefit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Plans</w:t>
            </w: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Before Tax</w:t>
            </w:r>
          </w:p>
        </w:tc>
        <w:tc>
          <w:tcPr>
            <w:tcW w:w="34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Tax</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center"/>
              <w:ind w:left="95"/>
              <w:spacing w:after="0"/>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4680" w:type="dxa"/>
            <w:vAlign w:val="bottom"/>
          </w:tcPr>
          <w:p>
            <w:pPr>
              <w:ind w:left="20"/>
              <w:spacing w:after="0"/>
              <w:rPr>
                <w:sz w:val="20"/>
                <w:szCs w:val="20"/>
                <w:color w:val="auto"/>
              </w:rPr>
            </w:pPr>
            <w:r>
              <w:rPr>
                <w:rFonts w:ascii="Arial" w:cs="Arial" w:eastAsia="Arial" w:hAnsi="Arial"/>
                <w:sz w:val="13"/>
                <w:szCs w:val="13"/>
                <w:color w:val="auto"/>
              </w:rPr>
              <w:t>Balance — January 1, 2023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(444,192 )</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(272,856 )</w:t>
            </w:r>
          </w:p>
        </w:tc>
        <w:tc>
          <w:tcPr>
            <w:tcW w:w="1000" w:type="dxa"/>
            <w:vAlign w:val="bottom"/>
            <w:gridSpan w:val="3"/>
          </w:tcPr>
          <w:p>
            <w:pPr>
              <w:jc w:val="right"/>
              <w:ind w:right="60"/>
              <w:spacing w:after="0"/>
              <w:rPr>
                <w:sz w:val="20"/>
                <w:szCs w:val="20"/>
                <w:color w:val="auto"/>
              </w:rPr>
            </w:pPr>
            <w:r>
              <w:rPr>
                <w:rFonts w:ascii="Arial" w:cs="Arial" w:eastAsia="Arial" w:hAnsi="Arial"/>
                <w:sz w:val="13"/>
                <w:szCs w:val="13"/>
                <w:color w:val="auto"/>
              </w:rPr>
              <w:t>(349,129 )</w:t>
            </w:r>
          </w:p>
        </w:tc>
        <w:tc>
          <w:tcPr>
            <w:tcW w:w="200" w:type="dxa"/>
            <w:vAlign w:val="bottom"/>
            <w:gridSpan w:val="2"/>
          </w:tcPr>
          <w:p>
            <w:pPr>
              <w:jc w:val="center"/>
              <w:ind w:left="3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(1,066,177 )</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276,147</w:t>
            </w:r>
          </w:p>
        </w:tc>
        <w:tc>
          <w:tcPr>
            <w:tcW w:w="8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(790,030 )</w:t>
            </w: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before reclassifications:</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Unrealized holding gains, net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89,198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89,198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(24,058 )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1,807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1,807</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(613 )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Unrealized gains on cash flow hedges</w:t>
            </w: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51,038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51,038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(13,503 )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37,535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other comprehensive income (loss) before</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reclassifications</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89,198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52,845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142,043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(38,174 )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103,869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80" w:type="dxa"/>
            <w:vAlign w:val="bottom"/>
          </w:tcPr>
          <w:p>
            <w:pPr>
              <w:ind w:left="20"/>
              <w:spacing w:after="0"/>
              <w:rPr>
                <w:sz w:val="20"/>
                <w:szCs w:val="20"/>
                <w:color w:val="auto"/>
              </w:rPr>
            </w:pPr>
            <w:r>
              <w:rPr>
                <w:rFonts w:ascii="Arial" w:cs="Arial" w:eastAsia="Arial" w:hAnsi="Arial"/>
                <w:sz w:val="13"/>
                <w:szCs w:val="13"/>
                <w:color w:val="auto"/>
              </w:rPr>
              <w:t>Amounts reclassified from accumulated other comprehensive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120"/>
              <w:spacing w:after="0"/>
              <w:rPr>
                <w:sz w:val="20"/>
                <w:szCs w:val="20"/>
                <w:color w:val="auto"/>
              </w:rPr>
            </w:pPr>
            <w:r>
              <w:rPr>
                <w:rFonts w:ascii="Arial" w:cs="Arial" w:eastAsia="Arial" w:hAnsi="Arial"/>
                <w:sz w:val="13"/>
                <w:szCs w:val="13"/>
                <w:color w:val="auto"/>
              </w:rPr>
              <w:t>income (loss) that (increase) decrease net income: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Accretion of net gain on terminated cash flow hedges</w:t>
            </w: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(30 )</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(30 )</w:t>
            </w:r>
          </w:p>
        </w:tc>
        <w:tc>
          <w:tcPr>
            <w:tcW w:w="340" w:type="dxa"/>
            <w:vAlign w:val="bottom"/>
            <w:shd w:val="clear" w:color="auto" w:fill="CFF0FC"/>
          </w:tcPr>
          <w:p>
            <w:pPr>
              <w:ind w:left="60"/>
              <w:spacing w:after="0"/>
              <w:rPr>
                <w:sz w:val="20"/>
                <w:szCs w:val="20"/>
                <w:color w:val="auto"/>
              </w:rPr>
            </w:pPr>
            <w:r>
              <w:rPr>
                <w:rFonts w:ascii="Arial" w:cs="Arial" w:eastAsia="Arial" w:hAnsi="Arial"/>
                <w:sz w:val="13"/>
                <w:szCs w:val="13"/>
                <w:color w:val="auto"/>
              </w:rPr>
              <w:t>(b)</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61"/>
        </w:trPr>
        <w:tc>
          <w:tcPr>
            <w:tcW w:w="4680" w:type="dxa"/>
            <w:vAlign w:val="bottom"/>
          </w:tcPr>
          <w:p>
            <w:pPr>
              <w:ind w:left="180"/>
              <w:spacing w:after="0"/>
              <w:rPr>
                <w:sz w:val="20"/>
                <w:szCs w:val="20"/>
                <w:color w:val="auto"/>
              </w:rPr>
            </w:pPr>
            <w:r>
              <w:rPr>
                <w:rFonts w:ascii="Arial" w:cs="Arial" w:eastAsia="Arial" w:hAnsi="Arial"/>
                <w:sz w:val="13"/>
                <w:szCs w:val="13"/>
                <w:color w:val="auto"/>
              </w:rPr>
              <w:t>Net yield adjustment from cash flow hedges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280"/>
              <w:spacing w:after="0"/>
              <w:rPr>
                <w:sz w:val="20"/>
                <w:szCs w:val="20"/>
                <w:color w:val="auto"/>
              </w:rPr>
            </w:pPr>
            <w:r>
              <w:rPr>
                <w:rFonts w:ascii="Arial" w:cs="Arial" w:eastAsia="Arial" w:hAnsi="Arial"/>
                <w:sz w:val="13"/>
                <w:szCs w:val="13"/>
                <w:color w:val="auto"/>
              </w:rPr>
              <w:t>currently in effect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59,039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59,039</w:t>
            </w:r>
          </w:p>
        </w:tc>
        <w:tc>
          <w:tcPr>
            <w:tcW w:w="1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(a)</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(15,619 )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43,420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prior service credit</w:t>
            </w: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(475 )</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(475 )</w:t>
            </w:r>
          </w:p>
        </w:tc>
        <w:tc>
          <w:tcPr>
            <w:tcW w:w="340" w:type="dxa"/>
            <w:vAlign w:val="bottom"/>
            <w:shd w:val="clear" w:color="auto" w:fill="CFF0FC"/>
          </w:tcPr>
          <w:p>
            <w:pPr>
              <w:ind w:left="60"/>
              <w:spacing w:after="0"/>
              <w:rPr>
                <w:sz w:val="20"/>
                <w:szCs w:val="20"/>
                <w:color w:val="auto"/>
              </w:rPr>
            </w:pPr>
            <w:r>
              <w:rPr>
                <w:rFonts w:ascii="Arial" w:cs="Arial" w:eastAsia="Arial" w:hAnsi="Arial"/>
                <w:sz w:val="13"/>
                <w:szCs w:val="13"/>
                <w:color w:val="auto"/>
              </w:rPr>
              <w:t>(c)</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(51 )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(526 )</w:t>
            </w:r>
          </w:p>
        </w:tc>
        <w:tc>
          <w:tcPr>
            <w:tcW w:w="0" w:type="dxa"/>
            <w:vAlign w:val="bottom"/>
          </w:tcPr>
          <w:p>
            <w:pPr>
              <w:spacing w:after="0"/>
              <w:rPr>
                <w:sz w:val="1"/>
                <w:szCs w:val="1"/>
                <w:color w:val="auto"/>
              </w:rPr>
            </w:pP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Amortization of actuarial losses</w:t>
            </w: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(1,550 )</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(1,550 )</w:t>
            </w:r>
          </w:p>
        </w:tc>
        <w:tc>
          <w:tcPr>
            <w:tcW w:w="340" w:type="dxa"/>
            <w:vAlign w:val="bottom"/>
          </w:tcPr>
          <w:p>
            <w:pPr>
              <w:ind w:left="60"/>
              <w:spacing w:after="0"/>
              <w:rPr>
                <w:sz w:val="20"/>
                <w:szCs w:val="20"/>
                <w:color w:val="auto"/>
              </w:rPr>
            </w:pPr>
            <w:r>
              <w:rPr>
                <w:rFonts w:ascii="Arial" w:cs="Arial" w:eastAsia="Arial" w:hAnsi="Arial"/>
                <w:sz w:val="13"/>
                <w:szCs w:val="13"/>
                <w:color w:val="auto"/>
              </w:rPr>
              <w:t>(c)</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(166 )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(1,716 )</w:t>
            </w: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other comprehensive income (loss)</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89,198</w:t>
            </w:r>
          </w:p>
        </w:tc>
        <w:tc>
          <w:tcPr>
            <w:tcW w:w="12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(2,025 )</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111,854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199,027</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(54,002 )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145,025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Balance — March 31, 2023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(354,994 )</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(274,881 )</w:t>
            </w:r>
          </w:p>
        </w:tc>
        <w:tc>
          <w:tcPr>
            <w:tcW w:w="1000" w:type="dxa"/>
            <w:vAlign w:val="bottom"/>
            <w:gridSpan w:val="3"/>
          </w:tcPr>
          <w:p>
            <w:pPr>
              <w:jc w:val="right"/>
              <w:ind w:right="60"/>
              <w:spacing w:after="0"/>
              <w:rPr>
                <w:sz w:val="20"/>
                <w:szCs w:val="20"/>
                <w:color w:val="auto"/>
              </w:rPr>
            </w:pPr>
            <w:r>
              <w:rPr>
                <w:rFonts w:ascii="Arial" w:cs="Arial" w:eastAsia="Arial" w:hAnsi="Arial"/>
                <w:sz w:val="13"/>
                <w:szCs w:val="13"/>
                <w:color w:val="auto"/>
              </w:rPr>
              <w:t>(237,275 )</w:t>
            </w:r>
          </w:p>
        </w:tc>
        <w:tc>
          <w:tcPr>
            <w:tcW w:w="200" w:type="dxa"/>
            <w:vAlign w:val="bottom"/>
            <w:gridSpan w:val="2"/>
          </w:tcPr>
          <w:p>
            <w:pPr>
              <w:jc w:val="center"/>
              <w:ind w:left="3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(867,150 )</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222,145</w:t>
            </w:r>
          </w:p>
        </w:tc>
        <w:tc>
          <w:tcPr>
            <w:tcW w:w="8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(645,005 )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3"/>
            <w:shd w:val="clear" w:color="auto" w:fill="CFF0FC"/>
          </w:tcPr>
          <w:p>
            <w:pPr>
              <w:spacing w:after="0"/>
              <w:rPr>
                <w:sz w:val="14"/>
                <w:szCs w:val="14"/>
                <w:color w:val="auto"/>
              </w:rPr>
            </w:pPr>
          </w:p>
        </w:tc>
        <w:tc>
          <w:tcPr>
            <w:tcW w:w="88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spacing w:after="0"/>
              <w:rPr>
                <w:sz w:val="14"/>
                <w:szCs w:val="14"/>
                <w:color w:val="auto"/>
              </w:rPr>
            </w:pPr>
          </w:p>
        </w:tc>
        <w:tc>
          <w:tcPr>
            <w:tcW w:w="820" w:type="dxa"/>
            <w:vAlign w:val="bottom"/>
            <w:gridSpan w:val="2"/>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spacing w:after="0"/>
              <w:rPr>
                <w:sz w:val="14"/>
                <w:szCs w:val="14"/>
                <w:color w:val="auto"/>
              </w:rPr>
            </w:pPr>
          </w:p>
        </w:tc>
        <w:tc>
          <w:tcPr>
            <w:tcW w:w="660" w:type="dxa"/>
            <w:vAlign w:val="bottom"/>
            <w:gridSpan w:val="2"/>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spacing w:after="0"/>
              <w:rPr>
                <w:sz w:val="15"/>
                <w:szCs w:val="15"/>
                <w:color w:val="auto"/>
              </w:rPr>
            </w:pPr>
          </w:p>
        </w:tc>
        <w:tc>
          <w:tcPr>
            <w:tcW w:w="8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8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 January 1, 2022</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104,691</w:t>
            </w: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(360,276 )</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83,531</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center"/>
              <w:ind w:left="3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(172,054 )</w:t>
            </w:r>
          </w:p>
        </w:tc>
        <w:tc>
          <w:tcPr>
            <w:tcW w:w="3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44,476</w:t>
            </w:r>
          </w:p>
        </w:tc>
        <w:tc>
          <w:tcPr>
            <w:tcW w:w="8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(127,578 )</w:t>
            </w: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Other comprehensive income (loss) before reclassifications: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Unrealized holding losses, net</w:t>
            </w: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(184,955 )</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(184,955 )</w:t>
            </w: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47,758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(137,197 )</w:t>
            </w:r>
          </w:p>
        </w:tc>
        <w:tc>
          <w:tcPr>
            <w:tcW w:w="0" w:type="dxa"/>
            <w:vAlign w:val="bottom"/>
          </w:tcPr>
          <w:p>
            <w:pPr>
              <w:spacing w:after="0"/>
              <w:rPr>
                <w:sz w:val="1"/>
                <w:szCs w:val="1"/>
                <w:color w:val="auto"/>
              </w:rPr>
            </w:pPr>
          </w:p>
        </w:tc>
      </w:tr>
      <w:tr>
        <w:trPr>
          <w:trHeight w:val="170"/>
        </w:trPr>
        <w:tc>
          <w:tcPr>
            <w:tcW w:w="4680" w:type="dxa"/>
            <w:vAlign w:val="bottom"/>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(2,123 )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(2,123 )</w:t>
            </w: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(1,648 )</w:t>
            </w: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Unrealized losses on cash flow hedges</w:t>
            </w: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(115,724 )</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(115,724 )</w:t>
            </w: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29,885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(85,839 )</w:t>
            </w:r>
          </w:p>
        </w:tc>
        <w:tc>
          <w:tcPr>
            <w:tcW w:w="0" w:type="dxa"/>
            <w:vAlign w:val="bottom"/>
          </w:tcPr>
          <w:p>
            <w:pPr>
              <w:spacing w:after="0"/>
              <w:rPr>
                <w:sz w:val="1"/>
                <w:szCs w:val="1"/>
                <w:color w:val="auto"/>
              </w:rPr>
            </w:pPr>
          </w:p>
        </w:tc>
      </w:tr>
      <w:tr>
        <w:trPr>
          <w:trHeight w:val="161"/>
        </w:trPr>
        <w:tc>
          <w:tcPr>
            <w:tcW w:w="4680" w:type="dxa"/>
            <w:vAlign w:val="bottom"/>
          </w:tcPr>
          <w:p>
            <w:pPr>
              <w:ind w:left="20"/>
              <w:spacing w:after="0"/>
              <w:rPr>
                <w:sz w:val="20"/>
                <w:szCs w:val="20"/>
                <w:color w:val="auto"/>
              </w:rPr>
            </w:pPr>
            <w:r>
              <w:rPr>
                <w:rFonts w:ascii="Arial" w:cs="Arial" w:eastAsia="Arial" w:hAnsi="Arial"/>
                <w:sz w:val="13"/>
                <w:szCs w:val="13"/>
                <w:color w:val="auto"/>
              </w:rPr>
              <w:t>Total other comprehensive income (loss) before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80" w:type="dxa"/>
            <w:vAlign w:val="bottom"/>
          </w:tcPr>
          <w:p>
            <w:pPr>
              <w:ind w:left="120"/>
              <w:spacing w:after="0"/>
              <w:rPr>
                <w:sz w:val="20"/>
                <w:szCs w:val="20"/>
                <w:color w:val="auto"/>
              </w:rPr>
            </w:pPr>
            <w:r>
              <w:rPr>
                <w:rFonts w:ascii="Arial" w:cs="Arial" w:eastAsia="Arial" w:hAnsi="Arial"/>
                <w:sz w:val="13"/>
                <w:szCs w:val="13"/>
                <w:color w:val="auto"/>
              </w:rPr>
              <w:t>reclassifications</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(184,955 )</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3"/>
                <w:szCs w:val="13"/>
                <w:color w:val="auto"/>
              </w:rPr>
              <w:t>(117,847 )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(302,802 )</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78,118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(224,684 )</w:t>
            </w:r>
          </w:p>
        </w:tc>
        <w:tc>
          <w:tcPr>
            <w:tcW w:w="0" w:type="dxa"/>
            <w:vAlign w:val="bottom"/>
          </w:tcPr>
          <w:p>
            <w:pPr>
              <w:spacing w:after="0"/>
              <w:rPr>
                <w:sz w:val="1"/>
                <w:szCs w:val="1"/>
                <w:color w:val="auto"/>
              </w:rPr>
            </w:pPr>
          </w:p>
        </w:tc>
      </w:tr>
      <w:tr>
        <w:trPr>
          <w:trHeight w:val="166"/>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Amounts reclassified from accumulated other comprehensive</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income (loss) that (increase) decrease net income:</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80" w:type="dxa"/>
            <w:vAlign w:val="bottom"/>
          </w:tcPr>
          <w:p>
            <w:pPr>
              <w:ind w:left="180"/>
              <w:spacing w:after="0"/>
              <w:rPr>
                <w:sz w:val="20"/>
                <w:szCs w:val="20"/>
                <w:color w:val="auto"/>
              </w:rPr>
            </w:pPr>
            <w:r>
              <w:rPr>
                <w:rFonts w:ascii="Arial" w:cs="Arial" w:eastAsia="Arial" w:hAnsi="Arial"/>
                <w:sz w:val="13"/>
                <w:szCs w:val="13"/>
                <w:color w:val="auto"/>
              </w:rPr>
              <w:t>Amortization of unrealized holding losses on</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80" w:type="dxa"/>
            <w:vAlign w:val="bottom"/>
          </w:tcPr>
          <w:p>
            <w:pPr>
              <w:ind w:left="280"/>
              <w:spacing w:after="0"/>
              <w:rPr>
                <w:sz w:val="20"/>
                <w:szCs w:val="20"/>
                <w:color w:val="auto"/>
              </w:rPr>
            </w:pPr>
            <w:r>
              <w:rPr>
                <w:rFonts w:ascii="Arial" w:cs="Arial" w:eastAsia="Arial" w:hAnsi="Arial"/>
                <w:sz w:val="13"/>
                <w:szCs w:val="13"/>
                <w:color w:val="auto"/>
              </w:rPr>
              <w:t>held-to-maturity securities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1,119</w:t>
            </w:r>
          </w:p>
        </w:tc>
        <w:tc>
          <w:tcPr>
            <w:tcW w:w="10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(a)</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(289 )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Accretion of net gain on terminated cash flow hedges</w:t>
            </w: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(30 )</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(30 )</w:t>
            </w:r>
          </w:p>
        </w:tc>
        <w:tc>
          <w:tcPr>
            <w:tcW w:w="340" w:type="dxa"/>
            <w:vAlign w:val="bottom"/>
            <w:shd w:val="clear" w:color="auto" w:fill="CFF0FC"/>
          </w:tcPr>
          <w:p>
            <w:pPr>
              <w:ind w:left="60"/>
              <w:spacing w:after="0"/>
              <w:rPr>
                <w:sz w:val="20"/>
                <w:szCs w:val="20"/>
                <w:color w:val="auto"/>
              </w:rPr>
            </w:pPr>
            <w:r>
              <w:rPr>
                <w:rFonts w:ascii="Arial" w:cs="Arial" w:eastAsia="Arial" w:hAnsi="Arial"/>
                <w:sz w:val="13"/>
                <w:szCs w:val="13"/>
                <w:color w:val="auto"/>
              </w:rPr>
              <w:t>(b)</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61"/>
        </w:trPr>
        <w:tc>
          <w:tcPr>
            <w:tcW w:w="4680" w:type="dxa"/>
            <w:vAlign w:val="bottom"/>
          </w:tcPr>
          <w:p>
            <w:pPr>
              <w:ind w:left="180"/>
              <w:spacing w:after="0"/>
              <w:rPr>
                <w:sz w:val="20"/>
                <w:szCs w:val="20"/>
                <w:color w:val="auto"/>
              </w:rPr>
            </w:pPr>
            <w:r>
              <w:rPr>
                <w:rFonts w:ascii="Arial" w:cs="Arial" w:eastAsia="Arial" w:hAnsi="Arial"/>
                <w:sz w:val="13"/>
                <w:szCs w:val="13"/>
                <w:color w:val="auto"/>
              </w:rPr>
              <w:t>Net yield adjustment from cash flow hedges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80" w:type="dxa"/>
            <w:vAlign w:val="bottom"/>
          </w:tcPr>
          <w:p>
            <w:pPr>
              <w:ind w:left="280"/>
              <w:spacing w:after="0"/>
              <w:rPr>
                <w:sz w:val="20"/>
                <w:szCs w:val="20"/>
                <w:color w:val="auto"/>
              </w:rPr>
            </w:pPr>
            <w:r>
              <w:rPr>
                <w:rFonts w:ascii="Arial" w:cs="Arial" w:eastAsia="Arial" w:hAnsi="Arial"/>
                <w:sz w:val="13"/>
                <w:szCs w:val="13"/>
                <w:color w:val="auto"/>
              </w:rPr>
              <w:t>currently in effect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3"/>
                <w:szCs w:val="13"/>
                <w:color w:val="auto"/>
              </w:rPr>
              <w:t>(38,019 )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(38,019 )</w:t>
            </w:r>
          </w:p>
        </w:tc>
        <w:tc>
          <w:tcPr>
            <w:tcW w:w="340" w:type="dxa"/>
            <w:vAlign w:val="bottom"/>
          </w:tcPr>
          <w:p>
            <w:pPr>
              <w:ind w:left="60"/>
              <w:spacing w:after="0"/>
              <w:rPr>
                <w:sz w:val="20"/>
                <w:szCs w:val="20"/>
                <w:color w:val="auto"/>
              </w:rPr>
            </w:pPr>
            <w:r>
              <w:rPr>
                <w:rFonts w:ascii="Arial" w:cs="Arial" w:eastAsia="Arial" w:hAnsi="Arial"/>
                <w:sz w:val="13"/>
                <w:szCs w:val="13"/>
                <w:color w:val="auto"/>
              </w:rPr>
              <w:t>(a)</w:t>
            </w:r>
          </w:p>
        </w:tc>
        <w:tc>
          <w:tcPr>
            <w:tcW w:w="780" w:type="dxa"/>
            <w:vAlign w:val="bottom"/>
          </w:tcPr>
          <w:p>
            <w:pPr>
              <w:jc w:val="right"/>
              <w:spacing w:after="0"/>
              <w:rPr>
                <w:sz w:val="20"/>
                <w:szCs w:val="20"/>
                <w:color w:val="auto"/>
              </w:rPr>
            </w:pPr>
            <w:r>
              <w:rPr>
                <w:rFonts w:ascii="Arial" w:cs="Arial" w:eastAsia="Arial" w:hAnsi="Arial"/>
                <w:sz w:val="13"/>
                <w:szCs w:val="13"/>
                <w:color w:val="auto"/>
              </w:rPr>
              <w:t>9,818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(28,201 )</w:t>
            </w: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prior service credit</w:t>
            </w: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(950 )</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(950 )</w:t>
            </w:r>
          </w:p>
        </w:tc>
        <w:tc>
          <w:tcPr>
            <w:tcW w:w="340" w:type="dxa"/>
            <w:vAlign w:val="bottom"/>
            <w:shd w:val="clear" w:color="auto" w:fill="CFF0FC"/>
          </w:tcPr>
          <w:p>
            <w:pPr>
              <w:ind w:left="60"/>
              <w:spacing w:after="0"/>
              <w:rPr>
                <w:sz w:val="20"/>
                <w:szCs w:val="20"/>
                <w:color w:val="auto"/>
              </w:rPr>
            </w:pPr>
            <w:r>
              <w:rPr>
                <w:rFonts w:ascii="Arial" w:cs="Arial" w:eastAsia="Arial" w:hAnsi="Arial"/>
                <w:sz w:val="13"/>
                <w:szCs w:val="13"/>
                <w:color w:val="auto"/>
              </w:rPr>
              <w:t>(c)</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(645 )</w:t>
            </w:r>
          </w:p>
        </w:tc>
        <w:tc>
          <w:tcPr>
            <w:tcW w:w="0" w:type="dxa"/>
            <w:vAlign w:val="bottom"/>
          </w:tcPr>
          <w:p>
            <w:pPr>
              <w:spacing w:after="0"/>
              <w:rPr>
                <w:sz w:val="1"/>
                <w:szCs w:val="1"/>
                <w:color w:val="auto"/>
              </w:rPr>
            </w:pP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Amortization of actuarial losses</w:t>
            </w: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4,300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4,300</w:t>
            </w:r>
          </w:p>
        </w:tc>
        <w:tc>
          <w:tcPr>
            <w:tcW w:w="10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(c)</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(1,386 )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other comprehensive income (loss)</w:t>
            </w: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(183,836 )</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3,350</w:t>
            </w:r>
          </w:p>
        </w:tc>
        <w:tc>
          <w:tcPr>
            <w:tcW w:w="1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(155,896 )</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(336,382 )</w:t>
            </w: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86,575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(249,807 )</w:t>
            </w: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Balance — March 31, 2022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(79,145 )</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(356,926 )</w:t>
            </w:r>
          </w:p>
        </w:tc>
        <w:tc>
          <w:tcPr>
            <w:tcW w:w="1000" w:type="dxa"/>
            <w:vAlign w:val="bottom"/>
            <w:gridSpan w:val="3"/>
          </w:tcPr>
          <w:p>
            <w:pPr>
              <w:jc w:val="right"/>
              <w:ind w:right="60"/>
              <w:spacing w:after="0"/>
              <w:rPr>
                <w:sz w:val="20"/>
                <w:szCs w:val="20"/>
                <w:color w:val="auto"/>
              </w:rPr>
            </w:pPr>
            <w:r>
              <w:rPr>
                <w:rFonts w:ascii="Arial" w:cs="Arial" w:eastAsia="Arial" w:hAnsi="Arial"/>
                <w:sz w:val="13"/>
                <w:szCs w:val="13"/>
                <w:color w:val="auto"/>
              </w:rPr>
              <w:t>(72,365 )</w:t>
            </w:r>
          </w:p>
        </w:tc>
        <w:tc>
          <w:tcPr>
            <w:tcW w:w="200" w:type="dxa"/>
            <w:vAlign w:val="bottom"/>
            <w:gridSpan w:val="2"/>
          </w:tcPr>
          <w:p>
            <w:pPr>
              <w:jc w:val="center"/>
              <w:ind w:left="3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(508,436 )</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131,051</w:t>
            </w:r>
          </w:p>
        </w:tc>
        <w:tc>
          <w:tcPr>
            <w:tcW w:w="8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(377,385 )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(a)Included in interest income.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(b)Included in interest expense.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(c)Included in other costs of operations.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net consisted of the following:</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9"/>
              </w:rPr>
              <w:t>Defined</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Investment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Benefit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9"/>
              </w:rPr>
              <w:t>Plans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Other</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15"/>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5"/>
                <w:szCs w:val="15"/>
                <w:color w:val="auto"/>
              </w:rPr>
            </w:pPr>
          </w:p>
        </w:tc>
      </w:tr>
      <w:tr>
        <w:trPr>
          <w:trHeight w:val="180"/>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3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 December 31, 2022</w:t>
            </w:r>
          </w:p>
        </w:tc>
        <w:tc>
          <w:tcPr>
            <w:tcW w:w="420" w:type="dxa"/>
            <w:vAlign w:val="bottom"/>
            <w:gridSpan w:val="2"/>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(329,168 )</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(202,186 )</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(258,676 )</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(790,030 )</w:t>
            </w:r>
          </w:p>
        </w:tc>
      </w:tr>
      <w:tr>
        <w:trPr>
          <w:trHeight w:val="175"/>
        </w:trPr>
        <w:tc>
          <w:tcPr>
            <w:tcW w:w="4360" w:type="dxa"/>
            <w:vAlign w:val="bottom"/>
          </w:tcPr>
          <w:p>
            <w:pPr>
              <w:ind w:left="20"/>
              <w:spacing w:after="0"/>
              <w:rPr>
                <w:sz w:val="20"/>
                <w:szCs w:val="20"/>
                <w:color w:val="auto"/>
              </w:rPr>
            </w:pPr>
            <w:r>
              <w:rPr>
                <w:rFonts w:ascii="Arial" w:cs="Arial" w:eastAsia="Arial" w:hAnsi="Arial"/>
                <w:sz w:val="13"/>
                <w:szCs w:val="13"/>
                <w:color w:val="auto"/>
              </w:rPr>
              <w:t>Net gain (loss) during period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65,140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(2,242 )</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82,127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145,025</w:t>
            </w:r>
          </w:p>
        </w:tc>
        <w:tc>
          <w:tcPr>
            <w:tcW w:w="80" w:type="dxa"/>
            <w:vAlign w:val="bottom"/>
          </w:tcPr>
          <w:p>
            <w:pPr>
              <w:spacing w:after="0"/>
              <w:rPr>
                <w:sz w:val="15"/>
                <w:szCs w:val="15"/>
                <w:color w:val="auto"/>
              </w:rPr>
            </w:pPr>
          </w:p>
        </w:tc>
      </w:tr>
      <w:tr>
        <w:trPr>
          <w:trHeight w:val="200"/>
        </w:trPr>
        <w:tc>
          <w:tcPr>
            <w:tcW w:w="43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 March 31, 2023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(264,028 )</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(204,428 )</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(176,549 )</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(645,005 )</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80"/>
          </w:cols>
          <w:pgMar w:left="640" w:top="562" w:right="680"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- 28 -</w:t>
      </w:r>
    </w:p>
    <w:p>
      <w:pPr>
        <w:sectPr>
          <w:pgSz w:w="11900" w:h="16840" w:orient="portrait"/>
          <w:cols w:equalWidth="0" w:num="1">
            <w:col w:w="10580"/>
          </w:cols>
          <w:pgMar w:left="640" w:top="562" w:right="680" w:bottom="144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115" w:lineRule="exact"/>
        <w:rPr>
          <w:sz w:val="20"/>
          <w:szCs w:val="20"/>
          <w:color w:val="auto"/>
        </w:rPr>
      </w:pPr>
    </w:p>
    <w:p>
      <w:pPr>
        <w:ind w:left="20" w:right="100"/>
        <w:spacing w:after="0" w:line="254"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March 31, 2023.</w:t>
      </w:r>
    </w:p>
    <w:p>
      <w:pPr>
        <w:spacing w:after="0" w:line="75" w:lineRule="exact"/>
        <w:rPr>
          <w:sz w:val="20"/>
          <w:szCs w:val="20"/>
          <w:color w:val="auto"/>
        </w:rPr>
      </w:pPr>
    </w:p>
    <w:p>
      <w:pPr>
        <w:ind w:left="20" w:right="40" w:firstLine="468"/>
        <w:spacing w:after="0" w:line="275" w:lineRule="auto"/>
        <w:rPr>
          <w:sz w:val="20"/>
          <w:szCs w:val="20"/>
          <w:color w:val="auto"/>
        </w:rPr>
      </w:pPr>
      <w:r>
        <w:rPr>
          <w:rFonts w:ascii="Arial" w:cs="Arial" w:eastAsia="Arial" w:hAnsi="Arial"/>
          <w:sz w:val="18"/>
          <w:szCs w:val="18"/>
          <w:color w:val="auto"/>
        </w:rPr>
        <w:t>The net effect of interest rate swap agreements was to decrease net interest income by $69 million and to increase net interest income by $47 million during the three-month periods ended March 31, 2023 and 2022, respectively.</w:t>
      </w:r>
    </w:p>
    <w:p>
      <w:pPr>
        <w:spacing w:after="0" w:line="54" w:lineRule="exact"/>
        <w:rPr>
          <w:sz w:val="20"/>
          <w:szCs w:val="20"/>
          <w:color w:val="auto"/>
        </w:rPr>
      </w:pPr>
    </w:p>
    <w:p>
      <w:pPr>
        <w:ind w:left="20" w:right="100" w:firstLine="468"/>
        <w:spacing w:after="0" w:line="275"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ind w:left="600"/>
              <w:spacing w:after="0"/>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Estimated</w:t>
            </w:r>
          </w:p>
        </w:tc>
      </w:tr>
      <w:tr>
        <w:trPr>
          <w:trHeight w:val="180"/>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b w:val="1"/>
                <w:bCs w:val="1"/>
                <w:color w:val="auto"/>
                <w:w w:val="99"/>
              </w:rPr>
              <w:t>Notional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Average</w:t>
            </w:r>
          </w:p>
        </w:tc>
        <w:tc>
          <w:tcPr>
            <w:tcW w:w="1960" w:type="dxa"/>
            <w:vAlign w:val="bottom"/>
            <w:gridSpan w:val="2"/>
          </w:tcPr>
          <w:p>
            <w:pPr>
              <w:ind w:left="500"/>
              <w:spacing w:after="0"/>
              <w:rPr>
                <w:sz w:val="20"/>
                <w:szCs w:val="20"/>
                <w:color w:val="auto"/>
              </w:rPr>
            </w:pPr>
            <w:r>
              <w:rPr>
                <w:rFonts w:ascii="Arial" w:cs="Arial" w:eastAsia="Arial" w:hAnsi="Arial"/>
                <w:sz w:val="13"/>
                <w:szCs w:val="13"/>
                <w:b w:val="1"/>
                <w:bCs w:val="1"/>
                <w:color w:val="auto"/>
              </w:rPr>
              <w:t>Average Rate</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Fair Value</w:t>
            </w:r>
          </w:p>
        </w:tc>
      </w:tr>
      <w:tr>
        <w:trPr>
          <w:trHeight w:val="180"/>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Maturity</w:t>
            </w:r>
          </w:p>
        </w:tc>
        <w:tc>
          <w:tcPr>
            <w:tcW w:w="1000" w:type="dxa"/>
            <w:vAlign w:val="bottom"/>
          </w:tcPr>
          <w:p>
            <w:pPr>
              <w:ind w:left="280"/>
              <w:spacing w:after="0"/>
              <w:rPr>
                <w:sz w:val="20"/>
                <w:szCs w:val="20"/>
                <w:color w:val="auto"/>
              </w:rPr>
            </w:pPr>
            <w:r>
              <w:rPr>
                <w:rFonts w:ascii="Arial" w:cs="Arial" w:eastAsia="Arial" w:hAnsi="Arial"/>
                <w:sz w:val="13"/>
                <w:szCs w:val="13"/>
                <w:b w:val="1"/>
                <w:bCs w:val="1"/>
                <w:color w:val="auto"/>
              </w:rPr>
              <w:t>Fixed</w:t>
            </w:r>
          </w:p>
        </w:tc>
        <w:tc>
          <w:tcPr>
            <w:tcW w:w="960" w:type="dxa"/>
            <w:vAlign w:val="bottom"/>
          </w:tcPr>
          <w:p>
            <w:pPr>
              <w:jc w:val="right"/>
              <w:ind w:right="289"/>
              <w:spacing w:after="0"/>
              <w:rPr>
                <w:sz w:val="20"/>
                <w:szCs w:val="20"/>
                <w:color w:val="auto"/>
              </w:rPr>
            </w:pPr>
            <w:r>
              <w:rPr>
                <w:rFonts w:ascii="Arial" w:cs="Arial" w:eastAsia="Arial" w:hAnsi="Arial"/>
                <w:sz w:val="13"/>
                <w:szCs w:val="13"/>
                <w:b w:val="1"/>
                <w:bCs w:val="1"/>
                <w:color w:val="auto"/>
              </w:rPr>
              <w:t>Variable</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Gain (Loss) (a)</w:t>
            </w:r>
          </w:p>
        </w:tc>
      </w:tr>
      <w:tr>
        <w:trPr>
          <w:trHeight w:val="183"/>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(In years)</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 thousands)</w:t>
            </w:r>
          </w:p>
        </w:tc>
      </w:tr>
      <w:tr>
        <w:trPr>
          <w:trHeight w:val="19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March 31, 2023</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Fair value hedges: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Fixed rate long-term borrowings (b)</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2,500,000</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3.05 %</w:t>
            </w:r>
          </w:p>
        </w:tc>
        <w:tc>
          <w:tcPr>
            <w:tcW w:w="9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5.06 %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5,360</w:t>
            </w:r>
          </w:p>
        </w:tc>
        <w:tc>
          <w:tcPr>
            <w:tcW w:w="80" w:type="dxa"/>
            <w:vAlign w:val="bottom"/>
            <w:shd w:val="clear" w:color="auto" w:fill="CFF0FC"/>
          </w:tcPr>
          <w:p>
            <w:pPr>
              <w:spacing w:after="0"/>
              <w:rPr>
                <w:sz w:val="16"/>
                <w:szCs w:val="16"/>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 payments on variable rate commercial real estate loans (b) (c)</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12,700,000</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3.10 %</w:t>
            </w:r>
          </w:p>
        </w:tc>
        <w:tc>
          <w:tcPr>
            <w:tcW w:w="9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4.82 %</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5,890</w:t>
            </w:r>
          </w:p>
        </w:tc>
        <w:tc>
          <w:tcPr>
            <w:tcW w:w="80" w:type="dxa"/>
            <w:vAlign w:val="bottom"/>
            <w:shd w:val="clear" w:color="auto" w:fill="CFF0FC"/>
          </w:tcPr>
          <w:p>
            <w:pPr>
              <w:spacing w:after="0"/>
              <w:rPr>
                <w:sz w:val="16"/>
                <w:szCs w:val="16"/>
                <w:color w:val="auto"/>
              </w:rPr>
            </w:pPr>
          </w:p>
        </w:tc>
      </w:tr>
      <w:tr>
        <w:trPr>
          <w:trHeight w:val="189"/>
        </w:trPr>
        <w:tc>
          <w:tcPr>
            <w:tcW w:w="5220" w:type="dxa"/>
            <w:vAlign w:val="bottom"/>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15,200,000</w:t>
            </w:r>
          </w:p>
        </w:tc>
        <w:tc>
          <w:tcPr>
            <w:tcW w:w="1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11,250</w:t>
            </w:r>
          </w:p>
        </w:tc>
        <w:tc>
          <w:tcPr>
            <w:tcW w:w="80" w:type="dxa"/>
            <w:vAlign w:val="bottom"/>
          </w:tcPr>
          <w:p>
            <w:pPr>
              <w:spacing w:after="0"/>
              <w:rPr>
                <w:sz w:val="16"/>
                <w:szCs w:val="16"/>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1"/>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December 31, 2022</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Fair value hedges: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Fixed rate long-term borrowings (b)</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1,500,000</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2.98 %</w:t>
            </w:r>
          </w:p>
        </w:tc>
        <w:tc>
          <w:tcPr>
            <w:tcW w:w="9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4.52 %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(833 )</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 payments on variable rate commercial real estate loans (b) (d)</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15,900,000</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1.91 %</w:t>
            </w:r>
          </w:p>
        </w:tc>
        <w:tc>
          <w:tcPr>
            <w:tcW w:w="9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4.38 %</w:t>
            </w: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(7,059 )</w:t>
            </w:r>
          </w:p>
        </w:tc>
      </w:tr>
      <w:tr>
        <w:trPr>
          <w:trHeight w:val="189"/>
        </w:trPr>
        <w:tc>
          <w:tcPr>
            <w:tcW w:w="5220" w:type="dxa"/>
            <w:vAlign w:val="bottom"/>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17,400,000</w:t>
            </w:r>
          </w:p>
        </w:tc>
        <w:tc>
          <w:tcPr>
            <w:tcW w:w="1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(7,892 )</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3" w:lineRule="exact"/>
        <w:rPr>
          <w:sz w:val="20"/>
          <w:szCs w:val="20"/>
          <w:color w:val="auto"/>
        </w:rPr>
      </w:pPr>
    </w:p>
    <w:p>
      <w:pPr>
        <w:ind w:left="20"/>
        <w:spacing w:after="0" w:line="256" w:lineRule="auto"/>
        <w:rPr>
          <w:sz w:val="20"/>
          <w:szCs w:val="20"/>
          <w:color w:val="auto"/>
        </w:rPr>
      </w:pPr>
      <w:r>
        <w:rPr>
          <w:rFonts w:ascii="Arial" w:cs="Arial" w:eastAsia="Arial" w:hAnsi="Arial"/>
          <w:sz w:val="13"/>
          <w:szCs w:val="13"/>
          <w:i w:val="1"/>
          <w:iCs w:val="1"/>
          <w:color w:val="auto"/>
        </w:rPr>
        <w:t>(a)Certain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$59.1 million at March 31, 2023 and $65.0 million at December 31, 2022. The impact of such payments on interest rate swap agreements designated as cash flow hedges was a net settlement of losses of $232.6 million at March 31, 2023 and $329.7 million at December 31, 2022.</w:t>
      </w:r>
    </w:p>
    <w:p>
      <w:pPr>
        <w:ind w:left="20"/>
        <w:spacing w:after="0"/>
        <w:rPr>
          <w:sz w:val="20"/>
          <w:szCs w:val="20"/>
          <w:color w:val="auto"/>
        </w:rPr>
      </w:pPr>
      <w:r>
        <w:rPr>
          <w:rFonts w:ascii="Arial" w:cs="Arial" w:eastAsia="Arial" w:hAnsi="Arial"/>
          <w:sz w:val="13"/>
          <w:szCs w:val="13"/>
          <w:i w:val="1"/>
          <w:iCs w:val="1"/>
          <w:color w:val="auto"/>
        </w:rPr>
        <w:t>(b)Under the terms of these agreements, the Company receives settlement amounts at a fixed rate and pays at a variable rate.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(c)Includes notional amount and terms of $3.0 billion of forward-starting interest rate swap agreements that become effective in 2023.</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(d)Includes notional amount and terms of $4.7 billion of forward-starting interest rate swap agreements that become effective in 2023.</w:t>
      </w:r>
    </w:p>
    <w:p>
      <w:pPr>
        <w:spacing w:after="0" w:line="95" w:lineRule="exact"/>
        <w:rPr>
          <w:sz w:val="20"/>
          <w:szCs w:val="20"/>
          <w:color w:val="auto"/>
        </w:rPr>
      </w:pPr>
    </w:p>
    <w:p>
      <w:pPr>
        <w:ind w:left="20" w:right="220" w:firstLine="468"/>
        <w:spacing w:after="0" w:line="259" w:lineRule="auto"/>
        <w:rPr>
          <w:sz w:val="20"/>
          <w:szCs w:val="20"/>
          <w:color w:val="auto"/>
        </w:rPr>
      </w:pPr>
      <w:r>
        <w:rPr>
          <w:rFonts w:ascii="Arial" w:cs="Arial" w:eastAsia="Arial" w:hAnsi="Arial"/>
          <w:sz w:val="18"/>
          <w:szCs w:val="18"/>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67" w:lineRule="exact"/>
        <w:rPr>
          <w:sz w:val="20"/>
          <w:szCs w:val="20"/>
          <w:color w:val="auto"/>
        </w:rPr>
      </w:pPr>
    </w:p>
    <w:p>
      <w:pPr>
        <w:ind w:left="20" w:right="40" w:firstLine="468"/>
        <w:spacing w:after="0" w:line="256" w:lineRule="auto"/>
        <w:rPr>
          <w:sz w:val="20"/>
          <w:szCs w:val="20"/>
          <w:color w:val="auto"/>
        </w:rPr>
      </w:pPr>
      <w:r>
        <w:rPr>
          <w:rFonts w:ascii="Arial" w:cs="Arial" w:eastAsia="Arial" w:hAnsi="Arial"/>
          <w:sz w:val="18"/>
          <w:szCs w:val="18"/>
          <w:color w:val="auto"/>
        </w:rPr>
        <w:t>Other derivative financial instruments not designated as hedging instruments included interest rate contracts, foreign exchange and other option and futures contracts. Interest rate contracts not designated as hedging instruments had notional values of $44.1 billion and $ 45.1 billion at March 31, 2023 and December 31, 2022, respectively. The notional amounts of foreign exchange and other option and futures contracts not designated as hedging instruments aggregated $1.6 billion and $1.7 billion at March 31, 2023 and December 31, 2022, respectively.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- 29 -</w:t>
      </w:r>
    </w:p>
    <w:p>
      <w:pPr>
        <w:sectPr>
          <w:pgSz w:w="11900" w:h="16840" w:orient="portrait"/>
          <w:cols w:equalWidth="0" w:num="1">
            <w:col w:w="10600"/>
          </w:cols>
          <w:pgMar w:left="640" w:top="562" w:right="660" w:bottom="1440" w:gutter="0" w:footer="0" w:header="0"/>
        </w:sectPr>
      </w:pPr>
    </w:p>
    <w:bookmarkStart w:id="30" w:name="page31"/>
    <w:bookmarkEnd w:id="30"/>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15" w:lineRule="exact"/>
        <w:rPr>
          <w:sz w:val="20"/>
          <w:szCs w:val="20"/>
          <w:color w:val="auto"/>
        </w:rPr>
      </w:pPr>
    </w:p>
    <w:p>
      <w:pPr>
        <w:ind w:left="20" w:right="440" w:firstLine="468"/>
        <w:spacing w:after="0" w:line="266" w:lineRule="auto"/>
        <w:rPr>
          <w:sz w:val="20"/>
          <w:szCs w:val="20"/>
          <w:color w:val="auto"/>
        </w:rPr>
      </w:pPr>
      <w:r>
        <w:rPr>
          <w:rFonts w:ascii="Arial" w:cs="Arial" w:eastAsia="Arial" w:hAnsi="Arial"/>
          <w:sz w:val="18"/>
          <w:szCs w:val="18"/>
          <w:color w:val="auto"/>
        </w:rPr>
        <w:t>Information about the fair values of derivative instruments in the Company’s consolidated balance sheet and consolidated statement of income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rPr>
              <w:t>Asset Derivatives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rPr>
              <w:t>Liability Derivatives</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2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45"/>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designated and qualifying as hedging instruments (a)</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ind w:left="64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rate swap agreements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rPr>
                <w:sz w:val="20"/>
                <w:szCs w:val="20"/>
                <w:color w:val="auto"/>
              </w:rPr>
            </w:pPr>
            <w:r>
              <w:rPr>
                <w:rFonts w:ascii="Arial" w:cs="Arial" w:eastAsia="Arial" w:hAnsi="Arial"/>
                <w:sz w:val="14"/>
                <w:szCs w:val="14"/>
                <w:color w:val="auto"/>
              </w:rPr>
              <w:t>Commitments to sell real estate loans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and qualifying as hedging instruments (a)</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Mortgage banking:</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380" w:type="dxa"/>
            <w:vAlign w:val="bottom"/>
          </w:tcPr>
          <w:p>
            <w:pPr>
              <w:ind w:left="180"/>
              <w:spacing w:after="0"/>
              <w:rPr>
                <w:sz w:val="20"/>
                <w:szCs w:val="20"/>
                <w:color w:val="auto"/>
              </w:rPr>
            </w:pPr>
            <w:r>
              <w:rPr>
                <w:rFonts w:ascii="Arial" w:cs="Arial" w:eastAsia="Arial" w:hAnsi="Arial"/>
                <w:sz w:val="14"/>
                <w:szCs w:val="14"/>
                <w:color w:val="auto"/>
              </w:rPr>
              <w:t>Mortgage-related commitments to originate real estate loans</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6,867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35,008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46,025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380" w:type="dxa"/>
            <w:vAlign w:val="bottom"/>
          </w:tcPr>
          <w:p>
            <w:pPr>
              <w:ind w:left="380"/>
              <w:spacing w:after="0"/>
              <w:rPr>
                <w:sz w:val="20"/>
                <w:szCs w:val="20"/>
                <w:color w:val="auto"/>
              </w:rPr>
            </w:pPr>
            <w:r>
              <w:rPr>
                <w:rFonts w:ascii="Arial" w:cs="Arial" w:eastAsia="Arial" w:hAnsi="Arial"/>
                <w:sz w:val="14"/>
                <w:szCs w:val="14"/>
                <w:color w:val="auto"/>
              </w:rPr>
              <w:t>for sale</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Commitments to sell real estate loans</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39,550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51,410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46,417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51,862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80"/>
              <w:spacing w:after="0"/>
              <w:rPr>
                <w:sz w:val="20"/>
                <w:szCs w:val="20"/>
                <w:color w:val="auto"/>
              </w:rPr>
            </w:pPr>
            <w:r>
              <w:rPr>
                <w:rFonts w:ascii="Arial" w:cs="Arial" w:eastAsia="Arial" w:hAnsi="Arial"/>
                <w:sz w:val="14"/>
                <w:szCs w:val="14"/>
                <w:color w:val="auto"/>
              </w:rPr>
              <w:t>Interest rate contracts (b)</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280,283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355,806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1,006,264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1,278,180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Foreign exchange and other option and futures contracts</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24,062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19,035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302,350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379,868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1,025,299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1,300,184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derivatives</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362,945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435,969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1,063,941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1,355,326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(a)Asset derivatives are reported in other assets and liability derivatives are reported in other liabilities.</w:t>
      </w:r>
    </w:p>
    <w:p>
      <w:pPr>
        <w:spacing w:after="0" w:line="21" w:lineRule="exact"/>
        <w:rPr>
          <w:sz w:val="20"/>
          <w:szCs w:val="20"/>
          <w:color w:val="auto"/>
        </w:rPr>
      </w:pPr>
    </w:p>
    <w:p>
      <w:pPr>
        <w:ind w:left="20" w:right="440"/>
        <w:spacing w:after="0" w:line="263" w:lineRule="auto"/>
        <w:rPr>
          <w:sz w:val="20"/>
          <w:szCs w:val="20"/>
          <w:color w:val="auto"/>
        </w:rPr>
      </w:pPr>
      <w:r>
        <w:rPr>
          <w:rFonts w:ascii="Arial" w:cs="Arial" w:eastAsia="Arial" w:hAnsi="Arial"/>
          <w:sz w:val="13"/>
          <w:szCs w:val="13"/>
          <w:i w:val="1"/>
          <w:iCs w:val="1"/>
          <w:color w:val="auto"/>
        </w:rPr>
        <w:t>(b)The impact of variation margin payments at March 31, 2023 and December 31, 2022 was a reduction of the estimated fair value of interest rate contracts not designated as hedging instruments in an asset position of $861.5 million and $1.1 billion, respectively, and in a liability position of $19.6 million and $29.2 million, respectively.</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0" w:type="dxa"/>
            <w:vAlign w:val="bottom"/>
            <w:gridSpan w:val="10"/>
          </w:tcPr>
          <w:p>
            <w:pPr>
              <w:jc w:val="center"/>
              <w:ind w:left="54"/>
              <w:spacing w:after="0"/>
              <w:rPr>
                <w:sz w:val="20"/>
                <w:szCs w:val="20"/>
                <w:color w:val="auto"/>
              </w:rPr>
            </w:pPr>
            <w:r>
              <w:rPr>
                <w:rFonts w:ascii="Arial" w:cs="Arial" w:eastAsia="Arial" w:hAnsi="Arial"/>
                <w:sz w:val="13"/>
                <w:szCs w:val="13"/>
                <w:b w:val="1"/>
                <w:bCs w:val="1"/>
                <w:color w:val="auto"/>
              </w:rPr>
              <w:t>Amount of Gain (Loss) Recognized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7"/>
          </w:tcPr>
          <w:p>
            <w:pPr>
              <w:jc w:val="center"/>
              <w:spacing w:after="0"/>
              <w:rPr>
                <w:sz w:val="20"/>
                <w:szCs w:val="20"/>
                <w:color w:val="auto"/>
              </w:rPr>
            </w:pPr>
            <w:r>
              <w:rPr>
                <w:rFonts w:ascii="Arial" w:cs="Arial" w:eastAsia="Arial" w:hAnsi="Arial"/>
                <w:sz w:val="13"/>
                <w:szCs w:val="13"/>
                <w:b w:val="1"/>
                <w:bCs w:val="1"/>
                <w:color w:val="auto"/>
              </w:rPr>
              <w:t>Three Months Ended March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gridSpan w:val="2"/>
          </w:tcPr>
          <w:p>
            <w:pPr>
              <w:jc w:val="right"/>
              <w:ind w:right="194"/>
              <w:spacing w:after="0"/>
              <w:rPr>
                <w:sz w:val="20"/>
                <w:szCs w:val="20"/>
                <w:color w:val="auto"/>
              </w:rPr>
            </w:pPr>
            <w:r>
              <w:rPr>
                <w:rFonts w:ascii="Arial" w:cs="Arial" w:eastAsia="Arial" w:hAnsi="Arial"/>
                <w:sz w:val="13"/>
                <w:szCs w:val="13"/>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748"/>
              <w:spacing w:after="0"/>
              <w:rPr>
                <w:sz w:val="20"/>
                <w:szCs w:val="20"/>
                <w:color w:val="auto"/>
              </w:rPr>
            </w:pPr>
            <w:r>
              <w:rPr>
                <w:rFonts w:ascii="Arial" w:cs="Arial" w:eastAsia="Arial" w:hAnsi="Arial"/>
                <w:sz w:val="13"/>
                <w:szCs w:val="13"/>
                <w:b w:val="1"/>
                <w:bCs w:val="1"/>
                <w:color w:val="auto"/>
                <w:w w:val="89"/>
              </w:rPr>
              <w:t>2022</w:t>
            </w:r>
          </w:p>
        </w:tc>
        <w:tc>
          <w:tcPr>
            <w:tcW w:w="80" w:type="dxa"/>
            <w:vAlign w:val="bottom"/>
          </w:tcPr>
          <w:p>
            <w:pPr>
              <w:spacing w:after="0"/>
              <w:rPr>
                <w:sz w:val="15"/>
                <w:szCs w:val="15"/>
                <w:color w:val="auto"/>
              </w:rPr>
            </w:pPr>
          </w:p>
        </w:tc>
      </w:tr>
      <w:tr>
        <w:trPr>
          <w:trHeight w:val="180"/>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Derivative</w:t>
            </w:r>
          </w:p>
        </w:tc>
        <w:tc>
          <w:tcPr>
            <w:tcW w:w="30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Hedged Item</w:t>
            </w:r>
          </w:p>
        </w:tc>
        <w:tc>
          <w:tcPr>
            <w:tcW w:w="24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Hedged Item</w:t>
            </w:r>
          </w:p>
        </w:tc>
        <w:tc>
          <w:tcPr>
            <w:tcW w:w="80" w:type="dxa"/>
            <w:vAlign w:val="bottom"/>
          </w:tcPr>
          <w:p>
            <w:pPr>
              <w:spacing w:after="0"/>
              <w:rPr>
                <w:sz w:val="15"/>
                <w:szCs w:val="15"/>
                <w:color w:val="auto"/>
              </w:rPr>
            </w:pPr>
          </w:p>
        </w:tc>
      </w:tr>
      <w:tr>
        <w:trPr>
          <w:trHeight w:val="180"/>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Derivatives in fair value hedging relationships</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rPr>
                <w:sz w:val="20"/>
                <w:szCs w:val="20"/>
                <w:color w:val="auto"/>
              </w:rPr>
            </w:pPr>
            <w:r>
              <w:rPr>
                <w:rFonts w:ascii="Arial" w:cs="Arial" w:eastAsia="Arial" w:hAnsi="Arial"/>
                <w:sz w:val="16"/>
                <w:szCs w:val="16"/>
                <w:color w:val="auto"/>
              </w:rPr>
              <w:t>Interest rate swap agreements:</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4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Fixed rate long-term borrowings (a)</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12,037</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(12,019 )</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(43,273 )</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42,998</w:t>
            </w:r>
          </w:p>
        </w:tc>
        <w:tc>
          <w:tcPr>
            <w:tcW w:w="80" w:type="dxa"/>
            <w:vAlign w:val="bottom"/>
            <w:shd w:val="clear" w:color="auto" w:fill="CFF0FC"/>
          </w:tcPr>
          <w:p>
            <w:pPr>
              <w:spacing w:after="0"/>
              <w:rPr>
                <w:sz w:val="21"/>
                <w:szCs w:val="21"/>
                <w:color w:val="auto"/>
              </w:rPr>
            </w:pPr>
          </w:p>
        </w:tc>
      </w:tr>
      <w:tr>
        <w:trPr>
          <w:trHeight w:val="181"/>
        </w:trPr>
        <w:tc>
          <w:tcPr>
            <w:tcW w:w="4240" w:type="dxa"/>
            <w:vAlign w:val="bottom"/>
            <w:tcBorders>
              <w:top w:val="single" w:sz="8" w:color="CFF0FC"/>
            </w:tcBorders>
          </w:tcPr>
          <w:p>
            <w:pPr>
              <w:ind w:left="20"/>
              <w:spacing w:after="0" w:line="181" w:lineRule="exact"/>
              <w:rPr>
                <w:sz w:val="20"/>
                <w:szCs w:val="20"/>
                <w:color w:val="auto"/>
              </w:rPr>
            </w:pPr>
            <w:r>
              <w:rPr>
                <w:rFonts w:ascii="Arial" w:cs="Arial" w:eastAsia="Arial" w:hAnsi="Arial"/>
                <w:sz w:val="16"/>
                <w:szCs w:val="16"/>
                <w:b w:val="1"/>
                <w:bCs w:val="1"/>
                <w:color w:val="auto"/>
              </w:rPr>
              <w:t>Derivatives not designated as hedging instruments</w:t>
            </w:r>
          </w:p>
        </w:tc>
        <w:tc>
          <w:tcPr>
            <w:tcW w:w="300" w:type="dxa"/>
            <w:vAlign w:val="bottom"/>
            <w:tcBorders>
              <w:top w:val="single" w:sz="8" w:color="CFF0FC"/>
            </w:tcBorders>
          </w:tcPr>
          <w:p>
            <w:pPr>
              <w:spacing w:after="0"/>
              <w:rPr>
                <w:sz w:val="15"/>
                <w:szCs w:val="15"/>
                <w:color w:val="auto"/>
              </w:rPr>
            </w:pPr>
          </w:p>
        </w:tc>
        <w:tc>
          <w:tcPr>
            <w:tcW w:w="140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4"/>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contracts (b)</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7,563</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rPr>
                <w:sz w:val="20"/>
                <w:szCs w:val="20"/>
                <w:color w:val="auto"/>
              </w:rPr>
            </w:pPr>
            <w:r>
              <w:rPr>
                <w:rFonts w:ascii="Arial" w:cs="Arial" w:eastAsia="Arial" w:hAnsi="Arial"/>
                <w:sz w:val="16"/>
                <w:szCs w:val="16"/>
                <w:color w:val="auto"/>
                <w:w w:val="98"/>
              </w:rPr>
              <w:t>Foreign exchange and other option and futures contracts (b)</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3,985</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11,548</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6,899</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04"/>
        </w:trPr>
        <w:tc>
          <w:tcPr>
            <w:tcW w:w="4240" w:type="dxa"/>
            <w:vAlign w:val="bottom"/>
            <w:tcBorders>
              <w:top w:val="single" w:sz="8" w:color="CFF0FC"/>
            </w:tcBorders>
          </w:tcPr>
          <w:p>
            <w:pPr>
              <w:spacing w:after="0"/>
              <w:rPr>
                <w:sz w:val="20"/>
                <w:szCs w:val="20"/>
                <w:color w:val="auto"/>
              </w:rPr>
            </w:pPr>
            <w:r>
              <w:rPr>
                <w:rFonts w:ascii="Arial" w:cs="Arial" w:eastAsia="Arial" w:hAnsi="Arial"/>
                <w:sz w:val="13"/>
                <w:szCs w:val="13"/>
                <w:i w:val="1"/>
                <w:iCs w:val="1"/>
                <w:color w:val="auto"/>
              </w:rPr>
              <w:t>(a)Reported as an adjustment to interest expense.</w:t>
            </w:r>
          </w:p>
        </w:tc>
        <w:tc>
          <w:tcPr>
            <w:tcW w:w="300" w:type="dxa"/>
            <w:vAlign w:val="bottom"/>
            <w:tcBorders>
              <w:top w:val="single" w:sz="8" w:color="CFF0FC"/>
            </w:tcBorders>
          </w:tcPr>
          <w:p>
            <w:pPr>
              <w:spacing w:after="0"/>
              <w:rPr>
                <w:sz w:val="17"/>
                <w:szCs w:val="17"/>
                <w:color w:val="auto"/>
              </w:rPr>
            </w:pPr>
          </w:p>
        </w:tc>
        <w:tc>
          <w:tcPr>
            <w:tcW w:w="140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3"/>
                <w:szCs w:val="13"/>
                <w:i w:val="1"/>
                <w:iCs w:val="1"/>
                <w:color w:val="auto"/>
              </w:rPr>
              <w:t>(b)Reported as trading account and other non-hedging derivative gains.</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8"/>
        </w:trPr>
        <w:tc>
          <w:tcPr>
            <w:tcW w:w="4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920" w:type="dxa"/>
            <w:vAlign w:val="bottom"/>
            <w:gridSpan w:val="10"/>
          </w:tcPr>
          <w:p>
            <w:pPr>
              <w:spacing w:after="0"/>
              <w:rPr>
                <w:sz w:val="10"/>
                <w:szCs w:val="10"/>
                <w:color w:val="auto"/>
              </w:rPr>
            </w:pPr>
          </w:p>
        </w:tc>
      </w:tr>
      <w:tr>
        <w:trPr>
          <w:trHeight w:val="153"/>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10"/>
          </w:tcPr>
          <w:p>
            <w:pPr>
              <w:jc w:val="center"/>
              <w:ind w:left="51"/>
              <w:spacing w:after="0"/>
              <w:rPr>
                <w:sz w:val="20"/>
                <w:szCs w:val="20"/>
                <w:color w:val="auto"/>
              </w:rPr>
            </w:pPr>
            <w:r>
              <w:rPr>
                <w:rFonts w:ascii="Arial" w:cs="Arial" w:eastAsia="Arial" w:hAnsi="Arial"/>
                <w:sz w:val="13"/>
                <w:szCs w:val="13"/>
                <w:b w:val="1"/>
                <w:bCs w:val="1"/>
                <w:color w:val="auto"/>
              </w:rPr>
              <w:t>Cumulative Amount of Fair Value</w:t>
            </w:r>
          </w:p>
        </w:tc>
      </w:tr>
      <w:tr>
        <w:trPr>
          <w:trHeight w:val="156"/>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10"/>
          </w:tcPr>
          <w:p>
            <w:pPr>
              <w:jc w:val="center"/>
              <w:ind w:left="51"/>
              <w:spacing w:after="0"/>
              <w:rPr>
                <w:sz w:val="20"/>
                <w:szCs w:val="20"/>
                <w:color w:val="auto"/>
              </w:rPr>
            </w:pPr>
            <w:r>
              <w:rPr>
                <w:rFonts w:ascii="Arial" w:cs="Arial" w:eastAsia="Arial" w:hAnsi="Arial"/>
                <w:sz w:val="13"/>
                <w:szCs w:val="13"/>
                <w:b w:val="1"/>
                <w:bCs w:val="1"/>
                <w:color w:val="auto"/>
              </w:rPr>
              <w:t>Hedging Adjustment Increasing</w:t>
            </w:r>
          </w:p>
        </w:tc>
      </w:tr>
      <w:tr>
        <w:trPr>
          <w:trHeight w:val="156"/>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10"/>
          </w:tcPr>
          <w:p>
            <w:pPr>
              <w:jc w:val="center"/>
              <w:ind w:left="11"/>
              <w:spacing w:after="0"/>
              <w:rPr>
                <w:sz w:val="20"/>
                <w:szCs w:val="20"/>
                <w:color w:val="auto"/>
              </w:rPr>
            </w:pPr>
            <w:r>
              <w:rPr>
                <w:rFonts w:ascii="Arial" w:cs="Arial" w:eastAsia="Arial" w:hAnsi="Arial"/>
                <w:sz w:val="13"/>
                <w:szCs w:val="13"/>
                <w:b w:val="1"/>
                <w:bCs w:val="1"/>
                <w:color w:val="auto"/>
              </w:rPr>
              <w:t>(Decreasing) the Carrying Amount of the</w:t>
            </w:r>
          </w:p>
        </w:tc>
      </w:tr>
      <w:tr>
        <w:trPr>
          <w:trHeight w:val="183"/>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gridSpan w:val="6"/>
          </w:tcPr>
          <w:p>
            <w:pPr>
              <w:jc w:val="right"/>
              <w:ind w:right="434"/>
              <w:spacing w:after="0"/>
              <w:rPr>
                <w:sz w:val="20"/>
                <w:szCs w:val="20"/>
                <w:color w:val="auto"/>
              </w:rPr>
            </w:pPr>
            <w:r>
              <w:rPr>
                <w:rFonts w:ascii="Arial" w:cs="Arial" w:eastAsia="Arial" w:hAnsi="Arial"/>
                <w:sz w:val="13"/>
                <w:szCs w:val="13"/>
                <w:b w:val="1"/>
                <w:bCs w:val="1"/>
                <w:color w:val="auto"/>
              </w:rPr>
              <w:t>Carrying Amount of the Hedged Item</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4"/>
          </w:tcPr>
          <w:p>
            <w:pPr>
              <w:jc w:val="center"/>
              <w:spacing w:after="0"/>
              <w:rPr>
                <w:sz w:val="20"/>
                <w:szCs w:val="20"/>
                <w:color w:val="auto"/>
              </w:rPr>
            </w:pPr>
            <w:r>
              <w:rPr>
                <w:rFonts w:ascii="Arial" w:cs="Arial" w:eastAsia="Arial" w:hAnsi="Arial"/>
                <w:sz w:val="13"/>
                <w:szCs w:val="13"/>
                <w:b w:val="1"/>
                <w:bCs w:val="1"/>
                <w:color w:val="auto"/>
              </w:rPr>
              <w:t>Hedged Item</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310"/>
              <w:spacing w:after="0"/>
              <w:rPr>
                <w:sz w:val="20"/>
                <w:szCs w:val="20"/>
                <w:color w:val="auto"/>
              </w:rPr>
            </w:pPr>
            <w:r>
              <w:rPr>
                <w:rFonts w:ascii="Arial" w:cs="Arial" w:eastAsia="Arial" w:hAnsi="Arial"/>
                <w:sz w:val="13"/>
                <w:szCs w:val="13"/>
                <w:b w:val="1"/>
                <w:bCs w:val="1"/>
                <w:color w:val="auto"/>
              </w:rPr>
              <w:t>March 31, 2023</w:t>
            </w:r>
          </w:p>
        </w:tc>
        <w:tc>
          <w:tcPr>
            <w:tcW w:w="30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3"/>
                <w:szCs w:val="13"/>
                <w:b w:val="1"/>
                <w:bCs w:val="1"/>
                <w:color w:val="auto"/>
              </w:rPr>
              <w:t>December 31, 2022</w:t>
            </w:r>
          </w:p>
        </w:tc>
        <w:tc>
          <w:tcPr>
            <w:tcW w:w="174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March 31, 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24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7"/>
        </w:trPr>
        <w:tc>
          <w:tcPr>
            <w:tcW w:w="4240" w:type="dxa"/>
            <w:vAlign w:val="bottom"/>
            <w:shd w:val="clear" w:color="auto" w:fill="CFF0FC"/>
          </w:tcPr>
          <w:p>
            <w:pPr>
              <w:ind w:left="20"/>
              <w:spacing w:after="0" w:line="177" w:lineRule="exact"/>
              <w:rPr>
                <w:sz w:val="20"/>
                <w:szCs w:val="20"/>
                <w:color w:val="auto"/>
              </w:rPr>
            </w:pPr>
            <w:r>
              <w:rPr>
                <w:rFonts w:ascii="Arial" w:cs="Arial" w:eastAsia="Arial" w:hAnsi="Arial"/>
                <w:sz w:val="16"/>
                <w:szCs w:val="16"/>
                <w:b w:val="1"/>
                <w:bCs w:val="1"/>
                <w:color w:val="auto"/>
              </w:rPr>
              <w:t>Location in the Consolidated Balance Sheet</w:t>
            </w:r>
          </w:p>
        </w:tc>
        <w:tc>
          <w:tcPr>
            <w:tcW w:w="3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7"/>
        </w:trPr>
        <w:tc>
          <w:tcPr>
            <w:tcW w:w="42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of the Hedged Items in Fair Value Hedges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r>
      <w:tr>
        <w:trPr>
          <w:trHeight w:val="204"/>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2,441,628</w:t>
            </w:r>
          </w:p>
        </w:tc>
        <w:tc>
          <w:tcPr>
            <w:tcW w:w="3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1,433,731</w:t>
            </w:r>
          </w:p>
        </w:tc>
        <w:tc>
          <w:tcPr>
            <w:tcW w:w="580" w:type="dxa"/>
            <w:vAlign w:val="bottom"/>
            <w:shd w:val="clear" w:color="auto" w:fill="CFF0FC"/>
          </w:tcPr>
          <w:p>
            <w:pPr>
              <w:jc w:val="right"/>
              <w:ind w:right="21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(53,291 )</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(65,310 )</w:t>
            </w:r>
          </w:p>
        </w:tc>
      </w:tr>
    </w:tbl>
    <w:p>
      <w:pPr>
        <w:spacing w:after="0" w:line="113" w:lineRule="exact"/>
        <w:rPr>
          <w:sz w:val="20"/>
          <w:szCs w:val="20"/>
          <w:color w:val="auto"/>
        </w:rPr>
      </w:pPr>
    </w:p>
    <w:p>
      <w:pPr>
        <w:ind w:left="20" w:right="160" w:firstLine="468"/>
        <w:spacing w:after="0" w:line="256" w:lineRule="auto"/>
        <w:rPr>
          <w:sz w:val="20"/>
          <w:szCs w:val="20"/>
          <w:color w:val="auto"/>
        </w:rPr>
      </w:pPr>
      <w:r>
        <w:rPr>
          <w:rFonts w:ascii="Arial" w:cs="Arial" w:eastAsia="Arial" w:hAnsi="Arial"/>
          <w:sz w:val="18"/>
          <w:szCs w:val="18"/>
          <w:color w:val="auto"/>
        </w:rPr>
        <w:t>The amount of interest income recognized in the consolidated statement of income associated with derivatives designated as cash flow hedges was a decrease of $59 million and an increase of $38 million for the three months ended March 31, 2023 and 2022, respectively. As of March 31, 2023 the unrealized net loss recognized in other comprehensive income related to cash flow hedges was $227 million, of which losses of $3 million and $230 million and gains of $6 million related to interest rate swap agreements maturing in 2024, 2025 and 2026, respectively.</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- 30 -</w:t>
      </w:r>
    </w:p>
    <w:p>
      <w:pPr>
        <w:sectPr>
          <w:pgSz w:w="11900" w:h="16840" w:orient="portrait"/>
          <w:cols w:equalWidth="0" w:num="1">
            <w:col w:w="10580"/>
          </w:cols>
          <w:pgMar w:left="640" w:top="562" w:right="680" w:bottom="1440" w:gutter="0" w:footer="0" w:header="0"/>
        </w:sectPr>
      </w:pPr>
    </w:p>
    <w:bookmarkStart w:id="31" w:name="page32"/>
    <w:bookmarkEnd w:id="31"/>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15" w:lineRule="exact"/>
        <w:rPr>
          <w:sz w:val="20"/>
          <w:szCs w:val="20"/>
          <w:color w:val="auto"/>
        </w:rPr>
      </w:pPr>
    </w:p>
    <w:p>
      <w:pPr>
        <w:ind w:left="20" w:right="20" w:firstLine="468"/>
        <w:spacing w:after="0" w:line="254"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$15 million and $8 million at March 31, 2023 and December 31, 2022, respectively. Changes in unrealized gains and losses are included in mortgage banking revenues and, in general, are realized in subsequent periods as the related loans are sold and commitments satisfied.</w:t>
      </w:r>
    </w:p>
    <w:p>
      <w:pPr>
        <w:spacing w:after="0" w:line="72" w:lineRule="exact"/>
        <w:rPr>
          <w:sz w:val="20"/>
          <w:szCs w:val="20"/>
          <w:color w:val="auto"/>
        </w:rPr>
      </w:pPr>
    </w:p>
    <w:p>
      <w:pPr>
        <w:ind w:left="20" w:right="180" w:firstLine="468"/>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67" w:lineRule="exact"/>
        <w:rPr>
          <w:sz w:val="20"/>
          <w:szCs w:val="20"/>
          <w:color w:val="auto"/>
        </w:rPr>
      </w:pPr>
    </w:p>
    <w:p>
      <w:pPr>
        <w:ind w:left="20" w:right="100" w:firstLine="432"/>
        <w:spacing w:after="0" w:line="254" w:lineRule="auto"/>
        <w:rPr>
          <w:sz w:val="20"/>
          <w:szCs w:val="20"/>
          <w:color w:val="auto"/>
        </w:rPr>
      </w:pPr>
      <w:r>
        <w:rPr>
          <w:rFonts w:ascii="Arial" w:cs="Arial" w:eastAsia="Arial" w:hAnsi="Arial"/>
          <w:sz w:val="18"/>
          <w:szCs w:val="18"/>
          <w:color w:val="auto"/>
        </w:rPr>
        <w:t>The aggregate fair value of derivative financial instruments in a liability position, which are subject to master netting arrangements, was $2 million and less than $1 million at March 31, 2023 and December 31, 2022, respectively. Collateral of $1 million was posted for the position at March 31, 2023 and no collateral was posted for the position at December 31, 2022.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2023 was not material.</w:t>
      </w:r>
    </w:p>
    <w:p>
      <w:pPr>
        <w:spacing w:after="0" w:line="72" w:lineRule="exact"/>
        <w:rPr>
          <w:sz w:val="20"/>
          <w:szCs w:val="20"/>
          <w:color w:val="auto"/>
        </w:rPr>
      </w:pPr>
    </w:p>
    <w:p>
      <w:pPr>
        <w:ind w:left="20" w:right="320" w:firstLine="468"/>
        <w:spacing w:after="0" w:line="256" w:lineRule="auto"/>
        <w:rPr>
          <w:sz w:val="20"/>
          <w:szCs w:val="20"/>
          <w:color w:val="auto"/>
        </w:rPr>
      </w:pPr>
      <w:r>
        <w:rPr>
          <w:rFonts w:ascii="Arial" w:cs="Arial" w:eastAsia="Arial" w:hAnsi="Arial"/>
          <w:sz w:val="18"/>
          <w:szCs w:val="18"/>
          <w:color w:val="auto"/>
        </w:rPr>
        <w:t>The aggregate fair value of derivative financial instruments in an asset position with counterparties, which are subject to enforceable master netting arrangements, was $253 million at March 31, 2023 and $314 million at December 31, 2022. Counterparties posted collateral relating to those positions of $ 253 million at March 31, 2023 and $312 million at December 31, 2022, respectively. Interest rate swap agreements entered into with customers are subject to the Company’s credit risk standards and often contain collateral provisions.</w:t>
      </w:r>
    </w:p>
    <w:p>
      <w:pPr>
        <w:spacing w:after="0" w:line="72" w:lineRule="exact"/>
        <w:rPr>
          <w:sz w:val="20"/>
          <w:szCs w:val="20"/>
          <w:color w:val="auto"/>
        </w:rPr>
      </w:pPr>
    </w:p>
    <w:p>
      <w:pPr>
        <w:ind w:left="20" w:firstLine="468"/>
        <w:spacing w:after="0" w:line="254"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$202 million and $205 million at March 31, 2023 and December 31, 2022,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15" w:lineRule="exact"/>
        <w:rPr>
          <w:sz w:val="20"/>
          <w:szCs w:val="20"/>
          <w:color w:val="auto"/>
        </w:rPr>
      </w:pPr>
    </w:p>
    <w:p>
      <w:pPr>
        <w:ind w:left="20" w:right="280"/>
        <w:spacing w:after="0" w:line="275" w:lineRule="auto"/>
        <w:rPr>
          <w:sz w:val="20"/>
          <w:szCs w:val="20"/>
          <w:color w:val="auto"/>
        </w:rPr>
      </w:pPr>
      <w:r>
        <w:rPr>
          <w:rFonts w:ascii="Arial" w:cs="Arial" w:eastAsia="Arial" w:hAnsi="Arial"/>
          <w:sz w:val="18"/>
          <w:szCs w:val="18"/>
          <w:color w:val="auto"/>
        </w:rPr>
        <w:t>The Company’s securitization activity has consisted of securitizing loans originated for sale into government issued or guaranteed mortgage-backed securities. The Company has not recognized any losses as a result of having securitized assets.</w:t>
      </w:r>
    </w:p>
    <w:p>
      <w:pPr>
        <w:spacing w:after="0" w:line="54" w:lineRule="exact"/>
        <w:rPr>
          <w:sz w:val="20"/>
          <w:szCs w:val="20"/>
          <w:color w:val="auto"/>
        </w:rPr>
      </w:pPr>
    </w:p>
    <w:p>
      <w:pPr>
        <w:ind w:left="20" w:right="80" w:firstLine="468"/>
        <w:spacing w:after="0" w:line="254" w:lineRule="auto"/>
        <w:rPr>
          <w:sz w:val="20"/>
          <w:szCs w:val="20"/>
          <w:color w:val="auto"/>
        </w:rPr>
      </w:pPr>
      <w:r>
        <w:rPr>
          <w:rFonts w:ascii="Arial" w:cs="Arial" w:eastAsia="Arial" w:hAnsi="Arial"/>
          <w:sz w:val="18"/>
          <w:szCs w:val="18"/>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March 31, 2023 and December 31, 2022, the Company included the junior subordinated debentures as “long-term borrowings” in its consolidated balance sheet and recognized $22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562" w:right="660" w:bottom="1440" w:gutter="0" w:footer="0" w:header="0"/>
        </w:sectPr>
      </w:pPr>
    </w:p>
    <w:bookmarkStart w:id="32" w:name="page33"/>
    <w:bookmarkEnd w:id="32"/>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15" w:lineRule="exact"/>
        <w:rPr>
          <w:sz w:val="20"/>
          <w:szCs w:val="20"/>
          <w:color w:val="auto"/>
        </w:rPr>
      </w:pPr>
    </w:p>
    <w:p>
      <w:pPr>
        <w:ind w:left="20" w:firstLine="468"/>
        <w:spacing w:after="0" w:line="251" w:lineRule="auto"/>
        <w:rPr>
          <w:sz w:val="20"/>
          <w:szCs w:val="20"/>
          <w:color w:val="auto"/>
        </w:rPr>
      </w:pPr>
      <w:r>
        <w:rPr>
          <w:rFonts w:ascii="Arial" w:cs="Arial" w:eastAsia="Arial" w:hAnsi="Arial"/>
          <w:sz w:val="18"/>
          <w:szCs w:val="18"/>
          <w:color w:val="auto"/>
        </w:rPr>
        <w:t>The Company has invested as a limited partner in various partnerships that collectively had total assets of approximately $9.2 billion at both March 31, 2023 and December 31, 2022.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$1.5 billion at both March 31, 2023 and December 31, 2022, including $547 million and $545 million of unfunded commitments, at each of those respective dates. Contingent commitments to provide additional capital contributions to these partnerships were not material at March 31, 2023. The Company has not provided financial or other support to the partnerships that was not contractually required. The Company’s maximum exposure to loss from its investments in such partnerships as of March 31, 2023 was $2.0 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$40 million and $20 million of its investments in qualified affordable housing projects to income tax expense during the three -month periods ended March 31, 2023 and 2022, respectively, and recognized $46 million and $23 million of tax credits and other tax benefits during those respective periods.</w:t>
      </w:r>
    </w:p>
    <w:p>
      <w:pPr>
        <w:spacing w:after="0" w:line="88" w:lineRule="exact"/>
        <w:rPr>
          <w:sz w:val="20"/>
          <w:szCs w:val="20"/>
          <w:color w:val="auto"/>
        </w:rPr>
      </w:pPr>
    </w:p>
    <w:p>
      <w:pPr>
        <w:ind w:left="20" w:right="500" w:firstLine="468"/>
        <w:spacing w:after="0" w:line="263"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15" w:lineRule="exact"/>
        <w:rPr>
          <w:sz w:val="20"/>
          <w:szCs w:val="20"/>
          <w:color w:val="auto"/>
        </w:rPr>
      </w:pPr>
    </w:p>
    <w:p>
      <w:pPr>
        <w:ind w:left="20" w:right="440"/>
        <w:spacing w:after="0" w:line="275"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March 31, 2023.</w:t>
      </w:r>
    </w:p>
    <w:p>
      <w:pPr>
        <w:spacing w:after="0" w:line="54" w:lineRule="exact"/>
        <w:rPr>
          <w:sz w:val="20"/>
          <w:szCs w:val="20"/>
          <w:color w:val="auto"/>
        </w:rPr>
      </w:pPr>
    </w:p>
    <w:p>
      <w:pPr>
        <w:ind w:left="20" w:right="220" w:firstLine="468"/>
        <w:spacing w:after="0" w:line="263"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Valuation is based on quoted prices in active markets for identical assets and liabilities.</w:t>
      </w:r>
    </w:p>
    <w:p>
      <w:pPr>
        <w:spacing w:after="0" w:line="105" w:lineRule="exact"/>
        <w:rPr>
          <w:sz w:val="20"/>
          <w:szCs w:val="20"/>
          <w:color w:val="auto"/>
        </w:rPr>
      </w:pPr>
    </w:p>
    <w:p>
      <w:pPr>
        <w:ind w:left="500" w:right="200"/>
        <w:spacing w:after="0" w:line="263" w:lineRule="auto"/>
        <w:rPr>
          <w:sz w:val="20"/>
          <w:szCs w:val="20"/>
          <w:color w:val="auto"/>
        </w:rPr>
      </w:pPr>
      <w:r>
        <w:rPr>
          <w:rFonts w:ascii="Arial" w:cs="Arial" w:eastAsia="Arial" w:hAnsi="Arial"/>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64" w:lineRule="exact"/>
        <w:rPr>
          <w:sz w:val="20"/>
          <w:szCs w:val="20"/>
          <w:color w:val="auto"/>
        </w:rPr>
      </w:pPr>
    </w:p>
    <w:p>
      <w:pPr>
        <w:jc w:val="both"/>
        <w:ind w:left="500" w:right="40"/>
        <w:spacing w:after="0" w:line="263" w:lineRule="auto"/>
        <w:rPr>
          <w:sz w:val="20"/>
          <w:szCs w:val="20"/>
          <w:color w:val="auto"/>
        </w:rPr>
      </w:pPr>
      <w:r>
        <w:rPr>
          <w:rFonts w:ascii="Arial" w:cs="Arial" w:eastAsia="Arial" w:hAnsi="Arial"/>
          <w:sz w:val="18"/>
          <w:szCs w:val="18"/>
          <w:color w:val="auto"/>
        </w:rPr>
        <w:t>•Level 3 — Valuation is derived from model- based and other techniques in which at least one significant input is unobservable and which may be based on the Company's own estimates about the assumptions that market participants would use to value the asset or liability.</w:t>
      </w:r>
    </w:p>
    <w:p>
      <w:pPr>
        <w:spacing w:after="0" w:line="160" w:lineRule="exact"/>
        <w:rPr>
          <w:sz w:val="20"/>
          <w:szCs w:val="20"/>
          <w:color w:val="auto"/>
        </w:rPr>
      </w:pPr>
    </w:p>
    <w:p>
      <w:pPr>
        <w:ind w:left="20" w:right="220" w:firstLine="468"/>
        <w:spacing w:after="0" w:line="255" w:lineRule="auto"/>
        <w:rPr>
          <w:sz w:val="20"/>
          <w:szCs w:val="20"/>
          <w:color w:val="auto"/>
        </w:rPr>
      </w:pPr>
      <w:r>
        <w:rPr>
          <w:rFonts w:ascii="Arial" w:cs="Arial" w:eastAsia="Arial" w:hAnsi="Arial"/>
          <w:sz w:val="18"/>
          <w:szCs w:val="18"/>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40" w:top="562" w:right="720" w:bottom="1440" w:gutter="0" w:footer="0" w:header="0"/>
        </w:sectPr>
      </w:pPr>
    </w:p>
    <w:bookmarkStart w:id="33" w:name="page34"/>
    <w:bookmarkEnd w:id="33"/>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Trading account</w:t>
      </w:r>
    </w:p>
    <w:p>
      <w:pPr>
        <w:spacing w:after="0" w:line="31" w:lineRule="exact"/>
        <w:rPr>
          <w:sz w:val="20"/>
          <w:szCs w:val="20"/>
          <w:color w:val="auto"/>
        </w:rPr>
      </w:pPr>
    </w:p>
    <w:p>
      <w:pPr>
        <w:ind w:left="20" w:right="180"/>
        <w:spacing w:after="0" w:line="254" w:lineRule="auto"/>
        <w:rPr>
          <w:sz w:val="20"/>
          <w:szCs w:val="20"/>
          <w:color w:val="auto"/>
        </w:rPr>
      </w:pPr>
      <w:r>
        <w:rPr>
          <w:rFonts w:ascii="Arial" w:cs="Arial" w:eastAsia="Arial" w:hAnsi="Arial"/>
          <w:sz w:val="18"/>
          <w:szCs w:val="18"/>
          <w:color w:val="auto"/>
        </w:rPr>
        <w:t>Mutual funds held in connection with deferred compensation and other arrangements have been classified as Level 1 valuations. Valuations of investments in debt securities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Investment securities available for sale and equity securities</w:t>
      </w:r>
    </w:p>
    <w:p>
      <w:pPr>
        <w:spacing w:after="0" w:line="31" w:lineRule="exact"/>
        <w:rPr>
          <w:sz w:val="20"/>
          <w:szCs w:val="20"/>
          <w:color w:val="auto"/>
        </w:rPr>
      </w:pPr>
    </w:p>
    <w:p>
      <w:pPr>
        <w:ind w:left="20" w:right="20"/>
        <w:spacing w:after="0" w:line="25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31" w:lineRule="exact"/>
        <w:rPr>
          <w:sz w:val="20"/>
          <w:szCs w:val="20"/>
          <w:color w:val="auto"/>
        </w:rPr>
      </w:pPr>
    </w:p>
    <w:p>
      <w:pPr>
        <w:ind w:left="20" w:right="140"/>
        <w:spacing w:after="0" w:line="252"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31" w:lineRule="exact"/>
        <w:rPr>
          <w:sz w:val="20"/>
          <w:szCs w:val="20"/>
          <w:color w:val="auto"/>
        </w:rPr>
      </w:pPr>
    </w:p>
    <w:p>
      <w:pPr>
        <w:ind w:left="20" w:right="80"/>
        <w:spacing w:after="0" w:line="251"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accounted for as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31" w:lineRule="exact"/>
        <w:rPr>
          <w:sz w:val="20"/>
          <w:szCs w:val="20"/>
          <w:color w:val="auto"/>
        </w:rPr>
      </w:pPr>
    </w:p>
    <w:p>
      <w:pPr>
        <w:ind w:left="20"/>
        <w:spacing w:after="0" w:line="252"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non-hedging derivatives</w:t>
      </w:r>
    </w:p>
    <w:p>
      <w:pPr>
        <w:spacing w:after="0" w:line="31" w:lineRule="exact"/>
        <w:rPr>
          <w:sz w:val="20"/>
          <w:szCs w:val="20"/>
          <w:color w:val="auto"/>
        </w:rPr>
      </w:pPr>
    </w:p>
    <w:p>
      <w:pPr>
        <w:ind w:left="20" w:right="60"/>
        <w:spacing w:after="0" w:line="254" w:lineRule="auto"/>
        <w:rPr>
          <w:sz w:val="20"/>
          <w:szCs w:val="20"/>
          <w:color w:val="auto"/>
        </w:rPr>
      </w:pPr>
      <w:r>
        <w:rPr>
          <w:rFonts w:ascii="Arial" w:cs="Arial" w:eastAsia="Arial" w:hAnsi="Arial"/>
          <w:sz w:val="18"/>
          <w:szCs w:val="18"/>
          <w:color w:val="auto"/>
        </w:rPr>
        <w:t>Other non-hedging derivatives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other non-hedging derivative assets and liabilities using externally developed pricing models based on market observable inputs and, therefore, classifies such valuations as Level 2.</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562" w:right="660" w:bottom="1440" w:gutter="0" w:footer="0" w:header="0"/>
        </w:sectPr>
      </w:pPr>
    </w:p>
    <w:bookmarkStart w:id="34" w:name="page35"/>
    <w:bookmarkEnd w:id="34"/>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15" w:lineRule="exact"/>
        <w:rPr>
          <w:sz w:val="20"/>
          <w:szCs w:val="20"/>
          <w:color w:val="auto"/>
        </w:rPr>
      </w:pPr>
    </w:p>
    <w:p>
      <w:pPr>
        <w:ind w:left="20" w:right="60" w:firstLine="468"/>
        <w:spacing w:after="0" w:line="275" w:lineRule="auto"/>
        <w:rPr>
          <w:sz w:val="20"/>
          <w:szCs w:val="20"/>
          <w:color w:val="auto"/>
        </w:rPr>
      </w:pPr>
      <w:r>
        <w:rPr>
          <w:rFonts w:ascii="Arial" w:cs="Arial" w:eastAsia="Arial" w:hAnsi="Arial"/>
          <w:sz w:val="18"/>
          <w:szCs w:val="18"/>
          <w:color w:val="auto"/>
        </w:rPr>
        <w:t>The following tables present assets and liabilities at March 31, 2023 and December 31, 2022 measured at estimated fair value on a recurring basis: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183"/>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43"/>
              <w:spacing w:after="0"/>
              <w:rPr>
                <w:sz w:val="20"/>
                <w:szCs w:val="20"/>
                <w:color w:val="auto"/>
              </w:rPr>
            </w:pPr>
            <w:r>
              <w:rPr>
                <w:rFonts w:ascii="Arial" w:cs="Arial" w:eastAsia="Arial" w:hAnsi="Arial"/>
                <w:sz w:val="13"/>
                <w:szCs w:val="13"/>
                <w:b w:val="1"/>
                <w:bCs w:val="1"/>
                <w:color w:val="auto"/>
                <w:w w:val="98"/>
              </w:rPr>
              <w:t>Measurements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March 31, 2023</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Trading account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165,216</w:t>
            </w:r>
          </w:p>
        </w:tc>
        <w:tc>
          <w:tcPr>
            <w:tcW w:w="560" w:type="dxa"/>
            <w:vAlign w:val="bottom"/>
            <w:gridSpan w:val="3"/>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113,646</w:t>
            </w:r>
          </w:p>
        </w:tc>
        <w:tc>
          <w:tcPr>
            <w:tcW w:w="100" w:type="dxa"/>
            <w:vAlign w:val="bottom"/>
          </w:tcPr>
          <w:p>
            <w:pPr>
              <w:spacing w:after="0"/>
              <w:rPr>
                <w:sz w:val="17"/>
                <w:szCs w:val="17"/>
                <w:color w:val="auto"/>
              </w:rPr>
            </w:pPr>
          </w:p>
        </w:tc>
        <w:tc>
          <w:tcPr>
            <w:tcW w:w="52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51,570</w:t>
            </w:r>
          </w:p>
        </w:tc>
        <w:tc>
          <w:tcPr>
            <w:tcW w:w="80" w:type="dxa"/>
            <w:vAlign w:val="bottom"/>
          </w:tcPr>
          <w:p>
            <w:pPr>
              <w:spacing w:after="0"/>
              <w:rPr>
                <w:sz w:val="17"/>
                <w:szCs w:val="17"/>
                <w:color w:val="auto"/>
              </w:rPr>
            </w:pPr>
          </w:p>
        </w:tc>
        <w:tc>
          <w:tcPr>
            <w:tcW w:w="4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ind w:left="18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7,732,699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7,732,699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ind w:left="340"/>
              <w:spacing w:after="0"/>
              <w:rPr>
                <w:sz w:val="20"/>
                <w:szCs w:val="20"/>
                <w:color w:val="auto"/>
              </w:rPr>
            </w:pPr>
            <w:r>
              <w:rPr>
                <w:rFonts w:ascii="Arial" w:cs="Arial" w:eastAsia="Arial" w:hAnsi="Arial"/>
                <w:sz w:val="16"/>
                <w:szCs w:val="16"/>
                <w:color w:val="auto"/>
              </w:rPr>
              <w:t>Government issued or guaranteed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Commercial</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648,194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648,194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ind w:left="500"/>
              <w:spacing w:after="0"/>
              <w:rPr>
                <w:sz w:val="20"/>
                <w:szCs w:val="20"/>
                <w:color w:val="auto"/>
              </w:rPr>
            </w:pPr>
            <w:r>
              <w:rPr>
                <w:rFonts w:ascii="Arial" w:cs="Arial" w:eastAsia="Arial" w:hAnsi="Arial"/>
                <w:sz w:val="16"/>
                <w:szCs w:val="16"/>
                <w:color w:val="auto"/>
              </w:rPr>
              <w:t>Residential</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2,493,705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2,493,705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Other debt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164,324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164,324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11,038,922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11,038,922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295,220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289,788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Real estate loans held for sale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473,478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473,478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assets (a)</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362,945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356,078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ind w:left="18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12,335,781</w:t>
            </w:r>
          </w:p>
        </w:tc>
        <w:tc>
          <w:tcPr>
            <w:tcW w:w="100" w:type="dxa"/>
            <w:vAlign w:val="bottom"/>
          </w:tcPr>
          <w:p>
            <w:pPr>
              <w:spacing w:after="0"/>
              <w:rPr>
                <w:sz w:val="17"/>
                <w:szCs w:val="17"/>
                <w:color w:val="auto"/>
              </w:rPr>
            </w:pPr>
          </w:p>
        </w:tc>
        <w:tc>
          <w:tcPr>
            <w:tcW w:w="4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403,434</w:t>
            </w:r>
          </w:p>
        </w:tc>
        <w:tc>
          <w:tcPr>
            <w:tcW w:w="100" w:type="dxa"/>
            <w:vAlign w:val="bottom"/>
          </w:tcPr>
          <w:p>
            <w:pPr>
              <w:spacing w:after="0"/>
              <w:rPr>
                <w:sz w:val="17"/>
                <w:szCs w:val="17"/>
                <w:color w:val="auto"/>
              </w:rPr>
            </w:pPr>
          </w:p>
        </w:tc>
        <w:tc>
          <w:tcPr>
            <w:tcW w:w="52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11,925,480</w:t>
            </w:r>
          </w:p>
        </w:tc>
        <w:tc>
          <w:tcPr>
            <w:tcW w:w="80" w:type="dxa"/>
            <w:vAlign w:val="bottom"/>
          </w:tcPr>
          <w:p>
            <w:pPr>
              <w:spacing w:after="0"/>
              <w:rPr>
                <w:sz w:val="17"/>
                <w:szCs w:val="17"/>
                <w:color w:val="auto"/>
              </w:rPr>
            </w:pPr>
          </w:p>
        </w:tc>
        <w:tc>
          <w:tcPr>
            <w:tcW w:w="4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60" w:type="dxa"/>
            <w:vAlign w:val="bottom"/>
            <w:gridSpan w:val="2"/>
            <w:shd w:val="clear" w:color="auto" w:fill="CFF0FC"/>
          </w:tcPr>
          <w:p>
            <w:pPr>
              <w:ind w:left="20"/>
              <w:spacing w:after="0" w:line="181" w:lineRule="exact"/>
              <w:rPr>
                <w:sz w:val="20"/>
                <w:szCs w:val="20"/>
                <w:color w:val="auto"/>
              </w:rPr>
            </w:pPr>
            <w:r>
              <w:rPr>
                <w:rFonts w:ascii="Arial" w:cs="Arial" w:eastAsia="Arial" w:hAnsi="Arial"/>
                <w:sz w:val="16"/>
                <w:szCs w:val="16"/>
                <w:color w:val="auto"/>
              </w:rPr>
              <w:t>Other liabilities (a)</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1,063,941</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1,028,933</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35,008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60" w:type="dxa"/>
            <w:vAlign w:val="bottom"/>
            <w:gridSpan w:val="2"/>
          </w:tcPr>
          <w:p>
            <w:pPr>
              <w:ind w:left="180"/>
              <w:spacing w:after="0"/>
              <w:rPr>
                <w:sz w:val="20"/>
                <w:szCs w:val="20"/>
                <w:color w:val="auto"/>
              </w:rPr>
            </w:pPr>
            <w:r>
              <w:rPr>
                <w:rFonts w:ascii="Arial" w:cs="Arial" w:eastAsia="Arial" w:hAnsi="Arial"/>
                <w:sz w:val="16"/>
                <w:szCs w:val="16"/>
                <w:color w:val="auto"/>
              </w:rPr>
              <w:t>Total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1,063,941</w:t>
            </w:r>
          </w:p>
        </w:tc>
        <w:tc>
          <w:tcPr>
            <w:tcW w:w="100" w:type="dxa"/>
            <w:vAlign w:val="bottom"/>
          </w:tcPr>
          <w:p>
            <w:pPr>
              <w:spacing w:after="0"/>
              <w:rPr>
                <w:sz w:val="17"/>
                <w:szCs w:val="17"/>
                <w:color w:val="auto"/>
              </w:rPr>
            </w:pPr>
          </w:p>
        </w:tc>
        <w:tc>
          <w:tcPr>
            <w:tcW w:w="4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1,028,933</w:t>
            </w:r>
          </w:p>
        </w:tc>
        <w:tc>
          <w:tcPr>
            <w:tcW w:w="80" w:type="dxa"/>
            <w:vAlign w:val="bottom"/>
          </w:tcPr>
          <w:p>
            <w:pPr>
              <w:spacing w:after="0"/>
              <w:rPr>
                <w:sz w:val="17"/>
                <w:szCs w:val="17"/>
                <w:color w:val="auto"/>
              </w:rPr>
            </w:pPr>
          </w:p>
        </w:tc>
        <w:tc>
          <w:tcPr>
            <w:tcW w:w="4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6"/>
                <w:szCs w:val="16"/>
                <w:color w:val="auto"/>
              </w:rPr>
              <w:t>December 31, 2022</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Trading account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117,847</w:t>
            </w:r>
          </w:p>
        </w:tc>
        <w:tc>
          <w:tcPr>
            <w:tcW w:w="56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117,847</w:t>
            </w:r>
          </w:p>
        </w:tc>
        <w:tc>
          <w:tcPr>
            <w:tcW w:w="1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7,670,960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7,670,960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960" w:type="dxa"/>
            <w:vAlign w:val="bottom"/>
            <w:gridSpan w:val="2"/>
          </w:tcPr>
          <w:p>
            <w:pPr>
              <w:ind w:left="180"/>
              <w:spacing w:after="0"/>
              <w:rPr>
                <w:sz w:val="20"/>
                <w:szCs w:val="20"/>
                <w:color w:val="auto"/>
              </w:rPr>
            </w:pPr>
            <w:r>
              <w:rPr>
                <w:rFonts w:ascii="Arial" w:cs="Arial" w:eastAsia="Arial" w:hAnsi="Arial"/>
                <w:sz w:val="16"/>
                <w:szCs w:val="16"/>
                <w:color w:val="auto"/>
              </w:rPr>
              <w:t>Mortgage-backed securities: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9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496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Government issued or guaranteed</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ind w:left="500"/>
              <w:spacing w:after="0"/>
              <w:rPr>
                <w:sz w:val="20"/>
                <w:szCs w:val="20"/>
                <w:color w:val="auto"/>
              </w:rPr>
            </w:pPr>
            <w:r>
              <w:rPr>
                <w:rFonts w:ascii="Arial" w:cs="Arial" w:eastAsia="Arial" w:hAnsi="Arial"/>
                <w:sz w:val="16"/>
                <w:szCs w:val="16"/>
                <w:color w:val="auto"/>
              </w:rPr>
              <w:t>Commercial</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574,299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574,299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Residential</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2,330,118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2,330,118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4960" w:type="dxa"/>
            <w:vAlign w:val="bottom"/>
            <w:gridSpan w:val="2"/>
          </w:tcPr>
          <w:p>
            <w:pPr>
              <w:ind w:left="180"/>
              <w:spacing w:after="0"/>
              <w:rPr>
                <w:sz w:val="20"/>
                <w:szCs w:val="20"/>
                <w:color w:val="auto"/>
              </w:rPr>
            </w:pPr>
            <w:r>
              <w:rPr>
                <w:rFonts w:ascii="Arial" w:cs="Arial" w:eastAsia="Arial" w:hAnsi="Arial"/>
                <w:sz w:val="16"/>
                <w:szCs w:val="16"/>
                <w:color w:val="auto"/>
              </w:rPr>
              <w:t>Other debt securities</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173,584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173,584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10,748,961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10,748,961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Equity securities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151,458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145,289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Real estate loans held for sale</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162,393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162,393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gridSpan w:val="2"/>
          </w:tcPr>
          <w:p>
            <w:pPr>
              <w:ind w:left="20"/>
              <w:spacing w:after="0"/>
              <w:rPr>
                <w:sz w:val="20"/>
                <w:szCs w:val="20"/>
                <w:color w:val="auto"/>
              </w:rPr>
            </w:pPr>
            <w:r>
              <w:rPr>
                <w:rFonts w:ascii="Arial" w:cs="Arial" w:eastAsia="Arial" w:hAnsi="Arial"/>
                <w:sz w:val="16"/>
                <w:szCs w:val="16"/>
                <w:color w:val="auto"/>
              </w:rPr>
              <w:t>Other assets (a)</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435,969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435,517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11,616,628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263,136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11,353,040</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96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Other liabilities (a)</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1,355,326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1,309,301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46,025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1,355,326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1,309,301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46,025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right="380"/>
        <w:spacing w:after="0" w:line="285" w:lineRule="auto"/>
        <w:rPr>
          <w:sz w:val="20"/>
          <w:szCs w:val="20"/>
          <w:color w:val="auto"/>
        </w:rPr>
      </w:pPr>
      <w:r>
        <w:rPr>
          <w:rFonts w:ascii="Arial" w:cs="Arial" w:eastAsia="Arial" w:hAnsi="Arial"/>
          <w:sz w:val="13"/>
          <w:szCs w:val="13"/>
          <w:i w:val="1"/>
          <w:iCs w:val="1"/>
          <w:color w:val="auto"/>
        </w:rPr>
        <w:t>(a)Comprised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3).</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- 34 -</w:t>
      </w:r>
    </w:p>
    <w:p>
      <w:pPr>
        <w:sectPr>
          <w:pgSz w:w="11900" w:h="16840" w:orient="portrait"/>
          <w:cols w:equalWidth="0" w:num="1">
            <w:col w:w="10580"/>
          </w:cols>
          <w:pgMar w:left="640" w:top="562" w:right="680" w:bottom="1440" w:gutter="0" w:footer="0" w:header="0"/>
        </w:sectPr>
      </w:pPr>
    </w:p>
    <w:bookmarkStart w:id="35" w:name="page36"/>
    <w:bookmarkEnd w:id="35"/>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15" w:lineRule="exact"/>
        <w:rPr>
          <w:sz w:val="20"/>
          <w:szCs w:val="20"/>
          <w:color w:val="auto"/>
        </w:rPr>
      </w:pPr>
    </w:p>
    <w:p>
      <w:pPr>
        <w:ind w:left="20" w:right="380" w:firstLine="432"/>
        <w:spacing w:after="0" w:line="275"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2023 and 2022 were as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Other Assets and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2023</w:t>
            </w:r>
          </w:p>
        </w:tc>
        <w:tc>
          <w:tcPr>
            <w:tcW w:w="8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Other Liabilities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 w:type="dxa"/>
            <w:vAlign w:val="bottom"/>
            <w:gridSpan w:val="2"/>
            <w:vMerge w:val="continue"/>
          </w:tcPr>
          <w:p>
            <w:pPr>
              <w:spacing w:after="0"/>
              <w:rPr>
                <w:sz w:val="13"/>
                <w:szCs w:val="13"/>
                <w:color w:val="auto"/>
              </w:rPr>
            </w:pPr>
          </w:p>
        </w:tc>
        <w:tc>
          <w:tcPr>
            <w:tcW w:w="8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4"/>
                <w:szCs w:val="14"/>
                <w:color w:val="auto"/>
              </w:rPr>
              <w:t>Balance — January 1, 2023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(45,573 )</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8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losses realized/unrealized:</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
          </w:tcPr>
          <w:p>
            <w:pPr>
              <w:ind w:left="160"/>
              <w:spacing w:after="0"/>
              <w:rPr>
                <w:sz w:val="20"/>
                <w:szCs w:val="20"/>
                <w:color w:val="auto"/>
              </w:rPr>
            </w:pPr>
            <w:r>
              <w:rPr>
                <w:rFonts w:ascii="Arial" w:cs="Arial" w:eastAsia="Arial" w:hAnsi="Arial"/>
                <w:sz w:val="14"/>
                <w:szCs w:val="14"/>
                <w:color w:val="auto"/>
              </w:rPr>
              <w:t>Included in earnings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17,351</w:t>
            </w:r>
          </w:p>
        </w:tc>
        <w:tc>
          <w:tcPr>
            <w:tcW w:w="1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8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Transfers out of Level 3</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
          </w:tcPr>
          <w:p>
            <w:pPr>
              <w:spacing w:after="0"/>
              <w:rPr>
                <w:sz w:val="20"/>
                <w:szCs w:val="20"/>
                <w:color w:val="auto"/>
              </w:rPr>
            </w:pPr>
            <w:r>
              <w:rPr>
                <w:rFonts w:ascii="Arial" w:cs="Arial" w:eastAsia="Arial" w:hAnsi="Arial"/>
                <w:sz w:val="14"/>
                <w:szCs w:val="14"/>
                <w:color w:val="auto"/>
              </w:rPr>
              <w:t>Balance — March 31, 2023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(28,141 )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Borders>
              <w:bottom w:val="single" w:sz="8" w:color="CFF0FC"/>
            </w:tcBorders>
            <w:shd w:val="clear" w:color="auto" w:fill="CFF0FC"/>
          </w:tcPr>
          <w:p>
            <w:pPr>
              <w:spacing w:after="0"/>
              <w:rPr>
                <w:sz w:val="18"/>
                <w:szCs w:val="18"/>
                <w:color w:val="auto"/>
              </w:rPr>
            </w:pPr>
          </w:p>
        </w:tc>
        <w:tc>
          <w:tcPr>
            <w:tcW w:w="8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Changes in unrealized losses included in earnings related to instruments still held at March 31, 2023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17,386</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24"/>
        </w:trPr>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2022</w:t>
            </w:r>
          </w:p>
        </w:tc>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4"/>
                <w:szCs w:val="14"/>
                <w:color w:val="auto"/>
              </w:rPr>
              <w:t>Balance — January 1, 2022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6,440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8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gains realized/unrealized:</w:t>
            </w: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
          </w:tcPr>
          <w:p>
            <w:pPr>
              <w:ind w:left="160"/>
              <w:spacing w:after="0"/>
              <w:rPr>
                <w:sz w:val="20"/>
                <w:szCs w:val="20"/>
                <w:color w:val="auto"/>
              </w:rPr>
            </w:pPr>
            <w:r>
              <w:rPr>
                <w:rFonts w:ascii="Arial" w:cs="Arial" w:eastAsia="Arial" w:hAnsi="Arial"/>
                <w:sz w:val="14"/>
                <w:szCs w:val="14"/>
                <w:color w:val="auto"/>
              </w:rPr>
              <w:t>Included in earnings</w:t>
            </w:r>
          </w:p>
        </w:tc>
        <w:tc>
          <w:tcPr>
            <w:tcW w:w="1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(18,700 ) (a)</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8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Transfers out of Level 3</w:t>
            </w:r>
          </w:p>
        </w:tc>
        <w:tc>
          <w:tcPr>
            <w:tcW w:w="100" w:type="dxa"/>
            <w:vAlign w:val="bottom"/>
            <w:shd w:val="clear" w:color="auto" w:fill="CFF0FC"/>
          </w:tcPr>
          <w:p>
            <w:pPr>
              <w:spacing w:after="0"/>
              <w:rPr>
                <w:sz w:val="16"/>
                <w:szCs w:val="16"/>
                <w:color w:val="auto"/>
              </w:rPr>
            </w:pP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(3,168 ) (b)</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
          </w:tcPr>
          <w:p>
            <w:pPr>
              <w:spacing w:after="0"/>
              <w:rPr>
                <w:sz w:val="20"/>
                <w:szCs w:val="20"/>
                <w:color w:val="auto"/>
              </w:rPr>
            </w:pPr>
            <w:r>
              <w:rPr>
                <w:rFonts w:ascii="Arial" w:cs="Arial" w:eastAsia="Arial" w:hAnsi="Arial"/>
                <w:sz w:val="14"/>
                <w:szCs w:val="14"/>
                <w:color w:val="auto"/>
              </w:rPr>
              <w:t>Balance — March 31, 2022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(15,428 )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shd w:val="clear" w:color="auto" w:fill="CFF0FC"/>
          </w:tcPr>
          <w:p>
            <w:pPr>
              <w:spacing w:after="0"/>
              <w:rPr>
                <w:sz w:val="16"/>
                <w:szCs w:val="16"/>
                <w:color w:val="auto"/>
              </w:rPr>
            </w:pPr>
          </w:p>
        </w:tc>
        <w:tc>
          <w:tcPr>
            <w:tcW w:w="8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Changes in unrealized gains included in earnings related to instruments still held at March 31, 2022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(13,219 )</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(a)Reported as mortgage banking revenues in the consolidated statement of income and includes the fair value of commitment issuances and expirations.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(b)Transfers out of Level 3 consist of interest rate locks transferred to closed loans.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- 35 -</w:t>
      </w:r>
    </w:p>
    <w:p>
      <w:pPr>
        <w:sectPr>
          <w:pgSz w:w="11900" w:h="16840" w:orient="portrait"/>
          <w:cols w:equalWidth="0" w:num="1">
            <w:col w:w="10580"/>
          </w:cols>
          <w:pgMar w:left="640" w:top="562" w:right="680" w:bottom="1440" w:gutter="0" w:footer="0" w:header="0"/>
        </w:sectPr>
      </w:pPr>
    </w:p>
    <w:bookmarkStart w:id="36" w:name="page37"/>
    <w:bookmarkEnd w:id="36"/>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15" w:lineRule="exact"/>
        <w:rPr>
          <w:sz w:val="20"/>
          <w:szCs w:val="20"/>
          <w:color w:val="auto"/>
        </w:rPr>
      </w:pPr>
    </w:p>
    <w:p>
      <w:pPr>
        <w:ind w:left="20" w:firstLine="432"/>
        <w:spacing w:after="0" w:line="275"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Loans</w:t>
      </w:r>
    </w:p>
    <w:p>
      <w:pPr>
        <w:spacing w:after="0" w:line="31" w:lineRule="exact"/>
        <w:rPr>
          <w:sz w:val="20"/>
          <w:szCs w:val="20"/>
          <w:color w:val="auto"/>
        </w:rPr>
      </w:pPr>
    </w:p>
    <w:p>
      <w:pPr>
        <w:ind w:left="20" w:right="40"/>
        <w:spacing w:after="0" w:line="251"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with a weighted-average of 34% at March 31, 2023.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March 31, 2023 was 57%. As these recovery rates are not readily observable by market participants, such valuation adjustments have been classified as Level 3. Loans subject to nonrecurring fair value measurement were $670 million at March 31, 2023 ($374 million and $296 million of which were classified as Level 2 and Level 3, respectively), $853 million at December 31, 2022 ($329 million and $524 million of which were classified as Level 2 and Level 3, respectively) and $392 million at March 31, 2022 ($260 million and $132 million of which were classified as Level 2 and Level 3, respectively). Changes in fair value recognized for partial charge-offs of loans and loan impairment reserves on loans held by the Company on March 31, 2023 and 2022 were decreases of $69 million and $46 million for the three-month periods ended March 31, 2023 and 2022, respectively.</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31" w:lineRule="exact"/>
        <w:rPr>
          <w:sz w:val="20"/>
          <w:szCs w:val="20"/>
          <w:color w:val="auto"/>
        </w:rPr>
      </w:pPr>
    </w:p>
    <w:p>
      <w:pPr>
        <w:ind w:left="20" w:right="80"/>
        <w:spacing w:after="0" w:line="252"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into foreclosure of defaulted loans subject to nonrecurring fair value measurement were not material at March 31, 2023 and 2022. Changes in fair value recognized for foreclosed assets held by the Company were not material during the three-month periods ended March 31, 2023 and 2022.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40" w:top="562" w:right="640" w:bottom="1440" w:gutter="0" w:footer="0" w:header="0"/>
        </w:sectPr>
      </w:pPr>
    </w:p>
    <w:bookmarkStart w:id="37" w:name="page38"/>
    <w:bookmarkEnd w:id="37"/>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31" w:lineRule="exact"/>
        <w:rPr>
          <w:sz w:val="20"/>
          <w:szCs w:val="20"/>
          <w:color w:val="auto"/>
        </w:rPr>
      </w:pPr>
    </w:p>
    <w:p>
      <w:pPr>
        <w:ind w:left="20"/>
        <w:spacing w:after="0" w:line="251" w:lineRule="auto"/>
        <w:rPr>
          <w:sz w:val="20"/>
          <w:szCs w:val="20"/>
          <w:color w:val="auto"/>
        </w:rPr>
      </w:pPr>
      <w:r>
        <w:rPr>
          <w:rFonts w:ascii="Arial" w:cs="Arial" w:eastAsia="Arial" w:hAnsi="Arial"/>
          <w:sz w:val="18"/>
          <w:szCs w:val="18"/>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$133 million required a valuation allowance of $21 million at March 31, 2022. Significant unobservable inputs used in this Level 3 valuation included a weighted - average prepayment speed of 12.42% and a weighted- average option-adjusted spread of 900 basis points at March 31, 2022. There were no valuation allowances recorded at either March 31, 2023 or December 31, 2022. A reduction of the valuation allowance of $3 million was recognized in the three-month period ended March 31, 2022.</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31" w:lineRule="exact"/>
        <w:rPr>
          <w:sz w:val="20"/>
          <w:szCs w:val="20"/>
          <w:color w:val="auto"/>
        </w:rPr>
      </w:pPr>
    </w:p>
    <w:p>
      <w:pPr>
        <w:ind w:left="20" w:right="220"/>
        <w:spacing w:after="0" w:line="262" w:lineRule="auto"/>
        <w:rPr>
          <w:sz w:val="20"/>
          <w:szCs w:val="20"/>
          <w:color w:val="auto"/>
        </w:rPr>
      </w:pPr>
      <w:r>
        <w:rPr>
          <w:rFonts w:ascii="Arial" w:cs="Arial" w:eastAsia="Arial" w:hAnsi="Arial"/>
          <w:sz w:val="18"/>
          <w:szCs w:val="18"/>
          <w:color w:val="auto"/>
        </w:rPr>
        <w:t>The following table presents quantitative information about significant unobservable inputs used in the fair value measurements for certain Level 3 assets and liabilities at March 31, 2023 and December 31, 2022:</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Range</w:t>
            </w:r>
          </w:p>
        </w:tc>
      </w:tr>
      <w:tr>
        <w:trPr>
          <w:trHeight w:val="156"/>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Valuation</w:t>
            </w:r>
          </w:p>
        </w:tc>
        <w:tc>
          <w:tcPr>
            <w:tcW w:w="1920" w:type="dxa"/>
            <w:vAlign w:val="bottom"/>
          </w:tcPr>
          <w:p>
            <w:pPr>
              <w:jc w:val="center"/>
              <w:ind w:right="86"/>
              <w:spacing w:after="0"/>
              <w:rPr>
                <w:sz w:val="20"/>
                <w:szCs w:val="20"/>
                <w:color w:val="auto"/>
              </w:rPr>
            </w:pPr>
            <w:r>
              <w:rPr>
                <w:rFonts w:ascii="Arial" w:cs="Arial" w:eastAsia="Arial" w:hAnsi="Arial"/>
                <w:sz w:val="13"/>
                <w:szCs w:val="13"/>
                <w:b w:val="1"/>
                <w:bCs w:val="1"/>
                <w:color w:val="auto"/>
              </w:rPr>
              <w:t>Unobservable</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(Weighted-</w:t>
            </w:r>
          </w:p>
        </w:tc>
      </w:tr>
      <w:tr>
        <w:trPr>
          <w:trHeight w:val="183"/>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jc w:val="right"/>
              <w:ind w:right="488"/>
              <w:spacing w:after="0"/>
              <w:rPr>
                <w:sz w:val="20"/>
                <w:szCs w:val="20"/>
                <w:color w:val="auto"/>
              </w:rPr>
            </w:pPr>
            <w:r>
              <w:rPr>
                <w:rFonts w:ascii="Arial" w:cs="Arial" w:eastAsia="Arial" w:hAnsi="Arial"/>
                <w:sz w:val="13"/>
                <w:szCs w:val="13"/>
                <w:b w:val="1"/>
                <w:bCs w:val="1"/>
                <w:color w:val="auto"/>
              </w:rPr>
              <w:t>Fair Value</w:t>
            </w: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Technique</w:t>
            </w:r>
          </w:p>
        </w:tc>
        <w:tc>
          <w:tcPr>
            <w:tcW w:w="1920" w:type="dxa"/>
            <w:vAlign w:val="bottom"/>
          </w:tcPr>
          <w:p>
            <w:pPr>
              <w:jc w:val="center"/>
              <w:ind w:right="66"/>
              <w:spacing w:after="0"/>
              <w:rPr>
                <w:sz w:val="20"/>
                <w:szCs w:val="20"/>
                <w:color w:val="auto"/>
              </w:rPr>
            </w:pPr>
            <w:r>
              <w:rPr>
                <w:rFonts w:ascii="Arial" w:cs="Arial" w:eastAsia="Arial" w:hAnsi="Arial"/>
                <w:sz w:val="13"/>
                <w:szCs w:val="13"/>
                <w:b w:val="1"/>
                <w:bCs w:val="1"/>
                <w:color w:val="auto"/>
              </w:rPr>
              <w:t>Inputs / Assumptions</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Average)</w:t>
            </w:r>
          </w:p>
        </w:tc>
      </w:tr>
      <w:tr>
        <w:trPr>
          <w:trHeight w:val="204"/>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348"/>
              <w:spacing w:after="0"/>
              <w:rPr>
                <w:sz w:val="20"/>
                <w:szCs w:val="20"/>
                <w:color w:val="auto"/>
              </w:rPr>
            </w:pPr>
            <w:r>
              <w:rPr>
                <w:rFonts w:ascii="Arial" w:cs="Arial" w:eastAsia="Arial" w:hAnsi="Arial"/>
                <w:sz w:val="13"/>
                <w:szCs w:val="13"/>
                <w:b w:val="1"/>
                <w:bCs w:val="1"/>
                <w:color w:val="auto"/>
              </w:rPr>
              <w:t>(In thousands)</w:t>
            </w:r>
          </w:p>
        </w:tc>
        <w:tc>
          <w:tcPr>
            <w:tcW w:w="1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4"/>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March 31, 2023</w:t>
            </w:r>
          </w:p>
        </w:tc>
        <w:tc>
          <w:tcPr>
            <w:tcW w:w="6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176"/>
        </w:trPr>
        <w:tc>
          <w:tcPr>
            <w:tcW w:w="2960" w:type="dxa"/>
            <w:vAlign w:val="bottom"/>
            <w:gridSpan w:val="3"/>
          </w:tcPr>
          <w:p>
            <w:pPr>
              <w:ind w:left="20"/>
              <w:spacing w:after="0" w:line="168" w:lineRule="exact"/>
              <w:rPr>
                <w:sz w:val="20"/>
                <w:szCs w:val="20"/>
                <w:color w:val="auto"/>
              </w:rPr>
            </w:pPr>
            <w:r>
              <w:rPr>
                <w:rFonts w:ascii="Arial" w:cs="Arial" w:eastAsia="Arial" w:hAnsi="Arial"/>
                <w:sz w:val="16"/>
                <w:szCs w:val="16"/>
                <w:color w:val="auto"/>
              </w:rPr>
              <w:t>Recurring fair value measurements</w:t>
            </w: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93"/>
        </w:trPr>
        <w:tc>
          <w:tcPr>
            <w:tcW w:w="20" w:type="dxa"/>
            <w:vAlign w:val="bottom"/>
            <w:shd w:val="clear" w:color="auto" w:fill="CFF0FC"/>
          </w:tcPr>
          <w:p>
            <w:pPr>
              <w:spacing w:after="0"/>
              <w:rPr>
                <w:sz w:val="16"/>
                <w:szCs w:val="16"/>
                <w:color w:val="auto"/>
              </w:rPr>
            </w:pPr>
          </w:p>
        </w:tc>
        <w:tc>
          <w:tcPr>
            <w:tcW w:w="2420" w:type="dxa"/>
            <w:vAlign w:val="bottom"/>
            <w:tcBorders>
              <w:top w:val="single" w:sz="8" w:color="auto"/>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920" w:type="dxa"/>
            <w:vAlign w:val="bottom"/>
            <w:shd w:val="clear" w:color="auto" w:fill="CFF0FC"/>
          </w:tcPr>
          <w:p>
            <w:pPr>
              <w:jc w:val="center"/>
              <w:ind w:right="86"/>
              <w:spacing w:after="0"/>
              <w:rPr>
                <w:sz w:val="20"/>
                <w:szCs w:val="20"/>
                <w:color w:val="auto"/>
              </w:rPr>
            </w:pPr>
            <w:r>
              <w:rPr>
                <w:rFonts w:ascii="Arial" w:cs="Arial" w:eastAsia="Arial" w:hAnsi="Arial"/>
                <w:sz w:val="16"/>
                <w:szCs w:val="16"/>
                <w:color w:val="auto"/>
                <w:w w:val="96"/>
              </w:rPr>
              <w:t>Commitment</w:t>
            </w:r>
          </w:p>
        </w:tc>
        <w:tc>
          <w:tcPr>
            <w:tcW w:w="1800" w:type="dxa"/>
            <w:vAlign w:val="bottom"/>
            <w:shd w:val="clear" w:color="auto" w:fill="CFF0FC"/>
          </w:tcPr>
          <w:p>
            <w:pPr>
              <w:spacing w:after="0"/>
              <w:rPr>
                <w:sz w:val="16"/>
                <w:szCs w:val="16"/>
                <w:color w:val="auto"/>
              </w:rPr>
            </w:pPr>
          </w:p>
        </w:tc>
      </w:tr>
      <w:tr>
        <w:trPr>
          <w:trHeight w:val="199"/>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other assets (liabilities) (a)</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(28,141 )</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Discounted cash flow</w:t>
            </w:r>
          </w:p>
        </w:tc>
        <w:tc>
          <w:tcPr>
            <w:tcW w:w="1920" w:type="dxa"/>
            <w:vAlign w:val="bottom"/>
            <w:shd w:val="clear" w:color="auto" w:fill="CFF0FC"/>
          </w:tcPr>
          <w:p>
            <w:pPr>
              <w:jc w:val="center"/>
              <w:ind w:right="86"/>
              <w:spacing w:after="0"/>
              <w:rPr>
                <w:sz w:val="20"/>
                <w:szCs w:val="20"/>
                <w:color w:val="auto"/>
              </w:rPr>
            </w:pPr>
            <w:r>
              <w:rPr>
                <w:rFonts w:ascii="Arial" w:cs="Arial" w:eastAsia="Arial" w:hAnsi="Arial"/>
                <w:sz w:val="16"/>
                <w:szCs w:val="16"/>
                <w:color w:val="auto"/>
                <w:w w:val="98"/>
              </w:rPr>
              <w:t>expirations</w:t>
            </w:r>
          </w:p>
        </w:tc>
        <w:tc>
          <w:tcPr>
            <w:tcW w:w="18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0% - 95% (7%)</w:t>
            </w:r>
          </w:p>
        </w:tc>
      </w:tr>
      <w:tr>
        <w:trPr>
          <w:trHeight w:val="204"/>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4"/>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December 31, 2022</w:t>
            </w:r>
          </w:p>
        </w:tc>
        <w:tc>
          <w:tcPr>
            <w:tcW w:w="6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176"/>
        </w:trPr>
        <w:tc>
          <w:tcPr>
            <w:tcW w:w="2960" w:type="dxa"/>
            <w:vAlign w:val="bottom"/>
            <w:gridSpan w:val="3"/>
          </w:tcPr>
          <w:p>
            <w:pPr>
              <w:ind w:left="20"/>
              <w:spacing w:after="0" w:line="168" w:lineRule="exact"/>
              <w:rPr>
                <w:sz w:val="20"/>
                <w:szCs w:val="20"/>
                <w:color w:val="auto"/>
              </w:rPr>
            </w:pPr>
            <w:r>
              <w:rPr>
                <w:rFonts w:ascii="Arial" w:cs="Arial" w:eastAsia="Arial" w:hAnsi="Arial"/>
                <w:sz w:val="16"/>
                <w:szCs w:val="16"/>
                <w:color w:val="auto"/>
              </w:rPr>
              <w:t>Recurring fair value measurements</w:t>
            </w: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93"/>
        </w:trPr>
        <w:tc>
          <w:tcPr>
            <w:tcW w:w="20" w:type="dxa"/>
            <w:vAlign w:val="bottom"/>
            <w:shd w:val="clear" w:color="auto" w:fill="CFF0FC"/>
          </w:tcPr>
          <w:p>
            <w:pPr>
              <w:spacing w:after="0"/>
              <w:rPr>
                <w:sz w:val="16"/>
                <w:szCs w:val="16"/>
                <w:color w:val="auto"/>
              </w:rPr>
            </w:pPr>
          </w:p>
        </w:tc>
        <w:tc>
          <w:tcPr>
            <w:tcW w:w="2420" w:type="dxa"/>
            <w:vAlign w:val="bottom"/>
            <w:tcBorders>
              <w:top w:val="single" w:sz="8" w:color="auto"/>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920" w:type="dxa"/>
            <w:vAlign w:val="bottom"/>
            <w:shd w:val="clear" w:color="auto" w:fill="CFF0FC"/>
          </w:tcPr>
          <w:p>
            <w:pPr>
              <w:jc w:val="center"/>
              <w:ind w:right="86"/>
              <w:spacing w:after="0"/>
              <w:rPr>
                <w:sz w:val="20"/>
                <w:szCs w:val="20"/>
                <w:color w:val="auto"/>
              </w:rPr>
            </w:pPr>
            <w:r>
              <w:rPr>
                <w:rFonts w:ascii="Arial" w:cs="Arial" w:eastAsia="Arial" w:hAnsi="Arial"/>
                <w:sz w:val="16"/>
                <w:szCs w:val="16"/>
                <w:color w:val="auto"/>
                <w:w w:val="96"/>
              </w:rPr>
              <w:t>Commitment</w:t>
            </w:r>
          </w:p>
        </w:tc>
        <w:tc>
          <w:tcPr>
            <w:tcW w:w="1800" w:type="dxa"/>
            <w:vAlign w:val="bottom"/>
            <w:shd w:val="clear" w:color="auto" w:fill="CFF0FC"/>
          </w:tcPr>
          <w:p>
            <w:pPr>
              <w:spacing w:after="0"/>
              <w:rPr>
                <w:sz w:val="16"/>
                <w:szCs w:val="16"/>
                <w:color w:val="auto"/>
              </w:rPr>
            </w:pPr>
          </w:p>
        </w:tc>
      </w:tr>
      <w:tr>
        <w:trPr>
          <w:trHeight w:val="199"/>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other assets (liabilities) (a)</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(45,573 )</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Discounted cash flow</w:t>
            </w:r>
          </w:p>
        </w:tc>
        <w:tc>
          <w:tcPr>
            <w:tcW w:w="1920" w:type="dxa"/>
            <w:vAlign w:val="bottom"/>
            <w:shd w:val="clear" w:color="auto" w:fill="CFF0FC"/>
          </w:tcPr>
          <w:p>
            <w:pPr>
              <w:jc w:val="center"/>
              <w:ind w:right="86"/>
              <w:spacing w:after="0"/>
              <w:rPr>
                <w:sz w:val="20"/>
                <w:szCs w:val="20"/>
                <w:color w:val="auto"/>
              </w:rPr>
            </w:pPr>
            <w:r>
              <w:rPr>
                <w:rFonts w:ascii="Arial" w:cs="Arial" w:eastAsia="Arial" w:hAnsi="Arial"/>
                <w:sz w:val="16"/>
                <w:szCs w:val="16"/>
                <w:color w:val="auto"/>
                <w:w w:val="98"/>
              </w:rPr>
              <w:t>expirations</w:t>
            </w:r>
          </w:p>
        </w:tc>
        <w:tc>
          <w:tcPr>
            <w:tcW w:w="18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0% - 97% (3%)</w:t>
            </w:r>
          </w:p>
        </w:tc>
      </w:tr>
    </w:tbl>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Other Level 3 assets (liabilities) consist of commitments to originate real estate loans.</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31" w:lineRule="exact"/>
        <w:rPr>
          <w:sz w:val="20"/>
          <w:szCs w:val="20"/>
          <w:color w:val="auto"/>
        </w:rPr>
      </w:pPr>
    </w:p>
    <w:p>
      <w:pPr>
        <w:jc w:val="both"/>
        <w:ind w:left="60" w:right="40"/>
        <w:spacing w:after="0" w:line="256" w:lineRule="auto"/>
        <w:rPr>
          <w:sz w:val="20"/>
          <w:szCs w:val="20"/>
          <w:color w:val="auto"/>
        </w:rPr>
      </w:pPr>
      <w:r>
        <w:rPr>
          <w:rFonts w:ascii="Arial" w:cs="Arial" w:eastAsia="Arial" w:hAnsi="Arial"/>
          <w:sz w:val="18"/>
          <w:szCs w:val="18"/>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562" w:right="660" w:bottom="1440" w:gutter="0" w:footer="0" w:header="0"/>
        </w:sectPr>
      </w:pPr>
    </w:p>
    <w:bookmarkStart w:id="38" w:name="page39"/>
    <w:bookmarkEnd w:id="38"/>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vMerge w:val="restart"/>
          </w:tcPr>
          <w:p>
            <w:pPr>
              <w:jc w:val="right"/>
              <w:ind w:right="523"/>
              <w:spacing w:after="0"/>
              <w:rPr>
                <w:sz w:val="20"/>
                <w:szCs w:val="20"/>
                <w:color w:val="auto"/>
              </w:rPr>
            </w:pPr>
            <w:r>
              <w:rPr>
                <w:rFonts w:ascii="Arial" w:cs="Arial" w:eastAsia="Arial" w:hAnsi="Arial"/>
                <w:sz w:val="13"/>
                <w:szCs w:val="13"/>
                <w:b w:val="1"/>
                <w:bCs w:val="1"/>
                <w:color w:val="auto"/>
              </w:rPr>
              <w:t>Carrying</w:t>
            </w:r>
          </w:p>
        </w:tc>
        <w:tc>
          <w:tcPr>
            <w:tcW w:w="1160" w:type="dxa"/>
            <w:vAlign w:val="bottom"/>
            <w:vMerge w:val="restart"/>
          </w:tcPr>
          <w:p>
            <w:pPr>
              <w:jc w:val="right"/>
              <w:ind w:right="323"/>
              <w:spacing w:after="0"/>
              <w:rPr>
                <w:sz w:val="20"/>
                <w:szCs w:val="20"/>
                <w:color w:val="auto"/>
              </w:rPr>
            </w:pPr>
            <w:r>
              <w:rPr>
                <w:rFonts w:ascii="Arial" w:cs="Arial" w:eastAsia="Arial" w:hAnsi="Arial"/>
                <w:sz w:val="13"/>
                <w:szCs w:val="13"/>
                <w:b w:val="1"/>
                <w:bCs w:val="1"/>
                <w:color w:val="auto"/>
              </w:rPr>
              <w:t>Estimated</w:t>
            </w:r>
          </w:p>
        </w:tc>
        <w:tc>
          <w:tcPr>
            <w:tcW w:w="1380" w:type="dxa"/>
            <w:vAlign w:val="bottom"/>
          </w:tcPr>
          <w:p>
            <w:pPr>
              <w:jc w:val="right"/>
              <w:ind w:right="263"/>
              <w:spacing w:after="0"/>
              <w:rPr>
                <w:sz w:val="20"/>
                <w:szCs w:val="20"/>
                <w:color w:val="auto"/>
              </w:rPr>
            </w:pPr>
            <w:r>
              <w:rPr>
                <w:rFonts w:ascii="Arial" w:cs="Arial" w:eastAsia="Arial" w:hAnsi="Arial"/>
                <w:sz w:val="13"/>
                <w:szCs w:val="13"/>
                <w:b w:val="1"/>
                <w:bCs w:val="1"/>
                <w:color w:val="auto"/>
              </w:rPr>
              <w:t>March 31, 2023</w:t>
            </w: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right"/>
              <w:ind w:right="563"/>
              <w:spacing w:after="0"/>
              <w:rPr>
                <w:sz w:val="20"/>
                <w:szCs w:val="20"/>
                <w:color w:val="auto"/>
              </w:rPr>
            </w:pPr>
            <w:r>
              <w:rPr>
                <w:rFonts w:ascii="Arial" w:cs="Arial" w:eastAsia="Arial" w:hAnsi="Arial"/>
                <w:sz w:val="13"/>
                <w:szCs w:val="13"/>
                <w:b w:val="1"/>
                <w:bCs w:val="1"/>
                <w:color w:val="auto"/>
              </w:rPr>
              <w:t>Amount</w:t>
            </w:r>
          </w:p>
        </w:tc>
        <w:tc>
          <w:tcPr>
            <w:tcW w:w="1160" w:type="dxa"/>
            <w:vAlign w:val="bottom"/>
          </w:tcPr>
          <w:p>
            <w:pPr>
              <w:jc w:val="right"/>
              <w:ind w:right="303"/>
              <w:spacing w:after="0"/>
              <w:rPr>
                <w:sz w:val="20"/>
                <w:szCs w:val="20"/>
                <w:color w:val="auto"/>
              </w:rPr>
            </w:pPr>
            <w:r>
              <w:rPr>
                <w:rFonts w:ascii="Arial" w:cs="Arial" w:eastAsia="Arial" w:hAnsi="Arial"/>
                <w:sz w:val="13"/>
                <w:szCs w:val="13"/>
                <w:b w:val="1"/>
                <w:bCs w:val="1"/>
                <w:color w:val="auto"/>
              </w:rPr>
              <w:t>Fair Value</w:t>
            </w:r>
          </w:p>
        </w:tc>
        <w:tc>
          <w:tcPr>
            <w:tcW w:w="1380" w:type="dxa"/>
            <w:vAlign w:val="bottom"/>
          </w:tcPr>
          <w:p>
            <w:pPr>
              <w:jc w:val="right"/>
              <w:ind w:right="463"/>
              <w:spacing w:after="0"/>
              <w:rPr>
                <w:sz w:val="20"/>
                <w:szCs w:val="20"/>
                <w:color w:val="auto"/>
              </w:rPr>
            </w:pPr>
            <w:r>
              <w:rPr>
                <w:rFonts w:ascii="Arial" w:cs="Arial" w:eastAsia="Arial" w:hAnsi="Arial"/>
                <w:sz w:val="13"/>
                <w:szCs w:val="13"/>
                <w:b w:val="1"/>
                <w:bCs w:val="1"/>
                <w:color w:val="auto"/>
              </w:rPr>
              <w:t>Level 1</w:t>
            </w:r>
          </w:p>
        </w:tc>
        <w:tc>
          <w:tcPr>
            <w:tcW w:w="1320" w:type="dxa"/>
            <w:vAlign w:val="bottom"/>
          </w:tcPr>
          <w:p>
            <w:pPr>
              <w:jc w:val="right"/>
              <w:ind w:right="462"/>
              <w:spacing w:after="0"/>
              <w:rPr>
                <w:sz w:val="20"/>
                <w:szCs w:val="20"/>
                <w:color w:val="auto"/>
              </w:rPr>
            </w:pPr>
            <w:r>
              <w:rPr>
                <w:rFonts w:ascii="Arial" w:cs="Arial" w:eastAsia="Arial" w:hAnsi="Arial"/>
                <w:sz w:val="13"/>
                <w:szCs w:val="13"/>
                <w:b w:val="1"/>
                <w:bCs w:val="1"/>
                <w:color w:val="auto"/>
              </w:rPr>
              <w:t>Level 2</w:t>
            </w:r>
          </w:p>
        </w:tc>
        <w:tc>
          <w:tcPr>
            <w:tcW w:w="1120" w:type="dxa"/>
            <w:vAlign w:val="bottom"/>
          </w:tcPr>
          <w:p>
            <w:pPr>
              <w:jc w:val="right"/>
              <w:ind w:right="323"/>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jc w:val="right"/>
              <w:ind w:right="283"/>
              <w:spacing w:after="0"/>
              <w:rPr>
                <w:sz w:val="20"/>
                <w:szCs w:val="20"/>
                <w:color w:val="auto"/>
              </w:rPr>
            </w:pPr>
            <w:r>
              <w:rPr>
                <w:rFonts w:ascii="Arial" w:cs="Arial" w:eastAsia="Arial" w:hAnsi="Arial"/>
                <w:sz w:val="13"/>
                <w:szCs w:val="13"/>
                <w:b w:val="1"/>
                <w:bCs w:val="1"/>
                <w:color w:val="auto"/>
              </w:rPr>
              <w:t>(In thousands)</w:t>
            </w: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assets: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3"/>
              <w:spacing w:after="0"/>
              <w:rPr>
                <w:sz w:val="20"/>
                <w:szCs w:val="20"/>
                <w:color w:val="auto"/>
              </w:rPr>
            </w:pPr>
            <w:r>
              <w:rPr>
                <w:rFonts w:ascii="Arial" w:cs="Arial" w:eastAsia="Arial" w:hAnsi="Arial"/>
                <w:sz w:val="16"/>
                <w:szCs w:val="16"/>
                <w:color w:val="auto"/>
              </w:rPr>
              <w:t>1,817,740</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1,817,740</w:t>
            </w:r>
          </w:p>
        </w:tc>
        <w:tc>
          <w:tcPr>
            <w:tcW w:w="1380" w:type="dxa"/>
            <w:vAlign w:val="bottom"/>
          </w:tcPr>
          <w:p>
            <w:pPr>
              <w:jc w:val="right"/>
              <w:ind w:right="163"/>
              <w:spacing w:after="0"/>
              <w:rPr>
                <w:sz w:val="20"/>
                <w:szCs w:val="20"/>
                <w:color w:val="auto"/>
              </w:rPr>
            </w:pPr>
            <w:r>
              <w:rPr>
                <w:rFonts w:ascii="Arial" w:cs="Arial" w:eastAsia="Arial" w:hAnsi="Arial"/>
                <w:sz w:val="16"/>
                <w:szCs w:val="16"/>
                <w:color w:val="auto"/>
              </w:rPr>
              <w:t>1,742,645</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75,095</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Interest-bearing deposits at banks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43"/>
              <w:spacing w:after="0"/>
              <w:rPr>
                <w:sz w:val="20"/>
                <w:szCs w:val="20"/>
                <w:color w:val="auto"/>
              </w:rPr>
            </w:pPr>
            <w:r>
              <w:rPr>
                <w:rFonts w:ascii="Arial" w:cs="Arial" w:eastAsia="Arial" w:hAnsi="Arial"/>
                <w:sz w:val="16"/>
                <w:szCs w:val="16"/>
                <w:color w:val="auto"/>
              </w:rPr>
              <w:t>22,306,425</w:t>
            </w:r>
          </w:p>
        </w:tc>
        <w:tc>
          <w:tcPr>
            <w:tcW w:w="11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22,306,425</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22,306,425</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rPr>
                <w:sz w:val="20"/>
                <w:szCs w:val="20"/>
                <w:color w:val="auto"/>
              </w:rPr>
            </w:pPr>
            <w:r>
              <w:rPr>
                <w:rFonts w:ascii="Arial" w:cs="Arial" w:eastAsia="Arial" w:hAnsi="Arial"/>
                <w:sz w:val="16"/>
                <w:szCs w:val="16"/>
                <w:color w:val="auto"/>
              </w:rPr>
              <w:t>Trading account</w:t>
            </w:r>
          </w:p>
        </w:tc>
        <w:tc>
          <w:tcPr>
            <w:tcW w:w="800" w:type="dxa"/>
            <w:vAlign w:val="bottom"/>
          </w:tcPr>
          <w:p>
            <w:pPr>
              <w:spacing w:after="0"/>
              <w:rPr>
                <w:sz w:val="17"/>
                <w:szCs w:val="17"/>
                <w:color w:val="auto"/>
              </w:rPr>
            </w:pPr>
          </w:p>
        </w:tc>
        <w:tc>
          <w:tcPr>
            <w:tcW w:w="1260" w:type="dxa"/>
            <w:vAlign w:val="bottom"/>
          </w:tcPr>
          <w:p>
            <w:pPr>
              <w:jc w:val="right"/>
              <w:ind w:right="243"/>
              <w:spacing w:after="0"/>
              <w:rPr>
                <w:sz w:val="20"/>
                <w:szCs w:val="20"/>
                <w:color w:val="auto"/>
              </w:rPr>
            </w:pPr>
            <w:r>
              <w:rPr>
                <w:rFonts w:ascii="Arial" w:cs="Arial" w:eastAsia="Arial" w:hAnsi="Arial"/>
                <w:sz w:val="16"/>
                <w:szCs w:val="16"/>
                <w:color w:val="auto"/>
              </w:rPr>
              <w:t>165,216</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165,216</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113,646</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51,570</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43"/>
              <w:spacing w:after="0"/>
              <w:rPr>
                <w:sz w:val="20"/>
                <w:szCs w:val="20"/>
                <w:color w:val="auto"/>
              </w:rPr>
            </w:pPr>
            <w:r>
              <w:rPr>
                <w:rFonts w:ascii="Arial" w:cs="Arial" w:eastAsia="Arial" w:hAnsi="Arial"/>
                <w:sz w:val="16"/>
                <w:szCs w:val="16"/>
                <w:color w:val="auto"/>
              </w:rPr>
              <w:t>28,443,209</w:t>
            </w:r>
          </w:p>
        </w:tc>
        <w:tc>
          <w:tcPr>
            <w:tcW w:w="11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27,446,099</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289,788</w:t>
            </w: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27,105,863</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50,448</w:t>
            </w: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rPr>
                <w:sz w:val="20"/>
                <w:szCs w:val="20"/>
                <w:color w:val="auto"/>
              </w:rPr>
            </w:pPr>
            <w:r>
              <w:rPr>
                <w:rFonts w:ascii="Arial" w:cs="Arial" w:eastAsia="Arial" w:hAnsi="Arial"/>
                <w:sz w:val="16"/>
                <w:szCs w:val="16"/>
                <w:color w:val="auto"/>
              </w:rPr>
              <w:t>Loans and leases:</w:t>
            </w: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 loans and leases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43"/>
              <w:spacing w:after="0"/>
              <w:rPr>
                <w:sz w:val="20"/>
                <w:szCs w:val="20"/>
                <w:color w:val="auto"/>
              </w:rPr>
            </w:pPr>
            <w:r>
              <w:rPr>
                <w:rFonts w:ascii="Arial" w:cs="Arial" w:eastAsia="Arial" w:hAnsi="Arial"/>
                <w:sz w:val="16"/>
                <w:szCs w:val="16"/>
                <w:color w:val="auto"/>
              </w:rPr>
              <w:t>43,758,361</w:t>
            </w:r>
          </w:p>
        </w:tc>
        <w:tc>
          <w:tcPr>
            <w:tcW w:w="11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42,992,625</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42,992,625</w:t>
            </w:r>
          </w:p>
        </w:tc>
        <w:tc>
          <w:tcPr>
            <w:tcW w:w="0" w:type="dxa"/>
            <w:vAlign w:val="bottom"/>
          </w:tcPr>
          <w:p>
            <w:pPr>
              <w:spacing w:after="0"/>
              <w:rPr>
                <w:sz w:val="1"/>
                <w:szCs w:val="1"/>
                <w:color w:val="auto"/>
              </w:rPr>
            </w:pPr>
          </w:p>
        </w:tc>
      </w:tr>
      <w:tr>
        <w:trPr>
          <w:trHeight w:val="203"/>
        </w:trPr>
        <w:tc>
          <w:tcPr>
            <w:tcW w:w="3520" w:type="dxa"/>
            <w:vAlign w:val="bottom"/>
          </w:tcPr>
          <w:p>
            <w:pPr>
              <w:ind w:left="340"/>
              <w:spacing w:after="0"/>
              <w:rPr>
                <w:sz w:val="20"/>
                <w:szCs w:val="20"/>
                <w:color w:val="auto"/>
              </w:rPr>
            </w:pPr>
            <w:r>
              <w:rPr>
                <w:rFonts w:ascii="Arial" w:cs="Arial" w:eastAsia="Arial" w:hAnsi="Arial"/>
                <w:sz w:val="16"/>
                <w:szCs w:val="16"/>
                <w:color w:val="auto"/>
              </w:rPr>
              <w:t>Commercial real estate loans</w:t>
            </w:r>
          </w:p>
        </w:tc>
        <w:tc>
          <w:tcPr>
            <w:tcW w:w="800" w:type="dxa"/>
            <w:vAlign w:val="bottom"/>
          </w:tcPr>
          <w:p>
            <w:pPr>
              <w:spacing w:after="0"/>
              <w:rPr>
                <w:sz w:val="17"/>
                <w:szCs w:val="17"/>
                <w:color w:val="auto"/>
              </w:rPr>
            </w:pPr>
          </w:p>
        </w:tc>
        <w:tc>
          <w:tcPr>
            <w:tcW w:w="1260" w:type="dxa"/>
            <w:vAlign w:val="bottom"/>
          </w:tcPr>
          <w:p>
            <w:pPr>
              <w:jc w:val="right"/>
              <w:ind w:right="243"/>
              <w:spacing w:after="0"/>
              <w:rPr>
                <w:sz w:val="20"/>
                <w:szCs w:val="20"/>
                <w:color w:val="auto"/>
              </w:rPr>
            </w:pPr>
            <w:r>
              <w:rPr>
                <w:rFonts w:ascii="Arial" w:cs="Arial" w:eastAsia="Arial" w:hAnsi="Arial"/>
                <w:sz w:val="16"/>
                <w:szCs w:val="16"/>
                <w:color w:val="auto"/>
              </w:rPr>
              <w:t>45,072,541</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42,870,814</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321,473</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42,549,341</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 real estate loans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43"/>
              <w:spacing w:after="0"/>
              <w:rPr>
                <w:sz w:val="20"/>
                <w:szCs w:val="20"/>
                <w:color w:val="auto"/>
              </w:rPr>
            </w:pPr>
            <w:r>
              <w:rPr>
                <w:rFonts w:ascii="Arial" w:cs="Arial" w:eastAsia="Arial" w:hAnsi="Arial"/>
                <w:sz w:val="16"/>
                <w:szCs w:val="16"/>
                <w:color w:val="auto"/>
              </w:rPr>
              <w:t>23,789,945</w:t>
            </w:r>
          </w:p>
        </w:tc>
        <w:tc>
          <w:tcPr>
            <w:tcW w:w="11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22,004,511</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7,169,803</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14,834,708</w:t>
            </w:r>
          </w:p>
        </w:tc>
        <w:tc>
          <w:tcPr>
            <w:tcW w:w="0" w:type="dxa"/>
            <w:vAlign w:val="bottom"/>
          </w:tcPr>
          <w:p>
            <w:pPr>
              <w:spacing w:after="0"/>
              <w:rPr>
                <w:sz w:val="1"/>
                <w:szCs w:val="1"/>
                <w:color w:val="auto"/>
              </w:rPr>
            </w:pPr>
          </w:p>
        </w:tc>
      </w:tr>
      <w:tr>
        <w:trPr>
          <w:trHeight w:val="203"/>
        </w:trPr>
        <w:tc>
          <w:tcPr>
            <w:tcW w:w="3520" w:type="dxa"/>
            <w:vAlign w:val="bottom"/>
          </w:tcPr>
          <w:p>
            <w:pPr>
              <w:ind w:left="340"/>
              <w:spacing w:after="0"/>
              <w:rPr>
                <w:sz w:val="20"/>
                <w:szCs w:val="20"/>
                <w:color w:val="auto"/>
              </w:rPr>
            </w:pPr>
            <w:r>
              <w:rPr>
                <w:rFonts w:ascii="Arial" w:cs="Arial" w:eastAsia="Arial" w:hAnsi="Arial"/>
                <w:sz w:val="16"/>
                <w:szCs w:val="16"/>
                <w:color w:val="auto"/>
              </w:rPr>
              <w:t>Consumer loans</w:t>
            </w:r>
          </w:p>
        </w:tc>
        <w:tc>
          <w:tcPr>
            <w:tcW w:w="800" w:type="dxa"/>
            <w:vAlign w:val="bottom"/>
          </w:tcPr>
          <w:p>
            <w:pPr>
              <w:spacing w:after="0"/>
              <w:rPr>
                <w:sz w:val="17"/>
                <w:szCs w:val="17"/>
                <w:color w:val="auto"/>
              </w:rPr>
            </w:pPr>
          </w:p>
        </w:tc>
        <w:tc>
          <w:tcPr>
            <w:tcW w:w="1260" w:type="dxa"/>
            <w:vAlign w:val="bottom"/>
          </w:tcPr>
          <w:p>
            <w:pPr>
              <w:jc w:val="right"/>
              <w:ind w:right="243"/>
              <w:spacing w:after="0"/>
              <w:rPr>
                <w:sz w:val="20"/>
                <w:szCs w:val="20"/>
                <w:color w:val="auto"/>
              </w:rPr>
            </w:pPr>
            <w:r>
              <w:rPr>
                <w:rFonts w:ascii="Arial" w:cs="Arial" w:eastAsia="Arial" w:hAnsi="Arial"/>
                <w:sz w:val="16"/>
                <w:szCs w:val="16"/>
                <w:color w:val="auto"/>
              </w:rPr>
              <w:t>20,316,845</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19,514,964</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19,514,964</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Allowance for credit losses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83"/>
              <w:spacing w:after="0"/>
              <w:rPr>
                <w:sz w:val="20"/>
                <w:szCs w:val="20"/>
                <w:color w:val="auto"/>
              </w:rPr>
            </w:pPr>
            <w:r>
              <w:rPr>
                <w:rFonts w:ascii="Arial" w:cs="Arial" w:eastAsia="Arial" w:hAnsi="Arial"/>
                <w:sz w:val="16"/>
                <w:szCs w:val="16"/>
                <w:color w:val="auto"/>
              </w:rPr>
              <w:t>(1,975,110 )</w:t>
            </w:r>
          </w:p>
        </w:tc>
        <w:tc>
          <w:tcPr>
            <w:tcW w:w="11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20" w:type="dxa"/>
            <w:vAlign w:val="bottom"/>
          </w:tcPr>
          <w:p>
            <w:pPr>
              <w:ind w:left="500"/>
              <w:spacing w:after="0"/>
              <w:rPr>
                <w:sz w:val="20"/>
                <w:szCs w:val="20"/>
                <w:color w:val="auto"/>
              </w:rPr>
            </w:pPr>
            <w:r>
              <w:rPr>
                <w:rFonts w:ascii="Arial" w:cs="Arial" w:eastAsia="Arial" w:hAnsi="Arial"/>
                <w:sz w:val="16"/>
                <w:szCs w:val="16"/>
                <w:color w:val="auto"/>
              </w:rPr>
              <w:t>Loans and leases, net</w:t>
            </w:r>
          </w:p>
        </w:tc>
        <w:tc>
          <w:tcPr>
            <w:tcW w:w="800" w:type="dxa"/>
            <w:vAlign w:val="bottom"/>
          </w:tcPr>
          <w:p>
            <w:pPr>
              <w:spacing w:after="0"/>
              <w:rPr>
                <w:sz w:val="17"/>
                <w:szCs w:val="17"/>
                <w:color w:val="auto"/>
              </w:rPr>
            </w:pPr>
          </w:p>
        </w:tc>
        <w:tc>
          <w:tcPr>
            <w:tcW w:w="1260" w:type="dxa"/>
            <w:vAlign w:val="bottom"/>
          </w:tcPr>
          <w:p>
            <w:pPr>
              <w:jc w:val="right"/>
              <w:ind w:right="243"/>
              <w:spacing w:after="0"/>
              <w:rPr>
                <w:sz w:val="20"/>
                <w:szCs w:val="20"/>
                <w:color w:val="auto"/>
              </w:rPr>
            </w:pPr>
            <w:r>
              <w:rPr>
                <w:rFonts w:ascii="Arial" w:cs="Arial" w:eastAsia="Arial" w:hAnsi="Arial"/>
                <w:sz w:val="16"/>
                <w:szCs w:val="16"/>
                <w:color w:val="auto"/>
              </w:rPr>
              <w:t>130,962,582</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127,382,914</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7,491,276</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119,891,638</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Accrued interest receivable</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43"/>
              <w:spacing w:after="0"/>
              <w:rPr>
                <w:sz w:val="20"/>
                <w:szCs w:val="20"/>
                <w:color w:val="auto"/>
              </w:rPr>
            </w:pPr>
            <w:r>
              <w:rPr>
                <w:rFonts w:ascii="Arial" w:cs="Arial" w:eastAsia="Arial" w:hAnsi="Arial"/>
                <w:sz w:val="16"/>
                <w:szCs w:val="16"/>
                <w:color w:val="auto"/>
              </w:rPr>
              <w:t>693,011</w:t>
            </w:r>
          </w:p>
        </w:tc>
        <w:tc>
          <w:tcPr>
            <w:tcW w:w="11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693,011</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693,011</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Arial" w:cs="Arial" w:eastAsia="Arial" w:hAnsi="Arial"/>
                <w:sz w:val="16"/>
                <w:szCs w:val="16"/>
                <w:color w:val="auto"/>
              </w:rPr>
              <w:t>Financial liabilities:</w:t>
            </w: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Noninterest-bearing deposits</w:t>
            </w:r>
          </w:p>
        </w:tc>
        <w:tc>
          <w:tcPr>
            <w:tcW w:w="8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83"/>
              <w:spacing w:after="0"/>
              <w:rPr>
                <w:sz w:val="20"/>
                <w:szCs w:val="20"/>
                <w:color w:val="auto"/>
              </w:rPr>
            </w:pPr>
            <w:r>
              <w:rPr>
                <w:rFonts w:ascii="Arial" w:cs="Arial" w:eastAsia="Arial" w:hAnsi="Arial"/>
                <w:sz w:val="16"/>
                <w:szCs w:val="16"/>
                <w:color w:val="auto"/>
              </w:rPr>
              <w:t>(59,955,033 )</w:t>
            </w:r>
          </w:p>
        </w:tc>
        <w:tc>
          <w:tcPr>
            <w:tcW w:w="11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(59,955,033 )</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(59,955,033 )</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rPr>
                <w:sz w:val="20"/>
                <w:szCs w:val="20"/>
                <w:color w:val="auto"/>
              </w:rPr>
            </w:pPr>
            <w:r>
              <w:rPr>
                <w:rFonts w:ascii="Arial" w:cs="Arial" w:eastAsia="Arial" w:hAnsi="Arial"/>
                <w:sz w:val="16"/>
                <w:szCs w:val="16"/>
                <w:color w:val="auto"/>
              </w:rPr>
              <w:t>Savings and interest-checking deposits</w:t>
            </w:r>
          </w:p>
        </w:tc>
        <w:tc>
          <w:tcPr>
            <w:tcW w:w="800" w:type="dxa"/>
            <w:vAlign w:val="bottom"/>
          </w:tcPr>
          <w:p>
            <w:pPr>
              <w:spacing w:after="0"/>
              <w:rPr>
                <w:sz w:val="17"/>
                <w:szCs w:val="17"/>
                <w:color w:val="auto"/>
              </w:rPr>
            </w:pPr>
          </w:p>
        </w:tc>
        <w:tc>
          <w:tcPr>
            <w:tcW w:w="1260" w:type="dxa"/>
            <w:vAlign w:val="bottom"/>
          </w:tcPr>
          <w:p>
            <w:pPr>
              <w:jc w:val="right"/>
              <w:ind w:right="183"/>
              <w:spacing w:after="0"/>
              <w:rPr>
                <w:sz w:val="20"/>
                <w:szCs w:val="20"/>
                <w:color w:val="auto"/>
              </w:rPr>
            </w:pPr>
            <w:r>
              <w:rPr>
                <w:rFonts w:ascii="Arial" w:cs="Arial" w:eastAsia="Arial" w:hAnsi="Arial"/>
                <w:sz w:val="16"/>
                <w:szCs w:val="16"/>
                <w:color w:val="auto"/>
              </w:rPr>
              <w:t>(86,282,685 )</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(86,282,685 )</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(86,282,685 )</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Time deposits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83"/>
              <w:spacing w:after="0"/>
              <w:rPr>
                <w:sz w:val="20"/>
                <w:szCs w:val="20"/>
                <w:color w:val="auto"/>
              </w:rPr>
            </w:pPr>
            <w:r>
              <w:rPr>
                <w:rFonts w:ascii="Arial" w:cs="Arial" w:eastAsia="Arial" w:hAnsi="Arial"/>
                <w:sz w:val="16"/>
                <w:szCs w:val="16"/>
                <w:color w:val="auto"/>
              </w:rPr>
              <w:t>(12,837,522 )</w:t>
            </w:r>
          </w:p>
        </w:tc>
        <w:tc>
          <w:tcPr>
            <w:tcW w:w="11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(12,808,615 )</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(12,808,615 )</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3520" w:type="dxa"/>
            <w:vAlign w:val="bottom"/>
          </w:tcPr>
          <w:p>
            <w:pPr>
              <w:ind w:left="180"/>
              <w:spacing w:after="0" w:line="156" w:lineRule="exact"/>
              <w:rPr>
                <w:sz w:val="20"/>
                <w:szCs w:val="20"/>
                <w:color w:val="auto"/>
              </w:rPr>
            </w:pPr>
            <w:r>
              <w:rPr>
                <w:rFonts w:ascii="Arial" w:cs="Arial" w:eastAsia="Arial" w:hAnsi="Arial"/>
                <w:sz w:val="16"/>
                <w:szCs w:val="16"/>
                <w:color w:val="auto"/>
              </w:rPr>
              <w:t>Short-term borrowings</w:t>
            </w:r>
          </w:p>
        </w:tc>
        <w:tc>
          <w:tcPr>
            <w:tcW w:w="800" w:type="dxa"/>
            <w:vAlign w:val="bottom"/>
          </w:tcPr>
          <w:p>
            <w:pPr>
              <w:spacing w:after="0"/>
              <w:rPr>
                <w:sz w:val="13"/>
                <w:szCs w:val="13"/>
                <w:color w:val="auto"/>
              </w:rPr>
            </w:pPr>
          </w:p>
        </w:tc>
        <w:tc>
          <w:tcPr>
            <w:tcW w:w="1260" w:type="dxa"/>
            <w:vAlign w:val="bottom"/>
          </w:tcPr>
          <w:p>
            <w:pPr>
              <w:jc w:val="right"/>
              <w:ind w:right="183"/>
              <w:spacing w:after="0" w:line="15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line="156"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43"/>
              <w:spacing w:after="0" w:line="156"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02"/>
              <w:spacing w:after="0" w:line="15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line="15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right"/>
              <w:ind w:right="263"/>
              <w:spacing w:after="0"/>
              <w:rPr>
                <w:sz w:val="20"/>
                <w:szCs w:val="20"/>
                <w:color w:val="auto"/>
              </w:rPr>
            </w:pPr>
            <w:r>
              <w:rPr>
                <w:rFonts w:ascii="Arial" w:cs="Arial" w:eastAsia="Arial" w:hAnsi="Arial"/>
                <w:sz w:val="16"/>
                <w:szCs w:val="16"/>
                <w:color w:val="auto"/>
              </w:rPr>
              <w:t>(6,995,302</w:t>
            </w: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(6,995,302</w:t>
            </w:r>
          </w:p>
        </w:tc>
        <w:tc>
          <w:tcPr>
            <w:tcW w:w="1380" w:type="dxa"/>
            <w:vAlign w:val="bottom"/>
          </w:tcPr>
          <w:p>
            <w:pPr>
              <w:spacing w:after="0"/>
              <w:rPr>
                <w:sz w:val="16"/>
                <w:szCs w:val="16"/>
                <w:color w:val="auto"/>
              </w:rPr>
            </w:pP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(6,995,302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Long-term borrowings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83"/>
              <w:spacing w:after="0"/>
              <w:rPr>
                <w:sz w:val="20"/>
                <w:szCs w:val="20"/>
                <w:color w:val="auto"/>
              </w:rPr>
            </w:pPr>
            <w:r>
              <w:rPr>
                <w:rFonts w:ascii="Arial" w:cs="Arial" w:eastAsia="Arial" w:hAnsi="Arial"/>
                <w:sz w:val="16"/>
                <w:szCs w:val="16"/>
                <w:color w:val="auto"/>
              </w:rPr>
              <w:t>(7,462,890 )</w:t>
            </w:r>
          </w:p>
        </w:tc>
        <w:tc>
          <w:tcPr>
            <w:tcW w:w="11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(7,070,243 )</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(7,070,243 )</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rPr>
                <w:sz w:val="20"/>
                <w:szCs w:val="20"/>
                <w:color w:val="auto"/>
              </w:rPr>
            </w:pPr>
            <w:r>
              <w:rPr>
                <w:rFonts w:ascii="Arial" w:cs="Arial" w:eastAsia="Arial" w:hAnsi="Arial"/>
                <w:sz w:val="16"/>
                <w:szCs w:val="16"/>
                <w:color w:val="auto"/>
              </w:rPr>
              <w:t>Accrued interest payable</w:t>
            </w:r>
          </w:p>
        </w:tc>
        <w:tc>
          <w:tcPr>
            <w:tcW w:w="800" w:type="dxa"/>
            <w:vAlign w:val="bottom"/>
          </w:tcPr>
          <w:p>
            <w:pPr>
              <w:spacing w:after="0"/>
              <w:rPr>
                <w:sz w:val="17"/>
                <w:szCs w:val="17"/>
                <w:color w:val="auto"/>
              </w:rPr>
            </w:pPr>
          </w:p>
        </w:tc>
        <w:tc>
          <w:tcPr>
            <w:tcW w:w="1260" w:type="dxa"/>
            <w:vAlign w:val="bottom"/>
          </w:tcPr>
          <w:p>
            <w:pPr>
              <w:jc w:val="right"/>
              <w:ind w:right="183"/>
              <w:spacing w:after="0"/>
              <w:rPr>
                <w:sz w:val="20"/>
                <w:szCs w:val="20"/>
                <w:color w:val="auto"/>
              </w:rPr>
            </w:pPr>
            <w:r>
              <w:rPr>
                <w:rFonts w:ascii="Arial" w:cs="Arial" w:eastAsia="Arial" w:hAnsi="Arial"/>
                <w:sz w:val="16"/>
                <w:szCs w:val="16"/>
                <w:color w:val="auto"/>
              </w:rPr>
              <w:t>(182,906 )</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(182,906 )</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(182,906 )</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financial instruments: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180"/>
              <w:spacing w:after="0"/>
              <w:rPr>
                <w:sz w:val="20"/>
                <w:szCs w:val="20"/>
                <w:color w:val="auto"/>
              </w:rPr>
            </w:pPr>
            <w:r>
              <w:rPr>
                <w:rFonts w:ascii="Arial" w:cs="Arial" w:eastAsia="Arial" w:hAnsi="Arial"/>
                <w:sz w:val="16"/>
                <w:szCs w:val="16"/>
                <w:color w:val="auto"/>
              </w:rPr>
              <w:t>Commitments to originate real estate</w:t>
            </w: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20" w:type="dxa"/>
            <w:vAlign w:val="bottom"/>
          </w:tcPr>
          <w:p>
            <w:pPr>
              <w:ind w:left="300"/>
              <w:spacing w:after="0"/>
              <w:rPr>
                <w:sz w:val="20"/>
                <w:szCs w:val="20"/>
                <w:color w:val="auto"/>
              </w:rPr>
            </w:pPr>
            <w:r>
              <w:rPr>
                <w:rFonts w:ascii="Arial" w:cs="Arial" w:eastAsia="Arial" w:hAnsi="Arial"/>
                <w:sz w:val="16"/>
                <w:szCs w:val="16"/>
                <w:color w:val="auto"/>
              </w:rPr>
              <w:t>loans for sale</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3"/>
              <w:spacing w:after="0"/>
              <w:rPr>
                <w:sz w:val="20"/>
                <w:szCs w:val="20"/>
                <w:color w:val="auto"/>
              </w:rPr>
            </w:pPr>
            <w:r>
              <w:rPr>
                <w:rFonts w:ascii="Arial" w:cs="Arial" w:eastAsia="Arial" w:hAnsi="Arial"/>
                <w:sz w:val="16"/>
                <w:szCs w:val="16"/>
                <w:color w:val="auto"/>
              </w:rPr>
              <w:t>(28,141 )</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(28,141 )</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(28,141 )</w:t>
            </w:r>
          </w:p>
        </w:tc>
        <w:tc>
          <w:tcPr>
            <w:tcW w:w="0" w:type="dxa"/>
            <w:vAlign w:val="bottom"/>
          </w:tcPr>
          <w:p>
            <w:pPr>
              <w:spacing w:after="0"/>
              <w:rPr>
                <w:sz w:val="1"/>
                <w:szCs w:val="1"/>
                <w:color w:val="auto"/>
              </w:rPr>
            </w:pPr>
          </w:p>
        </w:tc>
      </w:tr>
      <w:tr>
        <w:trPr>
          <w:trHeight w:val="205"/>
        </w:trPr>
        <w:tc>
          <w:tcPr>
            <w:tcW w:w="3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Commitments to sell real estate loans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63"/>
              <w:spacing w:after="0"/>
              <w:rPr>
                <w:sz w:val="20"/>
                <w:szCs w:val="20"/>
                <w:color w:val="auto"/>
              </w:rPr>
            </w:pPr>
            <w:r>
              <w:rPr>
                <w:rFonts w:ascii="Arial" w:cs="Arial" w:eastAsia="Arial" w:hAnsi="Arial"/>
                <w:sz w:val="16"/>
                <w:szCs w:val="16"/>
                <w:color w:val="auto"/>
              </w:rPr>
              <w:t>38,844</w:t>
            </w:r>
          </w:p>
        </w:tc>
        <w:tc>
          <w:tcPr>
            <w:tcW w:w="11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38,844</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38,844</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20" w:type="dxa"/>
            <w:vAlign w:val="bottom"/>
          </w:tcPr>
          <w:p>
            <w:pPr>
              <w:ind w:left="180"/>
              <w:spacing w:after="0"/>
              <w:rPr>
                <w:sz w:val="20"/>
                <w:szCs w:val="20"/>
                <w:color w:val="auto"/>
              </w:rPr>
            </w:pPr>
            <w:r>
              <w:rPr>
                <w:rFonts w:ascii="Arial" w:cs="Arial" w:eastAsia="Arial" w:hAnsi="Arial"/>
                <w:sz w:val="16"/>
                <w:szCs w:val="16"/>
                <w:color w:val="auto"/>
              </w:rPr>
              <w:t>Other credit-related commitments</w:t>
            </w:r>
          </w:p>
        </w:tc>
        <w:tc>
          <w:tcPr>
            <w:tcW w:w="800" w:type="dxa"/>
            <w:vAlign w:val="bottom"/>
          </w:tcPr>
          <w:p>
            <w:pPr>
              <w:spacing w:after="0"/>
              <w:rPr>
                <w:sz w:val="17"/>
                <w:szCs w:val="17"/>
                <w:color w:val="auto"/>
              </w:rPr>
            </w:pPr>
          </w:p>
        </w:tc>
        <w:tc>
          <w:tcPr>
            <w:tcW w:w="1260" w:type="dxa"/>
            <w:vAlign w:val="bottom"/>
          </w:tcPr>
          <w:p>
            <w:pPr>
              <w:jc w:val="right"/>
              <w:ind w:right="183"/>
              <w:spacing w:after="0"/>
              <w:rPr>
                <w:sz w:val="20"/>
                <w:szCs w:val="20"/>
                <w:color w:val="auto"/>
              </w:rPr>
            </w:pPr>
            <w:r>
              <w:rPr>
                <w:rFonts w:ascii="Arial" w:cs="Arial" w:eastAsia="Arial" w:hAnsi="Arial"/>
                <w:sz w:val="16"/>
                <w:szCs w:val="16"/>
                <w:color w:val="auto"/>
              </w:rPr>
              <w:t>(152,513 )</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(152,513 )</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(152,513 )</w:t>
            </w:r>
          </w:p>
        </w:tc>
        <w:tc>
          <w:tcPr>
            <w:tcW w:w="0" w:type="dxa"/>
            <w:vAlign w:val="bottom"/>
          </w:tcPr>
          <w:p>
            <w:pPr>
              <w:spacing w:after="0"/>
              <w:rPr>
                <w:sz w:val="1"/>
                <w:szCs w:val="1"/>
                <w:color w:val="auto"/>
              </w:rPr>
            </w:pPr>
          </w:p>
        </w:tc>
      </w:tr>
      <w:tr>
        <w:trPr>
          <w:trHeight w:val="186"/>
        </w:trPr>
        <w:tc>
          <w:tcPr>
            <w:tcW w:w="3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rate swap agreements used</w:t>
            </w:r>
          </w:p>
        </w:tc>
        <w:tc>
          <w:tcPr>
            <w:tcW w:w="8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for interest rate risk management</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63"/>
              <w:spacing w:after="0"/>
              <w:rPr>
                <w:sz w:val="20"/>
                <w:szCs w:val="20"/>
                <w:color w:val="auto"/>
              </w:rPr>
            </w:pPr>
            <w:r>
              <w:rPr>
                <w:rFonts w:ascii="Arial" w:cs="Arial" w:eastAsia="Arial" w:hAnsi="Arial"/>
                <w:sz w:val="16"/>
                <w:szCs w:val="16"/>
                <w:color w:val="auto"/>
              </w:rPr>
              <w:t>11,250</w:t>
            </w:r>
          </w:p>
        </w:tc>
        <w:tc>
          <w:tcPr>
            <w:tcW w:w="11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11,250</w:t>
            </w:r>
          </w:p>
        </w:tc>
        <w:tc>
          <w:tcPr>
            <w:tcW w:w="1380" w:type="dxa"/>
            <w:vAlign w:val="bottom"/>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11,250</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520" w:type="dxa"/>
            <w:vAlign w:val="bottom"/>
          </w:tcPr>
          <w:p>
            <w:pPr>
              <w:ind w:left="180"/>
              <w:spacing w:after="0"/>
              <w:rPr>
                <w:sz w:val="20"/>
                <w:szCs w:val="20"/>
                <w:color w:val="auto"/>
              </w:rPr>
            </w:pPr>
            <w:r>
              <w:rPr>
                <w:rFonts w:ascii="Arial" w:cs="Arial" w:eastAsia="Arial" w:hAnsi="Arial"/>
                <w:sz w:val="16"/>
                <w:szCs w:val="16"/>
                <w:color w:val="auto"/>
              </w:rPr>
              <w:t>Interest rate and foreign exchange</w:t>
            </w: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300"/>
              <w:spacing w:after="0" w:line="180" w:lineRule="exact"/>
              <w:rPr>
                <w:sz w:val="20"/>
                <w:szCs w:val="20"/>
                <w:color w:val="auto"/>
              </w:rPr>
            </w:pPr>
            <w:r>
              <w:rPr>
                <w:rFonts w:ascii="Arial" w:cs="Arial" w:eastAsia="Arial" w:hAnsi="Arial"/>
                <w:sz w:val="16"/>
                <w:szCs w:val="16"/>
                <w:color w:val="auto"/>
              </w:rPr>
              <w:t>contracts not designated as</w:t>
            </w: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20" w:type="dxa"/>
            <w:vAlign w:val="bottom"/>
          </w:tcPr>
          <w:p>
            <w:pPr>
              <w:ind w:left="300"/>
              <w:spacing w:after="0"/>
              <w:rPr>
                <w:sz w:val="20"/>
                <w:szCs w:val="20"/>
                <w:color w:val="auto"/>
              </w:rPr>
            </w:pPr>
            <w:r>
              <w:rPr>
                <w:rFonts w:ascii="Arial" w:cs="Arial" w:eastAsia="Arial" w:hAnsi="Arial"/>
                <w:sz w:val="16"/>
                <w:szCs w:val="16"/>
                <w:color w:val="auto"/>
              </w:rPr>
              <w:t>hedging instruments</w:t>
            </w:r>
          </w:p>
        </w:tc>
        <w:tc>
          <w:tcPr>
            <w:tcW w:w="800" w:type="dxa"/>
            <w:vAlign w:val="bottom"/>
          </w:tcPr>
          <w:p>
            <w:pPr>
              <w:spacing w:after="0"/>
              <w:rPr>
                <w:sz w:val="17"/>
                <w:szCs w:val="17"/>
                <w:color w:val="auto"/>
              </w:rPr>
            </w:pPr>
          </w:p>
        </w:tc>
        <w:tc>
          <w:tcPr>
            <w:tcW w:w="1260" w:type="dxa"/>
            <w:vAlign w:val="bottom"/>
          </w:tcPr>
          <w:p>
            <w:pPr>
              <w:jc w:val="right"/>
              <w:ind w:right="183"/>
              <w:spacing w:after="0"/>
              <w:rPr>
                <w:sz w:val="20"/>
                <w:szCs w:val="20"/>
                <w:color w:val="auto"/>
              </w:rPr>
            </w:pPr>
            <w:r>
              <w:rPr>
                <w:rFonts w:ascii="Arial" w:cs="Arial" w:eastAsia="Arial" w:hAnsi="Arial"/>
                <w:sz w:val="16"/>
                <w:szCs w:val="16"/>
                <w:color w:val="auto"/>
              </w:rPr>
              <w:t>(722,949 )</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(722,949 )</w:t>
            </w: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(722,949 )</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2"/>
        </w:trPr>
        <w:tc>
          <w:tcPr>
            <w:tcW w:w="3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- 38 -</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520" w:type="dxa"/>
            <w:vAlign w:val="bottom"/>
            <w:tcBorders>
              <w:bottom w:val="single" w:sz="8" w:color="EEEEEE"/>
            </w:tcBorders>
          </w:tcPr>
          <w:p>
            <w:pPr>
              <w:spacing w:after="0"/>
              <w:rPr>
                <w:sz w:val="7"/>
                <w:szCs w:val="7"/>
                <w:color w:val="auto"/>
              </w:rPr>
            </w:pPr>
          </w:p>
        </w:tc>
        <w:tc>
          <w:tcPr>
            <w:tcW w:w="800" w:type="dxa"/>
            <w:vAlign w:val="bottom"/>
            <w:tcBorders>
              <w:bottom w:val="single" w:sz="8" w:color="EEEEEE"/>
            </w:tcBorders>
          </w:tcPr>
          <w:p>
            <w:pPr>
              <w:spacing w:after="0"/>
              <w:rPr>
                <w:sz w:val="7"/>
                <w:szCs w:val="7"/>
                <w:color w:val="auto"/>
              </w:rPr>
            </w:pPr>
          </w:p>
        </w:tc>
        <w:tc>
          <w:tcPr>
            <w:tcW w:w="1260" w:type="dxa"/>
            <w:vAlign w:val="bottom"/>
            <w:tcBorders>
              <w:bottom w:val="single" w:sz="8" w:color="EEEEEE"/>
            </w:tcBorders>
          </w:tcPr>
          <w:p>
            <w:pPr>
              <w:spacing w:after="0"/>
              <w:rPr>
                <w:sz w:val="7"/>
                <w:szCs w:val="7"/>
                <w:color w:val="auto"/>
              </w:rPr>
            </w:pPr>
          </w:p>
        </w:tc>
        <w:tc>
          <w:tcPr>
            <w:tcW w:w="1160" w:type="dxa"/>
            <w:vAlign w:val="bottom"/>
            <w:tcBorders>
              <w:bottom w:val="single" w:sz="8" w:color="EEEEEE"/>
            </w:tcBorders>
          </w:tcPr>
          <w:p>
            <w:pPr>
              <w:spacing w:after="0"/>
              <w:rPr>
                <w:sz w:val="7"/>
                <w:szCs w:val="7"/>
                <w:color w:val="auto"/>
              </w:rPr>
            </w:pPr>
          </w:p>
        </w:tc>
        <w:tc>
          <w:tcPr>
            <w:tcW w:w="1380" w:type="dxa"/>
            <w:vAlign w:val="bottom"/>
            <w:tcBorders>
              <w:bottom w:val="single" w:sz="8" w:color="EEEEEE"/>
            </w:tcBorders>
          </w:tcPr>
          <w:p>
            <w:pPr>
              <w:spacing w:after="0"/>
              <w:rPr>
                <w:sz w:val="7"/>
                <w:szCs w:val="7"/>
                <w:color w:val="auto"/>
              </w:rPr>
            </w:pPr>
          </w:p>
        </w:tc>
        <w:tc>
          <w:tcPr>
            <w:tcW w:w="1320" w:type="dxa"/>
            <w:vAlign w:val="bottom"/>
            <w:tcBorders>
              <w:bottom w:val="single" w:sz="8" w:color="EEEEEE"/>
            </w:tcBorders>
          </w:tcPr>
          <w:p>
            <w:pPr>
              <w:spacing w:after="0"/>
              <w:rPr>
                <w:sz w:val="7"/>
                <w:szCs w:val="7"/>
                <w:color w:val="auto"/>
              </w:rPr>
            </w:pPr>
          </w:p>
        </w:tc>
        <w:tc>
          <w:tcPr>
            <w:tcW w:w="112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39" w:name="page40"/>
    <w:bookmarkEnd w:id="39"/>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vMerge w:val="restart"/>
          </w:tcPr>
          <w:p>
            <w:pPr>
              <w:jc w:val="right"/>
              <w:ind w:right="403"/>
              <w:spacing w:after="0"/>
              <w:rPr>
                <w:sz w:val="20"/>
                <w:szCs w:val="20"/>
                <w:color w:val="auto"/>
              </w:rPr>
            </w:pPr>
            <w:r>
              <w:rPr>
                <w:rFonts w:ascii="Arial" w:cs="Arial" w:eastAsia="Arial" w:hAnsi="Arial"/>
                <w:sz w:val="13"/>
                <w:szCs w:val="13"/>
                <w:b w:val="1"/>
                <w:bCs w:val="1"/>
                <w:color w:val="auto"/>
              </w:rPr>
              <w:t>Carrying</w:t>
            </w:r>
          </w:p>
        </w:tc>
        <w:tc>
          <w:tcPr>
            <w:tcW w:w="1160" w:type="dxa"/>
            <w:vAlign w:val="bottom"/>
            <w:vMerge w:val="restart"/>
          </w:tcPr>
          <w:p>
            <w:pPr>
              <w:jc w:val="right"/>
              <w:ind w:right="243"/>
              <w:spacing w:after="0"/>
              <w:rPr>
                <w:sz w:val="20"/>
                <w:szCs w:val="20"/>
                <w:color w:val="auto"/>
              </w:rPr>
            </w:pPr>
            <w:r>
              <w:rPr>
                <w:rFonts w:ascii="Arial" w:cs="Arial" w:eastAsia="Arial" w:hAnsi="Arial"/>
                <w:sz w:val="13"/>
                <w:szCs w:val="13"/>
                <w:b w:val="1"/>
                <w:bCs w:val="1"/>
                <w:color w:val="auto"/>
              </w:rPr>
              <w:t>Estimated</w:t>
            </w:r>
          </w:p>
        </w:tc>
        <w:tc>
          <w:tcPr>
            <w:tcW w:w="1420" w:type="dxa"/>
            <w:vAlign w:val="bottom"/>
          </w:tcPr>
          <w:p>
            <w:pPr>
              <w:jc w:val="right"/>
              <w:ind w:right="123"/>
              <w:spacing w:after="0"/>
              <w:rPr>
                <w:sz w:val="20"/>
                <w:szCs w:val="20"/>
                <w:color w:val="auto"/>
              </w:rPr>
            </w:pPr>
            <w:r>
              <w:rPr>
                <w:rFonts w:ascii="Arial" w:cs="Arial" w:eastAsia="Arial" w:hAnsi="Arial"/>
                <w:sz w:val="13"/>
                <w:szCs w:val="13"/>
                <w:b w:val="1"/>
                <w:bCs w:val="1"/>
                <w:color w:val="auto"/>
              </w:rPr>
              <w:t>December 31, 2022</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423"/>
              <w:spacing w:after="0"/>
              <w:rPr>
                <w:sz w:val="20"/>
                <w:szCs w:val="20"/>
                <w:color w:val="auto"/>
              </w:rPr>
            </w:pPr>
            <w:r>
              <w:rPr>
                <w:rFonts w:ascii="Arial" w:cs="Arial" w:eastAsia="Arial" w:hAnsi="Arial"/>
                <w:sz w:val="13"/>
                <w:szCs w:val="13"/>
                <w:b w:val="1"/>
                <w:bCs w:val="1"/>
                <w:color w:val="auto"/>
              </w:rPr>
              <w:t>Amount</w:t>
            </w:r>
          </w:p>
        </w:tc>
        <w:tc>
          <w:tcPr>
            <w:tcW w:w="1160" w:type="dxa"/>
            <w:vAlign w:val="bottom"/>
          </w:tcPr>
          <w:p>
            <w:pPr>
              <w:jc w:val="right"/>
              <w:ind w:right="243"/>
              <w:spacing w:after="0"/>
              <w:rPr>
                <w:sz w:val="20"/>
                <w:szCs w:val="20"/>
                <w:color w:val="auto"/>
              </w:rPr>
            </w:pPr>
            <w:r>
              <w:rPr>
                <w:rFonts w:ascii="Arial" w:cs="Arial" w:eastAsia="Arial" w:hAnsi="Arial"/>
                <w:sz w:val="13"/>
                <w:szCs w:val="13"/>
                <w:b w:val="1"/>
                <w:bCs w:val="1"/>
                <w:color w:val="auto"/>
              </w:rPr>
              <w:t>Fair Value</w:t>
            </w:r>
          </w:p>
        </w:tc>
        <w:tc>
          <w:tcPr>
            <w:tcW w:w="1420" w:type="dxa"/>
            <w:vAlign w:val="bottom"/>
          </w:tcPr>
          <w:p>
            <w:pPr>
              <w:jc w:val="right"/>
              <w:ind w:right="463"/>
              <w:spacing w:after="0"/>
              <w:rPr>
                <w:sz w:val="20"/>
                <w:szCs w:val="20"/>
                <w:color w:val="auto"/>
              </w:rPr>
            </w:pPr>
            <w:r>
              <w:rPr>
                <w:rFonts w:ascii="Arial" w:cs="Arial" w:eastAsia="Arial" w:hAnsi="Arial"/>
                <w:sz w:val="13"/>
                <w:szCs w:val="13"/>
                <w:b w:val="1"/>
                <w:bCs w:val="1"/>
                <w:color w:val="auto"/>
              </w:rPr>
              <w:t>Level 1</w:t>
            </w:r>
          </w:p>
        </w:tc>
        <w:tc>
          <w:tcPr>
            <w:tcW w:w="1240" w:type="dxa"/>
            <w:vAlign w:val="bottom"/>
          </w:tcPr>
          <w:p>
            <w:pPr>
              <w:jc w:val="right"/>
              <w:ind w:right="442"/>
              <w:spacing w:after="0"/>
              <w:rPr>
                <w:sz w:val="20"/>
                <w:szCs w:val="20"/>
                <w:color w:val="auto"/>
              </w:rPr>
            </w:pPr>
            <w:r>
              <w:rPr>
                <w:rFonts w:ascii="Arial" w:cs="Arial" w:eastAsia="Arial" w:hAnsi="Arial"/>
                <w:sz w:val="13"/>
                <w:szCs w:val="13"/>
                <w:b w:val="1"/>
                <w:bCs w:val="1"/>
                <w:color w:val="auto"/>
              </w:rPr>
              <w:t>Level 2</w:t>
            </w:r>
          </w:p>
        </w:tc>
        <w:tc>
          <w:tcPr>
            <w:tcW w:w="1120" w:type="dxa"/>
            <w:vAlign w:val="bottom"/>
          </w:tcPr>
          <w:p>
            <w:pPr>
              <w:jc w:val="right"/>
              <w:ind w:right="302"/>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Arial" w:cs="Arial" w:eastAsia="Arial" w:hAnsi="Arial"/>
                <w:sz w:val="13"/>
                <w:szCs w:val="13"/>
                <w:b w:val="1"/>
                <w:bCs w:val="1"/>
                <w:color w:val="auto"/>
              </w:rPr>
              <w:t>(In thousands)</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assets: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3"/>
              <w:spacing w:after="0"/>
              <w:rPr>
                <w:sz w:val="20"/>
                <w:szCs w:val="20"/>
                <w:color w:val="auto"/>
              </w:rPr>
            </w:pPr>
            <w:r>
              <w:rPr>
                <w:rFonts w:ascii="Arial" w:cs="Arial" w:eastAsia="Arial" w:hAnsi="Arial"/>
                <w:sz w:val="16"/>
                <w:szCs w:val="16"/>
                <w:color w:val="auto"/>
              </w:rPr>
              <w:t>1,517,244</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1,517,244</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1,371,688</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145,556</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Interest-bearing deposits at banks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24,958,719</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24,958,719</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24,958,719</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180"/>
              <w:spacing w:after="0"/>
              <w:rPr>
                <w:sz w:val="20"/>
                <w:szCs w:val="20"/>
                <w:color w:val="auto"/>
              </w:rPr>
            </w:pPr>
            <w:r>
              <w:rPr>
                <w:rFonts w:ascii="Arial" w:cs="Arial" w:eastAsia="Arial" w:hAnsi="Arial"/>
                <w:sz w:val="16"/>
                <w:szCs w:val="16"/>
                <w:color w:val="auto"/>
              </w:rPr>
              <w:t>Federal funds sold</w:t>
            </w:r>
          </w:p>
        </w:tc>
        <w:tc>
          <w:tcPr>
            <w:tcW w:w="680" w:type="dxa"/>
            <w:vAlign w:val="bottom"/>
          </w:tcPr>
          <w:p>
            <w:pPr>
              <w:spacing w:after="0"/>
              <w:rPr>
                <w:sz w:val="17"/>
                <w:szCs w:val="17"/>
                <w:color w:val="auto"/>
              </w:rPr>
            </w:pPr>
          </w:p>
        </w:tc>
        <w:tc>
          <w:tcPr>
            <w:tcW w:w="1140" w:type="dxa"/>
            <w:vAlign w:val="bottom"/>
          </w:tcPr>
          <w:p>
            <w:pPr>
              <w:jc w:val="right"/>
              <w:ind w:right="163"/>
              <w:spacing w:after="0"/>
              <w:rPr>
                <w:sz w:val="20"/>
                <w:szCs w:val="20"/>
                <w:color w:val="auto"/>
              </w:rPr>
            </w:pPr>
            <w:r>
              <w:rPr>
                <w:rFonts w:ascii="Arial" w:cs="Arial" w:eastAsia="Arial" w:hAnsi="Arial"/>
                <w:sz w:val="16"/>
                <w:szCs w:val="16"/>
                <w:color w:val="auto"/>
              </w:rPr>
              <w:t>3,000</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3,000</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3,000</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Trading account</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117,847</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117,847</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117,847</w:t>
            </w:r>
          </w:p>
        </w:tc>
        <w:tc>
          <w:tcPr>
            <w:tcW w:w="12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180"/>
              <w:spacing w:after="0"/>
              <w:rPr>
                <w:sz w:val="20"/>
                <w:szCs w:val="20"/>
                <w:color w:val="auto"/>
              </w:rPr>
            </w:pPr>
            <w:r>
              <w:rPr>
                <w:rFonts w:ascii="Arial" w:cs="Arial" w:eastAsia="Arial" w:hAnsi="Arial"/>
                <w:sz w:val="16"/>
                <w:szCs w:val="16"/>
                <w:color w:val="auto"/>
              </w:rPr>
              <w:t>Investment securities</w:t>
            </w:r>
          </w:p>
        </w:tc>
        <w:tc>
          <w:tcPr>
            <w:tcW w:w="680" w:type="dxa"/>
            <w:vAlign w:val="bottom"/>
          </w:tcPr>
          <w:p>
            <w:pPr>
              <w:spacing w:after="0"/>
              <w:rPr>
                <w:sz w:val="17"/>
                <w:szCs w:val="17"/>
                <w:color w:val="auto"/>
              </w:rPr>
            </w:pPr>
          </w:p>
        </w:tc>
        <w:tc>
          <w:tcPr>
            <w:tcW w:w="1140" w:type="dxa"/>
            <w:vAlign w:val="bottom"/>
          </w:tcPr>
          <w:p>
            <w:pPr>
              <w:jc w:val="right"/>
              <w:ind w:right="163"/>
              <w:spacing w:after="0"/>
              <w:rPr>
                <w:sz w:val="20"/>
                <w:szCs w:val="20"/>
                <w:color w:val="auto"/>
              </w:rPr>
            </w:pPr>
            <w:r>
              <w:rPr>
                <w:rFonts w:ascii="Arial" w:cs="Arial" w:eastAsia="Arial" w:hAnsi="Arial"/>
                <w:sz w:val="16"/>
                <w:szCs w:val="16"/>
                <w:color w:val="auto"/>
              </w:rPr>
              <w:t>25,210,871</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24,056,322</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145,289</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23,860,445</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50,588</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Loans and leases: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340"/>
              <w:spacing w:after="0"/>
              <w:rPr>
                <w:sz w:val="20"/>
                <w:szCs w:val="20"/>
                <w:color w:val="auto"/>
              </w:rPr>
            </w:pPr>
            <w:r>
              <w:rPr>
                <w:rFonts w:ascii="Arial" w:cs="Arial" w:eastAsia="Arial" w:hAnsi="Arial"/>
                <w:sz w:val="16"/>
                <w:szCs w:val="16"/>
                <w:color w:val="auto"/>
              </w:rPr>
              <w:t>Commercial loans and leases</w:t>
            </w:r>
          </w:p>
        </w:tc>
        <w:tc>
          <w:tcPr>
            <w:tcW w:w="680" w:type="dxa"/>
            <w:vAlign w:val="bottom"/>
          </w:tcPr>
          <w:p>
            <w:pPr>
              <w:spacing w:after="0"/>
              <w:rPr>
                <w:sz w:val="17"/>
                <w:szCs w:val="17"/>
                <w:color w:val="auto"/>
              </w:rPr>
            </w:pPr>
          </w:p>
        </w:tc>
        <w:tc>
          <w:tcPr>
            <w:tcW w:w="1140" w:type="dxa"/>
            <w:vAlign w:val="bottom"/>
          </w:tcPr>
          <w:p>
            <w:pPr>
              <w:jc w:val="right"/>
              <w:ind w:right="163"/>
              <w:spacing w:after="0"/>
              <w:rPr>
                <w:sz w:val="20"/>
                <w:szCs w:val="20"/>
                <w:color w:val="auto"/>
              </w:rPr>
            </w:pPr>
            <w:r>
              <w:rPr>
                <w:rFonts w:ascii="Arial" w:cs="Arial" w:eastAsia="Arial" w:hAnsi="Arial"/>
                <w:sz w:val="16"/>
                <w:szCs w:val="16"/>
                <w:color w:val="auto"/>
              </w:rPr>
              <w:t>41,850,566</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41,139,985</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41,139,985</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 real estate loans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45,364,571</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43,214,646</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130,652</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43,083,994</w:t>
            </w:r>
          </w:p>
        </w:tc>
        <w:tc>
          <w:tcPr>
            <w:tcW w:w="0" w:type="dxa"/>
            <w:vAlign w:val="bottom"/>
          </w:tcPr>
          <w:p>
            <w:pPr>
              <w:spacing w:after="0"/>
              <w:rPr>
                <w:sz w:val="1"/>
                <w:szCs w:val="1"/>
                <w:color w:val="auto"/>
              </w:rPr>
            </w:pPr>
          </w:p>
        </w:tc>
      </w:tr>
      <w:tr>
        <w:trPr>
          <w:trHeight w:val="203"/>
        </w:trPr>
        <w:tc>
          <w:tcPr>
            <w:tcW w:w="3800" w:type="dxa"/>
            <w:vAlign w:val="bottom"/>
          </w:tcPr>
          <w:p>
            <w:pPr>
              <w:ind w:left="340"/>
              <w:spacing w:after="0"/>
              <w:rPr>
                <w:sz w:val="20"/>
                <w:szCs w:val="20"/>
                <w:color w:val="auto"/>
              </w:rPr>
            </w:pPr>
            <w:r>
              <w:rPr>
                <w:rFonts w:ascii="Arial" w:cs="Arial" w:eastAsia="Arial" w:hAnsi="Arial"/>
                <w:sz w:val="16"/>
                <w:szCs w:val="16"/>
                <w:color w:val="auto"/>
              </w:rPr>
              <w:t>Residential real estate loans</w:t>
            </w:r>
          </w:p>
        </w:tc>
        <w:tc>
          <w:tcPr>
            <w:tcW w:w="680" w:type="dxa"/>
            <w:vAlign w:val="bottom"/>
          </w:tcPr>
          <w:p>
            <w:pPr>
              <w:spacing w:after="0"/>
              <w:rPr>
                <w:sz w:val="17"/>
                <w:szCs w:val="17"/>
                <w:color w:val="auto"/>
              </w:rPr>
            </w:pPr>
          </w:p>
        </w:tc>
        <w:tc>
          <w:tcPr>
            <w:tcW w:w="1140" w:type="dxa"/>
            <w:vAlign w:val="bottom"/>
          </w:tcPr>
          <w:p>
            <w:pPr>
              <w:jc w:val="right"/>
              <w:ind w:right="163"/>
              <w:spacing w:after="0"/>
              <w:rPr>
                <w:sz w:val="20"/>
                <w:szCs w:val="20"/>
                <w:color w:val="auto"/>
              </w:rPr>
            </w:pPr>
            <w:r>
              <w:rPr>
                <w:rFonts w:ascii="Arial" w:cs="Arial" w:eastAsia="Arial" w:hAnsi="Arial"/>
                <w:sz w:val="16"/>
                <w:szCs w:val="16"/>
                <w:color w:val="auto"/>
              </w:rPr>
              <w:t>23,755,947</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21,780,214</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62"/>
              <w:spacing w:after="0"/>
              <w:rPr>
                <w:sz w:val="20"/>
                <w:szCs w:val="20"/>
                <w:color w:val="auto"/>
              </w:rPr>
            </w:pPr>
            <w:r>
              <w:rPr>
                <w:rFonts w:ascii="Arial" w:cs="Arial" w:eastAsia="Arial" w:hAnsi="Arial"/>
                <w:sz w:val="16"/>
                <w:szCs w:val="16"/>
                <w:color w:val="auto"/>
              </w:rPr>
              <w:t>7,049,540</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14,730,674</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Consumer loans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20,593,079</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20,093,523</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20,093,523</w:t>
            </w:r>
          </w:p>
        </w:tc>
        <w:tc>
          <w:tcPr>
            <w:tcW w:w="0" w:type="dxa"/>
            <w:vAlign w:val="bottom"/>
          </w:tcPr>
          <w:p>
            <w:pPr>
              <w:spacing w:after="0"/>
              <w:rPr>
                <w:sz w:val="1"/>
                <w:szCs w:val="1"/>
                <w:color w:val="auto"/>
              </w:rPr>
            </w:pPr>
          </w:p>
        </w:tc>
      </w:tr>
      <w:tr>
        <w:trPr>
          <w:trHeight w:val="203"/>
        </w:trPr>
        <w:tc>
          <w:tcPr>
            <w:tcW w:w="3800" w:type="dxa"/>
            <w:vAlign w:val="bottom"/>
          </w:tcPr>
          <w:p>
            <w:pPr>
              <w:ind w:left="340"/>
              <w:spacing w:after="0"/>
              <w:rPr>
                <w:sz w:val="20"/>
                <w:szCs w:val="20"/>
                <w:color w:val="auto"/>
              </w:rPr>
            </w:pPr>
            <w:r>
              <w:rPr>
                <w:rFonts w:ascii="Arial" w:cs="Arial" w:eastAsia="Arial" w:hAnsi="Arial"/>
                <w:sz w:val="16"/>
                <w:szCs w:val="16"/>
                <w:color w:val="auto"/>
              </w:rPr>
              <w:t>Allowance for credit losses</w:t>
            </w:r>
          </w:p>
        </w:tc>
        <w:tc>
          <w:tcPr>
            <w:tcW w:w="68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(1,925,331 )</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Loans and leases, net</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w w:val="98"/>
              </w:rPr>
              <w:t>129,638,832</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126,228,368</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7,180,192</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119,048,176</w:t>
            </w:r>
          </w:p>
        </w:tc>
        <w:tc>
          <w:tcPr>
            <w:tcW w:w="0" w:type="dxa"/>
            <w:vAlign w:val="bottom"/>
          </w:tcPr>
          <w:p>
            <w:pPr>
              <w:spacing w:after="0"/>
              <w:rPr>
                <w:sz w:val="1"/>
                <w:szCs w:val="1"/>
                <w:color w:val="auto"/>
              </w:rPr>
            </w:pPr>
          </w:p>
        </w:tc>
      </w:tr>
      <w:tr>
        <w:trPr>
          <w:trHeight w:val="203"/>
        </w:trPr>
        <w:tc>
          <w:tcPr>
            <w:tcW w:w="3800" w:type="dxa"/>
            <w:vAlign w:val="bottom"/>
          </w:tcPr>
          <w:p>
            <w:pPr>
              <w:ind w:left="180"/>
              <w:spacing w:after="0"/>
              <w:rPr>
                <w:sz w:val="20"/>
                <w:szCs w:val="20"/>
                <w:color w:val="auto"/>
              </w:rPr>
            </w:pPr>
            <w:r>
              <w:rPr>
                <w:rFonts w:ascii="Arial" w:cs="Arial" w:eastAsia="Arial" w:hAnsi="Arial"/>
                <w:sz w:val="16"/>
                <w:szCs w:val="16"/>
                <w:color w:val="auto"/>
              </w:rPr>
              <w:t>Accrued interest receivable</w:t>
            </w:r>
          </w:p>
        </w:tc>
        <w:tc>
          <w:tcPr>
            <w:tcW w:w="680" w:type="dxa"/>
            <w:vAlign w:val="bottom"/>
          </w:tcPr>
          <w:p>
            <w:pPr>
              <w:spacing w:after="0"/>
              <w:rPr>
                <w:sz w:val="17"/>
                <w:szCs w:val="17"/>
                <w:color w:val="auto"/>
              </w:rPr>
            </w:pPr>
          </w:p>
        </w:tc>
        <w:tc>
          <w:tcPr>
            <w:tcW w:w="1140" w:type="dxa"/>
            <w:vAlign w:val="bottom"/>
          </w:tcPr>
          <w:p>
            <w:pPr>
              <w:jc w:val="right"/>
              <w:ind w:right="163"/>
              <w:spacing w:after="0"/>
              <w:rPr>
                <w:sz w:val="20"/>
                <w:szCs w:val="20"/>
                <w:color w:val="auto"/>
              </w:rPr>
            </w:pPr>
            <w:r>
              <w:rPr>
                <w:rFonts w:ascii="Arial" w:cs="Arial" w:eastAsia="Arial" w:hAnsi="Arial"/>
                <w:sz w:val="16"/>
                <w:szCs w:val="16"/>
                <w:color w:val="auto"/>
              </w:rPr>
              <w:t>646,250</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646,250</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646,250</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liabilities: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180"/>
              <w:spacing w:after="0"/>
              <w:rPr>
                <w:sz w:val="20"/>
                <w:szCs w:val="20"/>
                <w:color w:val="auto"/>
              </w:rPr>
            </w:pPr>
            <w:r>
              <w:rPr>
                <w:rFonts w:ascii="Arial" w:cs="Arial" w:eastAsia="Arial" w:hAnsi="Arial"/>
                <w:sz w:val="16"/>
                <w:szCs w:val="16"/>
                <w:color w:val="auto"/>
              </w:rPr>
              <w:t>Noninterest-bearing deposits</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3"/>
              <w:spacing w:after="0"/>
              <w:rPr>
                <w:sz w:val="20"/>
                <w:szCs w:val="20"/>
                <w:color w:val="auto"/>
              </w:rPr>
            </w:pPr>
            <w:r>
              <w:rPr>
                <w:rFonts w:ascii="Arial" w:cs="Arial" w:eastAsia="Arial" w:hAnsi="Arial"/>
                <w:sz w:val="16"/>
                <w:szCs w:val="16"/>
                <w:color w:val="auto"/>
                <w:w w:val="98"/>
              </w:rPr>
              <w:t>(65,501,860 )</w:t>
            </w:r>
          </w:p>
        </w:tc>
        <w:tc>
          <w:tcPr>
            <w:tcW w:w="1160" w:type="dxa"/>
            <w:vAlign w:val="bottom"/>
          </w:tcPr>
          <w:p>
            <w:pPr>
              <w:jc w:val="right"/>
              <w:spacing w:after="0"/>
              <w:rPr>
                <w:sz w:val="20"/>
                <w:szCs w:val="20"/>
                <w:color w:val="auto"/>
              </w:rPr>
            </w:pPr>
            <w:r>
              <w:rPr>
                <w:rFonts w:ascii="Arial" w:cs="Arial" w:eastAsia="Arial" w:hAnsi="Arial"/>
                <w:sz w:val="16"/>
                <w:szCs w:val="16"/>
                <w:color w:val="auto"/>
              </w:rPr>
              <w:t>(65,501,860 )</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(65,501,860 )</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Savings and interest-checking deposits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w w:val="98"/>
              </w:rPr>
              <w:t>(87,911,463 )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(87,911,463 )</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(87,911,463 )</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180"/>
              <w:spacing w:after="0"/>
              <w:rPr>
                <w:sz w:val="20"/>
                <w:szCs w:val="20"/>
                <w:color w:val="auto"/>
              </w:rPr>
            </w:pPr>
            <w:r>
              <w:rPr>
                <w:rFonts w:ascii="Arial" w:cs="Arial" w:eastAsia="Arial" w:hAnsi="Arial"/>
                <w:sz w:val="16"/>
                <w:szCs w:val="16"/>
                <w:color w:val="auto"/>
              </w:rPr>
              <w:t>Time deposits</w:t>
            </w:r>
          </w:p>
        </w:tc>
        <w:tc>
          <w:tcPr>
            <w:tcW w:w="68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w w:val="98"/>
              </w:rPr>
              <w:t>(10,101,545 )</w:t>
            </w:r>
          </w:p>
        </w:tc>
        <w:tc>
          <w:tcPr>
            <w:tcW w:w="1160" w:type="dxa"/>
            <w:vAlign w:val="bottom"/>
          </w:tcPr>
          <w:p>
            <w:pPr>
              <w:jc w:val="right"/>
              <w:spacing w:after="0"/>
              <w:rPr>
                <w:sz w:val="20"/>
                <w:szCs w:val="20"/>
                <w:color w:val="auto"/>
              </w:rPr>
            </w:pPr>
            <w:r>
              <w:rPr>
                <w:rFonts w:ascii="Arial" w:cs="Arial" w:eastAsia="Arial" w:hAnsi="Arial"/>
                <w:sz w:val="16"/>
                <w:szCs w:val="16"/>
                <w:color w:val="auto"/>
              </w:rPr>
              <w:t>(10,143,110 )</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(10,143,110 )</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Short-term borrowings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(3,554,951 )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(3,554,951 )</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(3,554,951 )</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180"/>
              <w:spacing w:after="0"/>
              <w:rPr>
                <w:sz w:val="20"/>
                <w:szCs w:val="20"/>
                <w:color w:val="auto"/>
              </w:rPr>
            </w:pPr>
            <w:r>
              <w:rPr>
                <w:rFonts w:ascii="Arial" w:cs="Arial" w:eastAsia="Arial" w:hAnsi="Arial"/>
                <w:sz w:val="16"/>
                <w:szCs w:val="16"/>
                <w:color w:val="auto"/>
              </w:rPr>
              <w:t>Long-term borrowings</w:t>
            </w:r>
          </w:p>
        </w:tc>
        <w:tc>
          <w:tcPr>
            <w:tcW w:w="68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(3,964,537 )</w:t>
            </w:r>
          </w:p>
        </w:tc>
        <w:tc>
          <w:tcPr>
            <w:tcW w:w="1160" w:type="dxa"/>
            <w:vAlign w:val="bottom"/>
          </w:tcPr>
          <w:p>
            <w:pPr>
              <w:jc w:val="right"/>
              <w:spacing w:after="0"/>
              <w:rPr>
                <w:sz w:val="20"/>
                <w:szCs w:val="20"/>
                <w:color w:val="auto"/>
              </w:rPr>
            </w:pPr>
            <w:r>
              <w:rPr>
                <w:rFonts w:ascii="Arial" w:cs="Arial" w:eastAsia="Arial" w:hAnsi="Arial"/>
                <w:sz w:val="16"/>
                <w:szCs w:val="16"/>
                <w:color w:val="auto"/>
              </w:rPr>
              <w:t>(3,926,489 )</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(3,926,489 )</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Accrued interest payable</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(81,356 )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(81,356 )</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(81,356 )</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Other financial instruments:</w:t>
            </w: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Commitments to originate real estate</w:t>
            </w:r>
          </w:p>
        </w:tc>
        <w:tc>
          <w:tcPr>
            <w:tcW w:w="6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loans for sale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(45,573 )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(45,573 )</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(45,573 )</w:t>
            </w:r>
          </w:p>
        </w:tc>
        <w:tc>
          <w:tcPr>
            <w:tcW w:w="0" w:type="dxa"/>
            <w:vAlign w:val="bottom"/>
          </w:tcPr>
          <w:p>
            <w:pPr>
              <w:spacing w:after="0"/>
              <w:rPr>
                <w:sz w:val="1"/>
                <w:szCs w:val="1"/>
                <w:color w:val="auto"/>
              </w:rPr>
            </w:pPr>
          </w:p>
        </w:tc>
      </w:tr>
      <w:tr>
        <w:trPr>
          <w:trHeight w:val="203"/>
        </w:trPr>
        <w:tc>
          <w:tcPr>
            <w:tcW w:w="3800" w:type="dxa"/>
            <w:vAlign w:val="bottom"/>
          </w:tcPr>
          <w:p>
            <w:pPr>
              <w:ind w:left="180"/>
              <w:spacing w:after="0"/>
              <w:rPr>
                <w:sz w:val="20"/>
                <w:szCs w:val="20"/>
                <w:color w:val="auto"/>
              </w:rPr>
            </w:pPr>
            <w:r>
              <w:rPr>
                <w:rFonts w:ascii="Arial" w:cs="Arial" w:eastAsia="Arial" w:hAnsi="Arial"/>
                <w:sz w:val="16"/>
                <w:szCs w:val="16"/>
                <w:color w:val="auto"/>
              </w:rPr>
              <w:t>Commitments to sell real estate loans</w:t>
            </w:r>
          </w:p>
        </w:tc>
        <w:tc>
          <w:tcPr>
            <w:tcW w:w="680" w:type="dxa"/>
            <w:vAlign w:val="bottom"/>
          </w:tcPr>
          <w:p>
            <w:pPr>
              <w:spacing w:after="0"/>
              <w:rPr>
                <w:sz w:val="17"/>
                <w:szCs w:val="17"/>
                <w:color w:val="auto"/>
              </w:rPr>
            </w:pPr>
          </w:p>
        </w:tc>
        <w:tc>
          <w:tcPr>
            <w:tcW w:w="1140" w:type="dxa"/>
            <w:vAlign w:val="bottom"/>
          </w:tcPr>
          <w:p>
            <w:pPr>
              <w:jc w:val="right"/>
              <w:ind w:right="183"/>
              <w:spacing w:after="0"/>
              <w:rPr>
                <w:sz w:val="20"/>
                <w:szCs w:val="20"/>
                <w:color w:val="auto"/>
              </w:rPr>
            </w:pPr>
            <w:r>
              <w:rPr>
                <w:rFonts w:ascii="Arial" w:cs="Arial" w:eastAsia="Arial" w:hAnsi="Arial"/>
                <w:sz w:val="16"/>
                <w:szCs w:val="16"/>
                <w:color w:val="auto"/>
              </w:rPr>
              <w:t>54,424</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54,424</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62"/>
              <w:spacing w:after="0"/>
              <w:rPr>
                <w:sz w:val="20"/>
                <w:szCs w:val="20"/>
                <w:color w:val="auto"/>
              </w:rPr>
            </w:pPr>
            <w:r>
              <w:rPr>
                <w:rFonts w:ascii="Arial" w:cs="Arial" w:eastAsia="Arial" w:hAnsi="Arial"/>
                <w:sz w:val="16"/>
                <w:szCs w:val="16"/>
                <w:color w:val="auto"/>
              </w:rPr>
              <w:t>54,424</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credit-related commitments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(148,772 )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(148,772 )</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(148,772 )</w:t>
            </w:r>
          </w:p>
        </w:tc>
        <w:tc>
          <w:tcPr>
            <w:tcW w:w="0" w:type="dxa"/>
            <w:vAlign w:val="bottom"/>
          </w:tcPr>
          <w:p>
            <w:pPr>
              <w:spacing w:after="0"/>
              <w:rPr>
                <w:sz w:val="1"/>
                <w:szCs w:val="1"/>
                <w:color w:val="auto"/>
              </w:rPr>
            </w:pPr>
          </w:p>
        </w:tc>
      </w:tr>
      <w:tr>
        <w:trPr>
          <w:trHeight w:val="185"/>
        </w:trPr>
        <w:tc>
          <w:tcPr>
            <w:tcW w:w="3800" w:type="dxa"/>
            <w:vAlign w:val="bottom"/>
          </w:tcPr>
          <w:p>
            <w:pPr>
              <w:ind w:left="180"/>
              <w:spacing w:after="0"/>
              <w:rPr>
                <w:sz w:val="20"/>
                <w:szCs w:val="20"/>
                <w:color w:val="auto"/>
              </w:rPr>
            </w:pPr>
            <w:r>
              <w:rPr>
                <w:rFonts w:ascii="Arial" w:cs="Arial" w:eastAsia="Arial" w:hAnsi="Arial"/>
                <w:sz w:val="16"/>
                <w:szCs w:val="16"/>
                <w:color w:val="auto"/>
              </w:rPr>
              <w:t>Interest rate swap agreements used</w:t>
            </w: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00" w:type="dxa"/>
            <w:vAlign w:val="bottom"/>
          </w:tcPr>
          <w:p>
            <w:pPr>
              <w:ind w:left="300"/>
              <w:spacing w:after="0"/>
              <w:rPr>
                <w:sz w:val="20"/>
                <w:szCs w:val="20"/>
                <w:color w:val="auto"/>
              </w:rPr>
            </w:pPr>
            <w:r>
              <w:rPr>
                <w:rFonts w:ascii="Arial" w:cs="Arial" w:eastAsia="Arial" w:hAnsi="Arial"/>
                <w:sz w:val="16"/>
                <w:szCs w:val="16"/>
                <w:color w:val="auto"/>
              </w:rPr>
              <w:t>for interest rate risk management</w:t>
            </w:r>
          </w:p>
        </w:tc>
        <w:tc>
          <w:tcPr>
            <w:tcW w:w="68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(7,892)</w:t>
            </w:r>
          </w:p>
        </w:tc>
        <w:tc>
          <w:tcPr>
            <w:tcW w:w="1160" w:type="dxa"/>
            <w:vAlign w:val="bottom"/>
          </w:tcPr>
          <w:p>
            <w:pPr>
              <w:jc w:val="right"/>
              <w:spacing w:after="0"/>
              <w:rPr>
                <w:sz w:val="20"/>
                <w:szCs w:val="20"/>
                <w:color w:val="auto"/>
              </w:rPr>
            </w:pPr>
            <w:r>
              <w:rPr>
                <w:rFonts w:ascii="Arial" w:cs="Arial" w:eastAsia="Arial" w:hAnsi="Arial"/>
                <w:sz w:val="16"/>
                <w:szCs w:val="16"/>
                <w:color w:val="auto"/>
              </w:rPr>
              <w:t>(7,892)</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(7,892)</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rate and foreign exchange contracts</w:t>
            </w:r>
          </w:p>
        </w:tc>
        <w:tc>
          <w:tcPr>
            <w:tcW w:w="6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not designated as hedging instruments</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(920,316 )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(920,316 )</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(920,316 )</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right="20" w:firstLine="468"/>
        <w:spacing w:after="0" w:line="254" w:lineRule="auto"/>
        <w:rPr>
          <w:sz w:val="20"/>
          <w:szCs w:val="20"/>
          <w:color w:val="auto"/>
        </w:rPr>
      </w:pPr>
      <w:r>
        <w:rPr>
          <w:rFonts w:ascii="Arial" w:cs="Arial" w:eastAsia="Arial" w:hAnsi="Arial"/>
          <w:sz w:val="18"/>
          <w:szCs w:val="18"/>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5" w:lineRule="exact"/>
        <w:rPr>
          <w:sz w:val="20"/>
          <w:szCs w:val="20"/>
          <w:color w:val="auto"/>
        </w:rPr>
      </w:pPr>
    </w:p>
    <w:p>
      <w:pPr>
        <w:ind w:left="20" w:right="200" w:firstLine="468"/>
        <w:spacing w:after="0" w:line="271" w:lineRule="auto"/>
        <w:rPr>
          <w:sz w:val="20"/>
          <w:szCs w:val="20"/>
          <w:color w:val="auto"/>
        </w:rPr>
      </w:pPr>
      <w:r>
        <w:rPr>
          <w:rFonts w:ascii="Arial" w:cs="Arial" w:eastAsia="Arial" w:hAnsi="Arial"/>
          <w:sz w:val="17"/>
          <w:szCs w:val="17"/>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40" w:name="page41"/>
    <w:bookmarkEnd w:id="40"/>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15" w:lineRule="exact"/>
        <w:rPr>
          <w:sz w:val="20"/>
          <w:szCs w:val="20"/>
          <w:color w:val="auto"/>
        </w:rPr>
      </w:pPr>
    </w:p>
    <w:p>
      <w:pPr>
        <w:ind w:left="20" w:right="160"/>
        <w:spacing w:after="0" w:line="306" w:lineRule="auto"/>
        <w:rPr>
          <w:sz w:val="20"/>
          <w:szCs w:val="20"/>
          <w:color w:val="auto"/>
        </w:rPr>
      </w:pPr>
      <w:r>
        <w:rPr>
          <w:rFonts w:ascii="Arial" w:cs="Arial" w:eastAsia="Arial" w:hAnsi="Arial"/>
          <w:sz w:val="17"/>
          <w:szCs w:val="17"/>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Pr>
          <w:p>
            <w:pPr>
              <w:jc w:val="right"/>
              <w:ind w:right="465"/>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5"/>
                <w:szCs w:val="15"/>
                <w:color w:val="auto"/>
              </w:rPr>
            </w:pPr>
          </w:p>
        </w:tc>
        <w:tc>
          <w:tcPr>
            <w:tcW w:w="1280" w:type="dxa"/>
            <w:vAlign w:val="bottom"/>
          </w:tcPr>
          <w:p>
            <w:pPr>
              <w:jc w:val="right"/>
              <w:ind w:right="264"/>
              <w:spacing w:after="0"/>
              <w:rPr>
                <w:sz w:val="20"/>
                <w:szCs w:val="20"/>
                <w:color w:val="auto"/>
              </w:rPr>
            </w:pPr>
            <w:r>
              <w:rPr>
                <w:rFonts w:ascii="Arial" w:cs="Arial" w:eastAsia="Arial" w:hAnsi="Arial"/>
                <w:sz w:val="13"/>
                <w:szCs w:val="13"/>
                <w:b w:val="1"/>
                <w:bCs w:val="1"/>
                <w:color w:val="auto"/>
              </w:rPr>
              <w:t>December 31,</w:t>
            </w:r>
          </w:p>
        </w:tc>
      </w:tr>
      <w:tr>
        <w:trPr>
          <w:trHeight w:val="180"/>
        </w:trPr>
        <w:tc>
          <w:tcPr>
            <w:tcW w:w="5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Pr>
          <w:p>
            <w:pPr>
              <w:jc w:val="right"/>
              <w:ind w:right="605"/>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1280" w:type="dxa"/>
            <w:vAlign w:val="bottom"/>
          </w:tcPr>
          <w:p>
            <w:pPr>
              <w:jc w:val="right"/>
              <w:ind w:right="544"/>
              <w:spacing w:after="0"/>
              <w:rPr>
                <w:sz w:val="20"/>
                <w:szCs w:val="20"/>
                <w:color w:val="auto"/>
              </w:rPr>
            </w:pPr>
            <w:r>
              <w:rPr>
                <w:rFonts w:ascii="Arial" w:cs="Arial" w:eastAsia="Arial" w:hAnsi="Arial"/>
                <w:sz w:val="13"/>
                <w:szCs w:val="13"/>
                <w:b w:val="1"/>
                <w:bCs w:val="1"/>
                <w:color w:val="auto"/>
              </w:rPr>
              <w:t>2022</w:t>
            </w:r>
          </w:p>
        </w:tc>
      </w:tr>
      <w:tr>
        <w:trPr>
          <w:trHeight w:val="183"/>
        </w:trPr>
        <w:tc>
          <w:tcPr>
            <w:tcW w:w="5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60" w:type="dxa"/>
            <w:vAlign w:val="bottom"/>
            <w:gridSpan w:val="3"/>
          </w:tcPr>
          <w:p>
            <w:pPr>
              <w:jc w:val="right"/>
              <w:ind w:right="1084"/>
              <w:spacing w:after="0"/>
              <w:rPr>
                <w:sz w:val="20"/>
                <w:szCs w:val="20"/>
                <w:color w:val="auto"/>
              </w:rPr>
            </w:pPr>
            <w:r>
              <w:rPr>
                <w:rFonts w:ascii="Arial" w:cs="Arial" w:eastAsia="Arial" w:hAnsi="Arial"/>
                <w:sz w:val="13"/>
                <w:szCs w:val="13"/>
                <w:b w:val="1"/>
                <w:bCs w:val="1"/>
                <w:color w:val="auto"/>
              </w:rPr>
              <w:t>(In thousands)</w:t>
            </w:r>
          </w:p>
        </w:tc>
      </w:tr>
      <w:tr>
        <w:trPr>
          <w:trHeight w:val="204"/>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to extend credit</w:t>
            </w:r>
          </w:p>
        </w:tc>
        <w:tc>
          <w:tcPr>
            <w:tcW w:w="2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5480" w:type="dxa"/>
            <w:vAlign w:val="bottom"/>
          </w:tcPr>
          <w:p>
            <w:pPr>
              <w:ind w:left="180"/>
              <w:spacing w:after="0"/>
              <w:rPr>
                <w:sz w:val="20"/>
                <w:szCs w:val="20"/>
                <w:color w:val="auto"/>
              </w:rPr>
            </w:pPr>
            <w:r>
              <w:rPr>
                <w:rFonts w:ascii="Arial" w:cs="Arial" w:eastAsia="Arial" w:hAnsi="Arial"/>
                <w:sz w:val="16"/>
                <w:szCs w:val="16"/>
                <w:color w:val="auto"/>
              </w:rPr>
              <w:t>Home equity lines of credit</w:t>
            </w:r>
          </w:p>
        </w:tc>
        <w:tc>
          <w:tcPr>
            <w:tcW w:w="22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8,299,310</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8,261,560</w:t>
            </w:r>
          </w:p>
        </w:tc>
      </w:tr>
      <w:tr>
        <w:trPr>
          <w:trHeight w:val="205"/>
        </w:trPr>
        <w:tc>
          <w:tcPr>
            <w:tcW w:w="5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 loans to be sold</w:t>
            </w:r>
          </w:p>
        </w:tc>
        <w:tc>
          <w:tcPr>
            <w:tcW w:w="2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587,996</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348,701</w:t>
            </w:r>
          </w:p>
        </w:tc>
      </w:tr>
      <w:tr>
        <w:trPr>
          <w:trHeight w:val="203"/>
        </w:trPr>
        <w:tc>
          <w:tcPr>
            <w:tcW w:w="5480" w:type="dxa"/>
            <w:vAlign w:val="bottom"/>
          </w:tcPr>
          <w:p>
            <w:pPr>
              <w:ind w:left="180"/>
              <w:spacing w:after="0"/>
              <w:rPr>
                <w:sz w:val="20"/>
                <w:szCs w:val="20"/>
                <w:color w:val="auto"/>
              </w:rPr>
            </w:pPr>
            <w:r>
              <w:rPr>
                <w:rFonts w:ascii="Arial" w:cs="Arial" w:eastAsia="Arial" w:hAnsi="Arial"/>
                <w:sz w:val="16"/>
                <w:szCs w:val="16"/>
                <w:color w:val="auto"/>
              </w:rPr>
              <w:t>Other commercial real estate</w:t>
            </w:r>
          </w:p>
        </w:tc>
        <w:tc>
          <w:tcPr>
            <w:tcW w:w="2220" w:type="dxa"/>
            <w:vAlign w:val="bottom"/>
          </w:tcPr>
          <w:p>
            <w:pPr>
              <w:spacing w:after="0"/>
              <w:rPr>
                <w:sz w:val="17"/>
                <w:szCs w:val="17"/>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6,217,720</w:t>
            </w:r>
          </w:p>
        </w:tc>
        <w:tc>
          <w:tcPr>
            <w:tcW w:w="280" w:type="dxa"/>
            <w:vAlign w:val="bottom"/>
          </w:tcPr>
          <w:p>
            <w:pPr>
              <w:spacing w:after="0"/>
              <w:rPr>
                <w:sz w:val="17"/>
                <w:szCs w:val="17"/>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5,776,116</w:t>
            </w:r>
          </w:p>
        </w:tc>
      </w:tr>
      <w:tr>
        <w:trPr>
          <w:trHeight w:val="205"/>
        </w:trPr>
        <w:tc>
          <w:tcPr>
            <w:tcW w:w="5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Residential real estate loans to be sold</w:t>
            </w:r>
          </w:p>
        </w:tc>
        <w:tc>
          <w:tcPr>
            <w:tcW w:w="2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198,610</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31,208</w:t>
            </w:r>
          </w:p>
        </w:tc>
      </w:tr>
      <w:tr>
        <w:trPr>
          <w:trHeight w:val="203"/>
        </w:trPr>
        <w:tc>
          <w:tcPr>
            <w:tcW w:w="5480" w:type="dxa"/>
            <w:vAlign w:val="bottom"/>
          </w:tcPr>
          <w:p>
            <w:pPr>
              <w:ind w:left="180"/>
              <w:spacing w:after="0"/>
              <w:rPr>
                <w:sz w:val="20"/>
                <w:szCs w:val="20"/>
                <w:color w:val="auto"/>
              </w:rPr>
            </w:pPr>
            <w:r>
              <w:rPr>
                <w:rFonts w:ascii="Arial" w:cs="Arial" w:eastAsia="Arial" w:hAnsi="Arial"/>
                <w:sz w:val="16"/>
                <w:szCs w:val="16"/>
                <w:color w:val="auto"/>
              </w:rPr>
              <w:t>Other residential real estate</w:t>
            </w:r>
          </w:p>
        </w:tc>
        <w:tc>
          <w:tcPr>
            <w:tcW w:w="2220" w:type="dxa"/>
            <w:vAlign w:val="bottom"/>
          </w:tcPr>
          <w:p>
            <w:pPr>
              <w:spacing w:after="0"/>
              <w:rPr>
                <w:sz w:val="17"/>
                <w:szCs w:val="17"/>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427,954</w:t>
            </w:r>
          </w:p>
        </w:tc>
        <w:tc>
          <w:tcPr>
            <w:tcW w:w="280" w:type="dxa"/>
            <w:vAlign w:val="bottom"/>
          </w:tcPr>
          <w:p>
            <w:pPr>
              <w:spacing w:after="0"/>
              <w:rPr>
                <w:sz w:val="17"/>
                <w:szCs w:val="17"/>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505,121</w:t>
            </w:r>
          </w:p>
        </w:tc>
      </w:tr>
      <w:tr>
        <w:trPr>
          <w:trHeight w:val="205"/>
        </w:trPr>
        <w:tc>
          <w:tcPr>
            <w:tcW w:w="5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and other</w:t>
            </w:r>
          </w:p>
        </w:tc>
        <w:tc>
          <w:tcPr>
            <w:tcW w:w="2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32,964,637</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32,625,840</w:t>
            </w: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Standby letters of credit</w:t>
            </w:r>
          </w:p>
        </w:tc>
        <w:tc>
          <w:tcPr>
            <w:tcW w:w="2220" w:type="dxa"/>
            <w:vAlign w:val="bottom"/>
          </w:tcPr>
          <w:p>
            <w:pPr>
              <w:spacing w:after="0"/>
              <w:rPr>
                <w:sz w:val="17"/>
                <w:szCs w:val="17"/>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2,433,702</w:t>
            </w:r>
          </w:p>
        </w:tc>
        <w:tc>
          <w:tcPr>
            <w:tcW w:w="280" w:type="dxa"/>
            <w:vAlign w:val="bottom"/>
          </w:tcPr>
          <w:p>
            <w:pPr>
              <w:spacing w:after="0"/>
              <w:rPr>
                <w:sz w:val="17"/>
                <w:szCs w:val="17"/>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2,376,644</w:t>
            </w:r>
          </w:p>
        </w:tc>
      </w:tr>
      <w:tr>
        <w:trPr>
          <w:trHeight w:val="205"/>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letters of credit</w:t>
            </w:r>
          </w:p>
        </w:tc>
        <w:tc>
          <w:tcPr>
            <w:tcW w:w="2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35,038</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65,066</w:t>
            </w: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Financial guarantees and indemnification contracts</w:t>
            </w:r>
          </w:p>
        </w:tc>
        <w:tc>
          <w:tcPr>
            <w:tcW w:w="2220" w:type="dxa"/>
            <w:vAlign w:val="bottom"/>
          </w:tcPr>
          <w:p>
            <w:pPr>
              <w:spacing w:after="0"/>
              <w:rPr>
                <w:sz w:val="17"/>
                <w:szCs w:val="17"/>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3,936,632</w:t>
            </w:r>
          </w:p>
        </w:tc>
        <w:tc>
          <w:tcPr>
            <w:tcW w:w="280" w:type="dxa"/>
            <w:vAlign w:val="bottom"/>
          </w:tcPr>
          <w:p>
            <w:pPr>
              <w:spacing w:after="0"/>
              <w:rPr>
                <w:sz w:val="17"/>
                <w:szCs w:val="17"/>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4,022,432</w:t>
            </w:r>
          </w:p>
        </w:tc>
      </w:tr>
      <w:tr>
        <w:trPr>
          <w:trHeight w:val="205"/>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to sell real estate loans</w:t>
            </w:r>
          </w:p>
        </w:tc>
        <w:tc>
          <w:tcPr>
            <w:tcW w:w="2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1,193,328</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533,458</w:t>
            </w:r>
          </w:p>
        </w:tc>
      </w:tr>
    </w:tbl>
    <w:p>
      <w:pPr>
        <w:spacing w:after="0" w:line="89" w:lineRule="exact"/>
        <w:rPr>
          <w:sz w:val="20"/>
          <w:szCs w:val="20"/>
          <w:color w:val="auto"/>
        </w:rPr>
      </w:pPr>
    </w:p>
    <w:p>
      <w:pPr>
        <w:ind w:left="20" w:right="40" w:firstLine="468"/>
        <w:spacing w:after="0" w:line="253" w:lineRule="auto"/>
        <w:rPr>
          <w:sz w:val="20"/>
          <w:szCs w:val="20"/>
          <w:color w:val="auto"/>
        </w:rPr>
      </w:pPr>
      <w:r>
        <w:rPr>
          <w:rFonts w:ascii="Arial" w:cs="Arial" w:eastAsia="Arial" w:hAnsi="Arial"/>
          <w:sz w:val="18"/>
          <w:szCs w:val="18"/>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$12.5 billion and $11.7 billion at March 31, 2023 and December 31, 2022,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3" w:lineRule="exact"/>
        <w:rPr>
          <w:sz w:val="20"/>
          <w:szCs w:val="20"/>
          <w:color w:val="auto"/>
        </w:rPr>
      </w:pPr>
    </w:p>
    <w:p>
      <w:pPr>
        <w:ind w:left="20" w:right="20" w:firstLine="468"/>
        <w:spacing w:after="0" w:line="255" w:lineRule="auto"/>
        <w:rPr>
          <w:sz w:val="20"/>
          <w:szCs w:val="20"/>
          <w:color w:val="auto"/>
        </w:rPr>
      </w:pPr>
      <w:r>
        <w:rPr>
          <w:rFonts w:ascii="Arial" w:cs="Arial" w:eastAsia="Arial" w:hAnsi="Arial"/>
          <w:sz w:val="18"/>
          <w:szCs w:val="18"/>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$3.8 billion at March 31, 2023 and $3.9 billion at December 31, 2022. There have been no material losses incurred as a result of those credit recourse arrangements.</w:t>
      </w:r>
    </w:p>
    <w:p>
      <w:pPr>
        <w:spacing w:after="0" w:line="73" w:lineRule="exact"/>
        <w:rPr>
          <w:sz w:val="20"/>
          <w:szCs w:val="20"/>
          <w:color w:val="auto"/>
        </w:rPr>
      </w:pPr>
    </w:p>
    <w:p>
      <w:pPr>
        <w:ind w:left="20" w:right="300" w:firstLine="468"/>
        <w:spacing w:after="0" w:line="275"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54" w:lineRule="exact"/>
        <w:rPr>
          <w:sz w:val="20"/>
          <w:szCs w:val="20"/>
          <w:color w:val="auto"/>
        </w:rPr>
      </w:pPr>
    </w:p>
    <w:p>
      <w:pPr>
        <w:ind w:left="20" w:right="40" w:firstLine="468"/>
        <w:spacing w:after="0" w:line="263"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generally recorded in the consolidated balance sheet at estimated fair market value.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41" w:name="page42"/>
    <w:bookmarkEnd w:id="41"/>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15" w:lineRule="exact"/>
        <w:rPr>
          <w:sz w:val="20"/>
          <w:szCs w:val="20"/>
          <w:color w:val="auto"/>
        </w:rPr>
      </w:pPr>
    </w:p>
    <w:p>
      <w:pPr>
        <w:ind w:left="20" w:right="20" w:firstLine="468"/>
        <w:spacing w:after="0" w:line="254" w:lineRule="auto"/>
        <w:rPr>
          <w:sz w:val="20"/>
          <w:szCs w:val="20"/>
          <w:color w:val="auto"/>
        </w:rPr>
      </w:pPr>
      <w:r>
        <w:rPr>
          <w:rFonts w:ascii="Arial" w:cs="Arial" w:eastAsia="Arial" w:hAnsi="Arial"/>
          <w:sz w:val="18"/>
          <w:szCs w:val="18"/>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2023, the Company believes that its obligation to loan purchasers was not material to the Company’s consolidated financial position.</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matters in which claims for monetary damages are asserted. On an on-going basis management, after consultation with legal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counsel, assesses the Company’s liabilities and contingencies in connection with such proceedings. For those matters where it is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probable that the Company will incur losses and the amounts of the losses can be reasonably estimated, the Company records 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expense and corresponding liability in its consolidated financial statements. To the extent pending or threatened litigation could result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exposure in excess of that liability, the amount of such excess is not currently estimable. Although not considered probable,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range of reasonably possible losses for such matters in the aggregate, beyond the existing recorded liability, was between $0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 million as of March 31, 2023. Although the Company does not believe that the outcome of pending legal matters will be material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Company’s consolidated financial position, it cannot rule out the possibility that such outcomes will be material to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results of operations for a particular reporting period in the future.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15" w:lineRule="exact"/>
        <w:rPr>
          <w:sz w:val="20"/>
          <w:szCs w:val="20"/>
          <w:color w:val="auto"/>
        </w:rPr>
      </w:pPr>
    </w:p>
    <w:p>
      <w:pPr>
        <w:ind w:left="20" w:right="20"/>
        <w:spacing w:after="0" w:line="256"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2" w:lineRule="exact"/>
        <w:rPr>
          <w:sz w:val="20"/>
          <w:szCs w:val="20"/>
          <w:color w:val="auto"/>
        </w:rPr>
      </w:pPr>
    </w:p>
    <w:p>
      <w:pPr>
        <w:ind w:left="20" w:right="40" w:firstLine="468"/>
        <w:spacing w:after="0" w:line="252"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23 of Notes to Financial Statements in the 2022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As described in the 2022 Annual Report, in the fourth quarter of 2022 the Company revised its segment reporting related to: allocations of certain incentive compensation; a refinement of consumption-driven services allocations including cybersecurity and modeling functions; an expanded allocation of franchise-type services such as risk management, data services and legal services; and a refinement in allocation of technology application costs in support of business activities. Additionally certain lending relationships within the hospitality sector that had previously received oversight within the Commercial Banking segment were realigned to the Commercial Real Estate segment. As a result, financial information for the three months ended March 31, 2022 has been reclassified to provide segment information on a comparable basis, as noted in the accompanying table.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42" w:name="page43"/>
    <w:bookmarkEnd w:id="42"/>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13"/>
          </w:tcPr>
          <w:p>
            <w:pPr>
              <w:jc w:val="right"/>
              <w:ind w:right="20"/>
              <w:spacing w:after="0"/>
              <w:rPr>
                <w:sz w:val="20"/>
                <w:szCs w:val="20"/>
                <w:color w:val="auto"/>
              </w:rPr>
            </w:pPr>
            <w:r>
              <w:rPr>
                <w:rFonts w:ascii="Arial" w:cs="Arial" w:eastAsia="Arial" w:hAnsi="Arial"/>
                <w:sz w:val="13"/>
                <w:szCs w:val="13"/>
                <w:b w:val="1"/>
                <w:bCs w:val="1"/>
                <w:color w:val="auto"/>
              </w:rPr>
              <w:t>Three Months Ended March 31, 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Net 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Revenues as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ind w:left="12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3"/>
                <w:szCs w:val="13"/>
                <w:color w:val="auto"/>
              </w:rPr>
            </w:pPr>
          </w:p>
        </w:tc>
        <w:tc>
          <w:tcPr>
            <w:tcW w:w="820" w:type="dxa"/>
            <w:vAlign w:val="bottom"/>
            <w:gridSpan w:val="3"/>
          </w:tcPr>
          <w:p>
            <w:pPr>
              <w:jc w:val="right"/>
              <w:ind w:right="94"/>
              <w:spacing w:after="0"/>
              <w:rPr>
                <w:sz w:val="20"/>
                <w:szCs w:val="20"/>
                <w:color w:val="auto"/>
              </w:rPr>
            </w:pPr>
            <w:r>
              <w:rPr>
                <w:rFonts w:ascii="Arial" w:cs="Arial" w:eastAsia="Arial" w:hAnsi="Arial"/>
                <w:sz w:val="13"/>
                <w:szCs w:val="13"/>
                <w:b w:val="1"/>
                <w:bCs w:val="1"/>
                <w:color w:val="auto"/>
              </w:rPr>
              <w:t>(Loss) as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Net Income</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rPr>
              <w:t>Previously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354"/>
              <w:spacing w:after="0"/>
              <w:rPr>
                <w:sz w:val="20"/>
                <w:szCs w:val="20"/>
                <w:color w:val="auto"/>
              </w:rPr>
            </w:pPr>
            <w:r>
              <w:rPr>
                <w:rFonts w:ascii="Arial" w:cs="Arial" w:eastAsia="Arial" w:hAnsi="Arial"/>
                <w:sz w:val="13"/>
                <w:szCs w:val="13"/>
                <w:b w:val="1"/>
                <w:bCs w:val="1"/>
                <w:color w:val="auto"/>
              </w:rPr>
              <w:t>Impact of</w:t>
            </w:r>
          </w:p>
        </w:tc>
        <w:tc>
          <w:tcPr>
            <w:tcW w:w="40" w:type="dxa"/>
            <w:vAlign w:val="bottom"/>
          </w:tcPr>
          <w:p>
            <w:pPr>
              <w:spacing w:after="0"/>
              <w:rPr>
                <w:sz w:val="13"/>
                <w:szCs w:val="13"/>
                <w:color w:val="auto"/>
              </w:rPr>
            </w:pPr>
          </w:p>
        </w:tc>
        <w:tc>
          <w:tcPr>
            <w:tcW w:w="1120" w:type="dxa"/>
            <w:vAlign w:val="bottom"/>
            <w:gridSpan w:val="5"/>
          </w:tcPr>
          <w:p>
            <w:pPr>
              <w:ind w:left="40"/>
              <w:spacing w:after="0"/>
              <w:rPr>
                <w:sz w:val="20"/>
                <w:szCs w:val="20"/>
                <w:color w:val="auto"/>
              </w:rPr>
            </w:pPr>
            <w:r>
              <w:rPr>
                <w:rFonts w:ascii="Arial" w:cs="Arial" w:eastAsia="Arial" w:hAnsi="Arial"/>
                <w:sz w:val="13"/>
                <w:szCs w:val="13"/>
                <w:b w:val="1"/>
                <w:bCs w:val="1"/>
                <w:color w:val="auto"/>
              </w:rPr>
              <w:t>Revenues as</w:t>
            </w:r>
          </w:p>
        </w:tc>
        <w:tc>
          <w:tcPr>
            <w:tcW w:w="8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Previously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b w:val="1"/>
                <w:bCs w:val="1"/>
                <w:color w:val="auto"/>
              </w:rPr>
              <w:t>Impact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(Loss) as</w:t>
            </w: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Reported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374"/>
              <w:spacing w:after="0"/>
              <w:rPr>
                <w:sz w:val="20"/>
                <w:szCs w:val="20"/>
                <w:color w:val="auto"/>
              </w:rPr>
            </w:pPr>
            <w:r>
              <w:rPr>
                <w:rFonts w:ascii="Arial" w:cs="Arial" w:eastAsia="Arial" w:hAnsi="Arial"/>
                <w:sz w:val="13"/>
                <w:szCs w:val="13"/>
                <w:b w:val="1"/>
                <w:bCs w:val="1"/>
                <w:color w:val="auto"/>
              </w:rPr>
              <w:t>Changes</w:t>
            </w:r>
          </w:p>
        </w:tc>
        <w:tc>
          <w:tcPr>
            <w:tcW w:w="40" w:type="dxa"/>
            <w:vAlign w:val="bottom"/>
          </w:tcPr>
          <w:p>
            <w:pPr>
              <w:spacing w:after="0"/>
              <w:rPr>
                <w:sz w:val="15"/>
                <w:szCs w:val="15"/>
                <w:color w:val="auto"/>
              </w:rPr>
            </w:pPr>
          </w:p>
        </w:tc>
        <w:tc>
          <w:tcPr>
            <w:tcW w:w="1120" w:type="dxa"/>
            <w:vAlign w:val="bottom"/>
            <w:gridSpan w:val="5"/>
          </w:tcPr>
          <w:p>
            <w:pPr>
              <w:ind w:left="40"/>
              <w:spacing w:after="0"/>
              <w:rPr>
                <w:sz w:val="20"/>
                <w:szCs w:val="20"/>
                <w:color w:val="auto"/>
              </w:rPr>
            </w:pPr>
            <w:r>
              <w:rPr>
                <w:rFonts w:ascii="Arial" w:cs="Arial" w:eastAsia="Arial" w:hAnsi="Arial"/>
                <w:sz w:val="13"/>
                <w:szCs w:val="13"/>
                <w:b w:val="1"/>
                <w:bCs w:val="1"/>
                <w:color w:val="auto"/>
              </w:rPr>
              <w:t>Reclassified</w:t>
            </w:r>
          </w:p>
        </w:tc>
        <w:tc>
          <w:tcPr>
            <w:tcW w:w="80" w:type="dxa"/>
            <w:vAlign w:val="bottom"/>
          </w:tcPr>
          <w:p>
            <w:pPr>
              <w:spacing w:after="0"/>
              <w:rPr>
                <w:sz w:val="15"/>
                <w:szCs w:val="15"/>
                <w:color w:val="auto"/>
              </w:rPr>
            </w:pPr>
          </w:p>
        </w:tc>
        <w:tc>
          <w:tcPr>
            <w:tcW w:w="820" w:type="dxa"/>
            <w:vAlign w:val="bottom"/>
            <w:gridSpan w:val="3"/>
          </w:tcPr>
          <w:p>
            <w:pPr>
              <w:jc w:val="right"/>
              <w:ind w:right="94"/>
              <w:spacing w:after="0"/>
              <w:rPr>
                <w:sz w:val="20"/>
                <w:szCs w:val="20"/>
                <w:color w:val="auto"/>
              </w:rPr>
            </w:pPr>
            <w:r>
              <w:rPr>
                <w:rFonts w:ascii="Arial" w:cs="Arial" w:eastAsia="Arial" w:hAnsi="Arial"/>
                <w:sz w:val="13"/>
                <w:szCs w:val="13"/>
                <w:b w:val="1"/>
                <w:bCs w:val="1"/>
                <w:color w:val="auto"/>
              </w:rPr>
              <w:t>Reported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Changes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Reclassified</w:t>
            </w:r>
          </w:p>
        </w:tc>
        <w:tc>
          <w:tcPr>
            <w:tcW w:w="0" w:type="dxa"/>
            <w:vAlign w:val="bottom"/>
          </w:tcPr>
          <w:p>
            <w:pPr>
              <w:spacing w:after="0"/>
              <w:rPr>
                <w:sz w:val="1"/>
                <w:szCs w:val="1"/>
                <w:color w:val="auto"/>
              </w:rPr>
            </w:pPr>
          </w:p>
        </w:tc>
      </w:tr>
      <w:tr>
        <w:trPr>
          <w:trHeight w:val="204"/>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8"/>
          </w:tcPr>
          <w:p>
            <w:pPr>
              <w:jc w:val="right"/>
              <w:ind w:right="514"/>
              <w:spacing w:after="0"/>
              <w:rPr>
                <w:sz w:val="20"/>
                <w:szCs w:val="20"/>
                <w:color w:val="auto"/>
              </w:rPr>
            </w:pPr>
            <w:r>
              <w:rPr>
                <w:rFonts w:ascii="Arial" w:cs="Arial" w:eastAsia="Arial" w:hAnsi="Arial"/>
                <w:sz w:val="13"/>
                <w:szCs w:val="13"/>
                <w:b w:val="1"/>
                <w:bCs w:val="1"/>
                <w:color w:val="auto"/>
              </w:rPr>
              <w:t>(In thousands)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3760" w:type="dxa"/>
            <w:vAlign w:val="bottom"/>
          </w:tcPr>
          <w:p>
            <w:pPr>
              <w:ind w:left="20"/>
              <w:spacing w:after="0"/>
              <w:rPr>
                <w:sz w:val="20"/>
                <w:szCs w:val="20"/>
                <w:color w:val="auto"/>
              </w:rPr>
            </w:pPr>
            <w:r>
              <w:rPr>
                <w:rFonts w:ascii="Arial" w:cs="Arial" w:eastAsia="Arial" w:hAnsi="Arial"/>
                <w:sz w:val="16"/>
                <w:szCs w:val="16"/>
                <w:color w:val="auto"/>
              </w:rPr>
              <w:t>Business Banking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141,346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ind w:right="154"/>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31"/>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141,346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41,111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6"/>
                <w:szCs w:val="16"/>
                <w:color w:val="auto"/>
              </w:rPr>
              <w:t>(1,579)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39,532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Banking</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289,372</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94"/>
              <w:spacing w:after="0"/>
              <w:rPr>
                <w:sz w:val="20"/>
                <w:szCs w:val="20"/>
                <w:color w:val="auto"/>
              </w:rPr>
            </w:pPr>
            <w:r>
              <w:rPr>
                <w:rFonts w:ascii="Arial" w:cs="Arial" w:eastAsia="Arial" w:hAnsi="Arial"/>
                <w:sz w:val="16"/>
                <w:szCs w:val="16"/>
                <w:color w:val="auto"/>
              </w:rPr>
              <w:t>(10,437 )</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278,935</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144,608</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color w:val="auto"/>
              </w:rPr>
              <w:t>(16,148 )</w:t>
            </w: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202,087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10,437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212,524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97,610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13,636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111,246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Discretionary Portfolio</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64,727</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54"/>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64,727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35,385</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color w:val="auto"/>
              </w:rPr>
              <w:t>(700 )</w:t>
            </w: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Residential Mortgage Banking</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137,444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15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137,444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28,964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6"/>
                <w:szCs w:val="16"/>
                <w:color w:val="auto"/>
              </w:rPr>
              <w:t>(1,850)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27,114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Banking</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355,148</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54"/>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355,148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84,164</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color w:val="auto"/>
              </w:rPr>
              <w:t>(5,082)</w:t>
            </w: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254,937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15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254,937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6"/>
                <w:szCs w:val="16"/>
                <w:color w:val="auto"/>
              </w:rPr>
              <w:t>(69,668 )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11,723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(57,945 )</w:t>
            </w:r>
          </w:p>
        </w:tc>
        <w:tc>
          <w:tcPr>
            <w:tcW w:w="0" w:type="dxa"/>
            <w:vAlign w:val="bottom"/>
          </w:tcPr>
          <w:p>
            <w:pPr>
              <w:spacing w:after="0"/>
              <w:rPr>
                <w:sz w:val="1"/>
                <w:szCs w:val="1"/>
                <w:color w:val="auto"/>
              </w:rPr>
            </w:pPr>
          </w:p>
        </w:tc>
      </w:tr>
      <w:tr>
        <w:trPr>
          <w:trHeight w:val="244"/>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1,445,061</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3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1,445,061</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362,174</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362,174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860" w:type="dxa"/>
            <w:vAlign w:val="bottom"/>
            <w:gridSpan w:val="5"/>
          </w:tcPr>
          <w:p>
            <w:pPr>
              <w:ind w:left="480"/>
              <w:spacing w:after="0"/>
              <w:rPr>
                <w:sz w:val="20"/>
                <w:szCs w:val="20"/>
                <w:color w:val="auto"/>
              </w:rPr>
            </w:pPr>
            <w:r>
              <w:rPr>
                <w:rFonts w:ascii="Arial" w:cs="Arial" w:eastAsia="Arial" w:hAnsi="Arial"/>
                <w:sz w:val="18"/>
                <w:szCs w:val="18"/>
                <w:color w:val="auto"/>
              </w:rPr>
              <w:t>Information about the Company's segments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9"/>
          </w:tcPr>
          <w:p>
            <w:pPr>
              <w:ind w:left="40"/>
              <w:spacing w:after="0"/>
              <w:rPr>
                <w:sz w:val="20"/>
                <w:szCs w:val="20"/>
                <w:color w:val="auto"/>
              </w:rPr>
            </w:pPr>
            <w:r>
              <w:rPr>
                <w:rFonts w:ascii="Arial" w:cs="Arial" w:eastAsia="Arial" w:hAnsi="Arial"/>
                <w:sz w:val="13"/>
                <w:szCs w:val="13"/>
                <w:b w:val="1"/>
                <w:bCs w:val="1"/>
                <w:color w:val="auto"/>
              </w:rPr>
              <w:t>Three Months Ended March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ind w:right="8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214"/>
              <w:spacing w:after="0"/>
              <w:rPr>
                <w:sz w:val="20"/>
                <w:szCs w:val="20"/>
                <w:color w:val="auto"/>
              </w:rPr>
            </w:pPr>
            <w:r>
              <w:rPr>
                <w:rFonts w:ascii="Arial" w:cs="Arial" w:eastAsia="Arial" w:hAnsi="Arial"/>
                <w:sz w:val="13"/>
                <w:szCs w:val="13"/>
                <w:b w:val="1"/>
                <w:bCs w:val="1"/>
                <w:color w:val="auto"/>
              </w:rPr>
              <w:t>Inter-</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ind w:left="200"/>
              <w:spacing w:after="0"/>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Inter-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244"/>
              <w:spacing w:after="0"/>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214"/>
              <w:spacing w:after="0"/>
              <w:rPr>
                <w:sz w:val="20"/>
                <w:szCs w:val="20"/>
                <w:color w:val="auto"/>
              </w:rPr>
            </w:pPr>
            <w:r>
              <w:rPr>
                <w:rFonts w:ascii="Arial" w:cs="Arial" w:eastAsia="Arial" w:hAnsi="Arial"/>
                <w:sz w:val="13"/>
                <w:szCs w:val="13"/>
                <w:b w:val="1"/>
                <w:bCs w:val="1"/>
                <w:color w:val="auto"/>
              </w:rPr>
              <w:t>segment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ind w:left="100"/>
              <w:spacing w:after="0"/>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14"/>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segment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8"/>
              </w:rPr>
              <w:t>Revenues(a)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center"/>
              <w:ind w:right="214"/>
              <w:spacing w:after="0"/>
              <w:rPr>
                <w:sz w:val="20"/>
                <w:szCs w:val="20"/>
                <w:color w:val="auto"/>
              </w:rPr>
            </w:pPr>
            <w:r>
              <w:rPr>
                <w:rFonts w:ascii="Arial" w:cs="Arial" w:eastAsia="Arial" w:hAnsi="Arial"/>
                <w:sz w:val="13"/>
                <w:szCs w:val="13"/>
                <w:b w:val="1"/>
                <w:bCs w:val="1"/>
                <w:color w:val="auto"/>
              </w:rPr>
              <w:t>Revenues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ind w:left="140"/>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Revenues(a)</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Revenues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8"/>
          </w:tcPr>
          <w:p>
            <w:pPr>
              <w:jc w:val="right"/>
              <w:ind w:right="514"/>
              <w:spacing w:after="0"/>
              <w:rPr>
                <w:sz w:val="20"/>
                <w:szCs w:val="20"/>
                <w:color w:val="auto"/>
              </w:rPr>
            </w:pPr>
            <w:r>
              <w:rPr>
                <w:rFonts w:ascii="Arial" w:cs="Arial" w:eastAsia="Arial" w:hAnsi="Arial"/>
                <w:sz w:val="13"/>
                <w:szCs w:val="13"/>
                <w:b w:val="1"/>
                <w:bCs w:val="1"/>
                <w:color w:val="auto"/>
              </w:rPr>
              <w:t>(In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3760" w:type="dxa"/>
            <w:vAlign w:val="bottom"/>
          </w:tcPr>
          <w:p>
            <w:pPr>
              <w:ind w:left="20"/>
              <w:spacing w:after="0"/>
              <w:rPr>
                <w:sz w:val="20"/>
                <w:szCs w:val="20"/>
                <w:color w:val="auto"/>
              </w:rPr>
            </w:pPr>
            <w:r>
              <w:rPr>
                <w:rFonts w:ascii="Arial" w:cs="Arial" w:eastAsia="Arial" w:hAnsi="Arial"/>
                <w:sz w:val="16"/>
                <w:szCs w:val="16"/>
                <w:color w:val="auto"/>
              </w:rPr>
              <w:t>Business Banking</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273,551</w:t>
            </w:r>
          </w:p>
        </w:tc>
        <w:tc>
          <w:tcPr>
            <w:tcW w:w="140" w:type="dxa"/>
            <w:vAlign w:val="bottom"/>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877</w:t>
            </w:r>
          </w:p>
        </w:tc>
        <w:tc>
          <w:tcPr>
            <w:tcW w:w="160" w:type="dxa"/>
            <w:vAlign w:val="bottom"/>
          </w:tcPr>
          <w:p>
            <w:pPr>
              <w:spacing w:after="0"/>
              <w:rPr>
                <w:sz w:val="24"/>
                <w:szCs w:val="24"/>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6"/>
                <w:szCs w:val="16"/>
                <w:color w:val="auto"/>
              </w:rPr>
              <w:t>113,251</w:t>
            </w:r>
          </w:p>
        </w:tc>
        <w:tc>
          <w:tcPr>
            <w:tcW w:w="140" w:type="dxa"/>
            <w:vAlign w:val="bottom"/>
          </w:tcPr>
          <w:p>
            <w:pPr>
              <w:spacing w:after="0"/>
              <w:rPr>
                <w:sz w:val="24"/>
                <w:szCs w:val="24"/>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w w:val="89"/>
              </w:rPr>
              <w:t>$</w:t>
            </w:r>
          </w:p>
        </w:tc>
        <w:tc>
          <w:tcPr>
            <w:tcW w:w="860" w:type="dxa"/>
            <w:vAlign w:val="bottom"/>
            <w:gridSpan w:val="4"/>
            <w:vMerge w:val="restart"/>
          </w:tcPr>
          <w:p>
            <w:pPr>
              <w:jc w:val="right"/>
              <w:spacing w:after="0"/>
              <w:rPr>
                <w:sz w:val="20"/>
                <w:szCs w:val="20"/>
                <w:color w:val="auto"/>
              </w:rPr>
            </w:pPr>
            <w:r>
              <w:rPr>
                <w:rFonts w:ascii="Arial" w:cs="Arial" w:eastAsia="Arial" w:hAnsi="Arial"/>
                <w:sz w:val="16"/>
                <w:szCs w:val="16"/>
                <w:color w:val="auto"/>
              </w:rPr>
              <w:t>141,346</w:t>
            </w:r>
          </w:p>
        </w:tc>
        <w:tc>
          <w:tcPr>
            <w:tcW w:w="34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4"/>
            <w:vMerge w:val="restart"/>
          </w:tcPr>
          <w:p>
            <w:pPr>
              <w:jc w:val="right"/>
              <w:ind w:right="20"/>
              <w:spacing w:after="0"/>
              <w:rPr>
                <w:sz w:val="20"/>
                <w:szCs w:val="20"/>
                <w:color w:val="auto"/>
              </w:rPr>
            </w:pPr>
            <w:r>
              <w:rPr>
                <w:rFonts w:ascii="Arial" w:cs="Arial" w:eastAsia="Arial" w:hAnsi="Arial"/>
                <w:sz w:val="16"/>
                <w:szCs w:val="16"/>
                <w:color w:val="auto"/>
              </w:rPr>
              <w:t>671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39,532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Banking</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507,020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10,226</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219,979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278,935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863</w:t>
            </w: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225,719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289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80,809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212,524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111,246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Discretionary Portfolio</w:t>
            </w:r>
          </w:p>
        </w:tc>
        <w:tc>
          <w:tcPr>
            <w:tcW w:w="1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(33,396 )</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34"/>
              <w:spacing w:after="0"/>
              <w:rPr>
                <w:sz w:val="20"/>
                <w:szCs w:val="20"/>
                <w:color w:val="auto"/>
              </w:rPr>
            </w:pPr>
            <w:r>
              <w:rPr>
                <w:rFonts w:ascii="Arial" w:cs="Arial" w:eastAsia="Arial" w:hAnsi="Arial"/>
                <w:sz w:val="16"/>
                <w:szCs w:val="16"/>
                <w:color w:val="auto"/>
              </w:rPr>
              <w:t>(15,205 )</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(40,397 )</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64,727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7"/>
            <w:shd w:val="clear" w:color="auto" w:fill="CFF0FC"/>
          </w:tcPr>
          <w:p>
            <w:pPr>
              <w:jc w:val="right"/>
              <w:ind w:right="20"/>
              <w:spacing w:after="0"/>
              <w:rPr>
                <w:sz w:val="20"/>
                <w:szCs w:val="20"/>
                <w:color w:val="auto"/>
              </w:rPr>
            </w:pPr>
            <w:r>
              <w:rPr>
                <w:rFonts w:ascii="Arial" w:cs="Arial" w:eastAsia="Arial" w:hAnsi="Arial"/>
                <w:sz w:val="16"/>
                <w:szCs w:val="16"/>
                <w:color w:val="auto"/>
              </w:rPr>
              <w:t>(27,805 )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Residential Mortgage Banking</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77,654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20,472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(12,354 )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137,444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37,464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27,114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Banking</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831,842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34"/>
              <w:spacing w:after="0"/>
              <w:rPr>
                <w:sz w:val="20"/>
                <w:szCs w:val="20"/>
                <w:color w:val="auto"/>
              </w:rPr>
            </w:pPr>
            <w:r>
              <w:rPr>
                <w:rFonts w:ascii="Arial" w:cs="Arial" w:eastAsia="Arial" w:hAnsi="Arial"/>
                <w:sz w:val="16"/>
                <w:szCs w:val="16"/>
                <w:color w:val="auto"/>
              </w:rPr>
              <w:t>(39)</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316,594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355,148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w w:val="83"/>
              </w:rPr>
              <w:t>(3 )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523,007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34"/>
              <w:spacing w:after="0"/>
              <w:rPr>
                <w:sz w:val="20"/>
                <w:szCs w:val="20"/>
                <w:color w:val="auto"/>
              </w:rPr>
            </w:pPr>
            <w:r>
              <w:rPr>
                <w:rFonts w:ascii="Arial" w:cs="Arial" w:eastAsia="Arial" w:hAnsi="Arial"/>
                <w:sz w:val="16"/>
                <w:szCs w:val="16"/>
                <w:color w:val="auto"/>
              </w:rPr>
              <w:t>(16,620 )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23,742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254,937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7"/>
          </w:tcPr>
          <w:p>
            <w:pPr>
              <w:jc w:val="right"/>
              <w:ind w:right="20"/>
              <w:spacing w:after="0"/>
              <w:rPr>
                <w:sz w:val="20"/>
                <w:szCs w:val="20"/>
                <w:color w:val="auto"/>
              </w:rPr>
            </w:pPr>
            <w:r>
              <w:rPr>
                <w:rFonts w:ascii="Arial" w:cs="Arial" w:eastAsia="Arial" w:hAnsi="Arial"/>
                <w:sz w:val="16"/>
                <w:szCs w:val="16"/>
                <w:color w:val="auto"/>
              </w:rPr>
              <w:t>(11,369 )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(57,945 )</w:t>
            </w:r>
          </w:p>
        </w:tc>
        <w:tc>
          <w:tcPr>
            <w:tcW w:w="0" w:type="dxa"/>
            <w:vAlign w:val="bottom"/>
          </w:tcPr>
          <w:p>
            <w:pPr>
              <w:spacing w:after="0"/>
              <w:rPr>
                <w:sz w:val="1"/>
                <w:szCs w:val="1"/>
                <w:color w:val="auto"/>
              </w:rPr>
            </w:pPr>
          </w:p>
        </w:tc>
      </w:tr>
      <w:tr>
        <w:trPr>
          <w:trHeight w:val="244"/>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2,405,397</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701,624</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rPr>
              <w:t>1,445,061</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Borders>
              <w:bottom w:val="single" w:sz="8" w:color="CFF0FC"/>
            </w:tcBorders>
            <w:gridSpan w:val="3"/>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362,174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1020" w:type="dxa"/>
            <w:vAlign w:val="bottom"/>
            <w:gridSpan w:val="5"/>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40" w:type="dxa"/>
            <w:vAlign w:val="bottom"/>
            <w:gridSpan w:val="13"/>
          </w:tcPr>
          <w:p>
            <w:pPr>
              <w:jc w:val="right"/>
              <w:ind w:right="200"/>
              <w:spacing w:after="0"/>
              <w:rPr>
                <w:sz w:val="20"/>
                <w:szCs w:val="20"/>
                <w:color w:val="auto"/>
              </w:rPr>
            </w:pPr>
            <w:r>
              <w:rPr>
                <w:rFonts w:ascii="Arial" w:cs="Arial" w:eastAsia="Arial" w:hAnsi="Arial"/>
                <w:sz w:val="13"/>
                <w:szCs w:val="13"/>
                <w:b w:val="1"/>
                <w:bCs w:val="1"/>
                <w:color w:val="auto"/>
              </w:rPr>
              <w:t>Average Total Assets</w:t>
            </w:r>
          </w:p>
        </w:tc>
        <w:tc>
          <w:tcPr>
            <w:tcW w:w="1020" w:type="dxa"/>
            <w:vAlign w:val="bottom"/>
            <w:gridSpan w:val="4"/>
            <w:vMerge w:val="restart"/>
          </w:tcPr>
          <w:p>
            <w:pPr>
              <w:jc w:val="right"/>
              <w:ind w:right="22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3"/>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13"/>
          </w:tcPr>
          <w:p>
            <w:pPr>
              <w:ind w:left="60"/>
              <w:spacing w:after="0"/>
              <w:rPr>
                <w:sz w:val="20"/>
                <w:szCs w:val="20"/>
                <w:color w:val="auto"/>
              </w:rPr>
            </w:pPr>
            <w:r>
              <w:rPr>
                <w:rFonts w:ascii="Arial" w:cs="Arial" w:eastAsia="Arial" w:hAnsi="Arial"/>
                <w:sz w:val="13"/>
                <w:szCs w:val="13"/>
                <w:b w:val="1"/>
                <w:bCs w:val="1"/>
                <w:color w:val="auto"/>
              </w:rPr>
              <w:t>Three Months Ended March 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26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rPr>
              <w:t>(In millions)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Business Banking</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7,825</w:t>
            </w: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6,568</w:t>
            </w:r>
          </w:p>
        </w:tc>
        <w:tc>
          <w:tcPr>
            <w:tcW w:w="100" w:type="dxa"/>
            <w:vAlign w:val="bottom"/>
            <w:shd w:val="clear" w:color="auto" w:fill="CFF0FC"/>
          </w:tcPr>
          <w:p>
            <w:pPr>
              <w:spacing w:after="0"/>
              <w:rPr>
                <w:sz w:val="17"/>
                <w:szCs w:val="17"/>
                <w:color w:val="auto"/>
              </w:rPr>
            </w:pPr>
          </w:p>
        </w:tc>
        <w:tc>
          <w:tcPr>
            <w:tcW w:w="360" w:type="dxa"/>
            <w:vAlign w:val="bottom"/>
            <w:gridSpan w:val="6"/>
            <w:shd w:val="clear" w:color="auto" w:fill="CFF0FC"/>
          </w:tcPr>
          <w:p>
            <w:pPr>
              <w:jc w:val="right"/>
              <w:ind w:right="1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Commercial Banking (b)</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48,222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26,329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40,930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 (b)</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32,171</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23,939</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Discretionary Portfolio</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50,501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22,899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42,657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Banking</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2,605</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6,250</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Retail Banking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21,421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18,610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 Other</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39,854</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47,053</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202,599</w:t>
            </w:r>
          </w:p>
        </w:tc>
        <w:tc>
          <w:tcPr>
            <w:tcW w:w="2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151,648</w:t>
            </w:r>
          </w:p>
        </w:tc>
        <w:tc>
          <w:tcPr>
            <w:tcW w:w="100" w:type="dxa"/>
            <w:vAlign w:val="bottom"/>
          </w:tcPr>
          <w:p>
            <w:pPr>
              <w:spacing w:after="0"/>
              <w:rPr>
                <w:sz w:val="17"/>
                <w:szCs w:val="17"/>
                <w:color w:val="auto"/>
              </w:rPr>
            </w:pPr>
          </w:p>
        </w:tc>
        <w:tc>
          <w:tcPr>
            <w:tcW w:w="360" w:type="dxa"/>
            <w:vAlign w:val="bottom"/>
            <w:gridSpan w:val="6"/>
          </w:tcPr>
          <w:p>
            <w:pPr>
              <w:jc w:val="right"/>
              <w:ind w:right="1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190,252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20"/>
        <w:spacing w:after="0" w:line="255" w:lineRule="auto"/>
        <w:rPr>
          <w:sz w:val="20"/>
          <w:szCs w:val="20"/>
          <w:color w:val="auto"/>
        </w:rPr>
      </w:pPr>
      <w:r>
        <w:rPr>
          <w:rFonts w:ascii="Arial" w:cs="Arial" w:eastAsia="Arial" w:hAnsi="Arial"/>
          <w:sz w:val="13"/>
          <w:szCs w:val="13"/>
          <w:i w:val="1"/>
          <w:iCs w:val="1"/>
          <w:color w:val="auto"/>
        </w:rPr>
        <w:t>(a)Total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 The taxable-equivalent adjustment aggregated $13,462,000 and $3,234,000 for the three-month periods ended March 31, 2023 and 2022, respectively, and is eliminated in "All Other" total revenues. Intersegment revenues are included in total revenues of the reportable segments. The elimination of intersegment revenues is included in the determination of "All Other" total revenues.</w:t>
      </w:r>
    </w:p>
    <w:p>
      <w:pPr>
        <w:ind w:left="20" w:right="200"/>
        <w:spacing w:after="0" w:line="263" w:lineRule="auto"/>
        <w:rPr>
          <w:sz w:val="20"/>
          <w:szCs w:val="20"/>
          <w:color w:val="auto"/>
        </w:rPr>
      </w:pPr>
      <w:r>
        <w:rPr>
          <w:rFonts w:ascii="Arial" w:cs="Arial" w:eastAsia="Arial" w:hAnsi="Arial"/>
          <w:sz w:val="13"/>
          <w:szCs w:val="13"/>
          <w:i w:val="1"/>
          <w:iCs w:val="1"/>
          <w:color w:val="auto"/>
        </w:rPr>
        <w:t>(b)Average total assets reclassified from the Commercial Banking segment to the Commercial Real Estate segment relating to lending relationships in the hospitality sector totaled $1.29 billion for the three months ended March 31,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- 42 -</w:t>
      </w:r>
    </w:p>
    <w:p>
      <w:pPr>
        <w:sectPr>
          <w:pgSz w:w="11900" w:h="16840" w:orient="portrait"/>
          <w:cols w:equalWidth="0" w:num="1">
            <w:col w:w="10620"/>
          </w:cols>
          <w:pgMar w:left="640" w:top="562" w:right="640"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That investment had no remaining carrying value at March 31, 2023 as a result of cumulative losses recognized and cash distributions received in prior years. Cash distributions now received from BLG are recognized as income by M&amp;T and included in other revenues from operations. That income totaled $20 million and $30 million for the three-month periods ended March 31, 2023 and 2022, respectively.</w:t>
      </w:r>
    </w:p>
    <w:p>
      <w:pPr>
        <w:spacing w:after="0" w:line="72" w:lineRule="exact"/>
        <w:rPr>
          <w:sz w:val="20"/>
          <w:szCs w:val="20"/>
          <w:color w:val="auto"/>
        </w:rPr>
      </w:pPr>
    </w:p>
    <w:p>
      <w:pPr>
        <w:ind w:right="40" w:firstLine="468"/>
        <w:spacing w:after="0" w:line="253" w:lineRule="auto"/>
        <w:rPr>
          <w:sz w:val="20"/>
          <w:szCs w:val="20"/>
          <w:color w:val="auto"/>
        </w:rPr>
      </w:pPr>
      <w:r>
        <w:rPr>
          <w:rFonts w:ascii="Arial" w:cs="Arial" w:eastAsia="Arial" w:hAnsi="Arial"/>
          <w:sz w:val="18"/>
          <w:szCs w:val="18"/>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$1.4 billion at each of March 31, 2023 and December 31, 2022. Revenues from those servicing rights were $2 million in each of the three- month periods ended March 31, 2023 and 2022. The Company sub-services residential mortgage loans for Bayview Financial having outstanding principal balances of $98.0 billion and $96.0 billion at March 31, 2023 and December 31, 2022, respectively. Revenues earned for sub-servicing loans for Bayview Financial were $32 million and $42 million for the three-month periods ended March 31, 2023 and 2022, respectively. In addition, the Company held $48 million and $50 million of mortgage-backed securities in its held-to -maturity portfolio at March 31, 2023 and December 31, 2022, respectively, that were securitized by Bayview Financial. At March 31, 2023, the Company held $523 million of Bayview Financial's $2.5 billion syndicated loan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developments</w:t>
      </w:r>
    </w:p>
    <w:p>
      <w:pPr>
        <w:spacing w:after="0" w:line="11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following table provides a description of accounting standards that were adopted by the Company in 2023 as well as standards that are not effective that could have an impact to M&amp;T’s consolidated financial statements upon adoption.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3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360" w:type="dxa"/>
            <w:vAlign w:val="bottom"/>
          </w:tcPr>
          <w:p>
            <w:pPr>
              <w:jc w:val="center"/>
              <w:ind w:left="54"/>
              <w:spacing w:after="0"/>
              <w:rPr>
                <w:sz w:val="20"/>
                <w:szCs w:val="20"/>
                <w:color w:val="auto"/>
              </w:rPr>
            </w:pPr>
            <w:r>
              <w:rPr>
                <w:rFonts w:ascii="Arial" w:cs="Arial" w:eastAsia="Arial" w:hAnsi="Arial"/>
                <w:sz w:val="13"/>
                <w:szCs w:val="13"/>
                <w:b w:val="1"/>
                <w:bCs w:val="1"/>
                <w:color w:val="auto"/>
              </w:rPr>
              <w:t>Required date</w:t>
            </w:r>
          </w:p>
        </w:tc>
        <w:tc>
          <w:tcPr>
            <w:tcW w:w="3500" w:type="dxa"/>
            <w:vAlign w:val="bottom"/>
          </w:tcPr>
          <w:p>
            <w:pPr>
              <w:spacing w:after="0"/>
              <w:rPr>
                <w:sz w:val="13"/>
                <w:szCs w:val="13"/>
                <w:color w:val="auto"/>
              </w:rPr>
            </w:pPr>
          </w:p>
        </w:tc>
      </w:tr>
      <w:tr>
        <w:trPr>
          <w:trHeight w:val="183"/>
        </w:trPr>
        <w:tc>
          <w:tcPr>
            <w:tcW w:w="1360" w:type="dxa"/>
            <w:vAlign w:val="bottom"/>
          </w:tcPr>
          <w:p>
            <w:pPr>
              <w:ind w:left="400"/>
              <w:spacing w:after="0"/>
              <w:rPr>
                <w:sz w:val="20"/>
                <w:szCs w:val="20"/>
                <w:color w:val="auto"/>
              </w:rPr>
            </w:pPr>
            <w:r>
              <w:rPr>
                <w:rFonts w:ascii="Arial" w:cs="Arial" w:eastAsia="Arial" w:hAnsi="Arial"/>
                <w:sz w:val="13"/>
                <w:szCs w:val="13"/>
                <w:b w:val="1"/>
                <w:bCs w:val="1"/>
                <w:color w:val="auto"/>
              </w:rPr>
              <w:t>Standard</w:t>
            </w:r>
          </w:p>
        </w:tc>
        <w:tc>
          <w:tcPr>
            <w:tcW w:w="4340" w:type="dxa"/>
            <w:vAlign w:val="bottom"/>
          </w:tcPr>
          <w:p>
            <w:pPr>
              <w:ind w:left="1820"/>
              <w:spacing w:after="0"/>
              <w:rPr>
                <w:sz w:val="20"/>
                <w:szCs w:val="20"/>
                <w:color w:val="auto"/>
              </w:rPr>
            </w:pPr>
            <w:r>
              <w:rPr>
                <w:rFonts w:ascii="Arial" w:cs="Arial" w:eastAsia="Arial" w:hAnsi="Arial"/>
                <w:sz w:val="13"/>
                <w:szCs w:val="13"/>
                <w:b w:val="1"/>
                <w:bCs w:val="1"/>
                <w:color w:val="auto"/>
              </w:rPr>
              <w:t>Description</w:t>
            </w:r>
          </w:p>
        </w:tc>
        <w:tc>
          <w:tcPr>
            <w:tcW w:w="1360" w:type="dxa"/>
            <w:vAlign w:val="bottom"/>
          </w:tcPr>
          <w:p>
            <w:pPr>
              <w:jc w:val="center"/>
              <w:ind w:left="54"/>
              <w:spacing w:after="0"/>
              <w:rPr>
                <w:sz w:val="20"/>
                <w:szCs w:val="20"/>
                <w:color w:val="auto"/>
              </w:rPr>
            </w:pPr>
            <w:r>
              <w:rPr>
                <w:rFonts w:ascii="Arial" w:cs="Arial" w:eastAsia="Arial" w:hAnsi="Arial"/>
                <w:sz w:val="13"/>
                <w:szCs w:val="13"/>
                <w:b w:val="1"/>
                <w:bCs w:val="1"/>
                <w:color w:val="auto"/>
              </w:rPr>
              <w:t>of adoption</w:t>
            </w:r>
          </w:p>
        </w:tc>
        <w:tc>
          <w:tcPr>
            <w:tcW w:w="3500" w:type="dxa"/>
            <w:vAlign w:val="bottom"/>
          </w:tcPr>
          <w:p>
            <w:pPr>
              <w:ind w:left="440"/>
              <w:spacing w:after="0"/>
              <w:rPr>
                <w:sz w:val="20"/>
                <w:szCs w:val="20"/>
                <w:color w:val="auto"/>
              </w:rPr>
            </w:pPr>
            <w:r>
              <w:rPr>
                <w:rFonts w:ascii="Arial" w:cs="Arial" w:eastAsia="Arial" w:hAnsi="Arial"/>
                <w:sz w:val="13"/>
                <w:szCs w:val="13"/>
                <w:b w:val="1"/>
                <w:bCs w:val="1"/>
                <w:color w:val="auto"/>
              </w:rPr>
              <w:t>Effect on consolidated financial statements</w:t>
            </w:r>
          </w:p>
        </w:tc>
      </w:tr>
      <w:tr>
        <w:trPr>
          <w:trHeight w:val="240"/>
        </w:trPr>
        <w:tc>
          <w:tcPr>
            <w:tcW w:w="5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Standards Adopted in 2023</w:t>
            </w:r>
          </w:p>
        </w:tc>
        <w:tc>
          <w:tcPr>
            <w:tcW w:w="136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33"/>
        </w:trPr>
        <w:tc>
          <w:tcPr>
            <w:tcW w:w="1360" w:type="dxa"/>
            <w:vAlign w:val="bottom"/>
          </w:tcPr>
          <w:p>
            <w:pPr>
              <w:ind w:left="120"/>
              <w:spacing w:after="0"/>
              <w:rPr>
                <w:sz w:val="20"/>
                <w:szCs w:val="20"/>
                <w:color w:val="auto"/>
              </w:rPr>
            </w:pPr>
            <w:r>
              <w:rPr>
                <w:rFonts w:ascii="Arial" w:cs="Arial" w:eastAsia="Arial" w:hAnsi="Arial"/>
                <w:sz w:val="13"/>
                <w:szCs w:val="13"/>
                <w:color w:val="auto"/>
              </w:rPr>
              <w:t>Accounting for</w:t>
            </w:r>
          </w:p>
        </w:tc>
        <w:tc>
          <w:tcPr>
            <w:tcW w:w="4340" w:type="dxa"/>
            <w:vAlign w:val="bottom"/>
          </w:tcPr>
          <w:p>
            <w:pPr>
              <w:ind w:left="120"/>
              <w:spacing w:after="0"/>
              <w:rPr>
                <w:sz w:val="20"/>
                <w:szCs w:val="20"/>
                <w:color w:val="auto"/>
              </w:rPr>
            </w:pPr>
            <w:r>
              <w:rPr>
                <w:rFonts w:ascii="Arial" w:cs="Arial" w:eastAsia="Arial" w:hAnsi="Arial"/>
                <w:sz w:val="13"/>
                <w:szCs w:val="13"/>
                <w:color w:val="auto"/>
              </w:rPr>
              <w:t>The amendments require that an entity (acquirer) recognize and</w:t>
            </w:r>
          </w:p>
        </w:tc>
        <w:tc>
          <w:tcPr>
            <w:tcW w:w="1360" w:type="dxa"/>
            <w:vAlign w:val="bottom"/>
          </w:tcPr>
          <w:p>
            <w:pPr>
              <w:ind w:left="120"/>
              <w:spacing w:after="0"/>
              <w:rPr>
                <w:sz w:val="20"/>
                <w:szCs w:val="20"/>
                <w:color w:val="auto"/>
              </w:rPr>
            </w:pPr>
            <w:r>
              <w:rPr>
                <w:rFonts w:ascii="Arial" w:cs="Arial" w:eastAsia="Arial" w:hAnsi="Arial"/>
                <w:sz w:val="13"/>
                <w:szCs w:val="13"/>
                <w:color w:val="auto"/>
              </w:rPr>
              <w:t>January 1, 2023</w:t>
            </w:r>
          </w:p>
        </w:tc>
        <w:tc>
          <w:tcPr>
            <w:tcW w:w="3500" w:type="dxa"/>
            <w:vAlign w:val="bottom"/>
          </w:tcPr>
          <w:p>
            <w:pPr>
              <w:ind w:left="180"/>
              <w:spacing w:after="0"/>
              <w:rPr>
                <w:sz w:val="20"/>
                <w:szCs w:val="20"/>
                <w:color w:val="auto"/>
              </w:rPr>
            </w:pPr>
            <w:r>
              <w:rPr>
                <w:rFonts w:ascii="Arial" w:cs="Arial" w:eastAsia="Arial" w:hAnsi="Arial"/>
                <w:sz w:val="13"/>
                <w:szCs w:val="13"/>
                <w:color w:val="auto"/>
              </w:rPr>
              <w:t>The Company adopted the amended guidance</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Contract Assets</w:t>
            </w:r>
          </w:p>
        </w:tc>
        <w:tc>
          <w:tcPr>
            <w:tcW w:w="4340" w:type="dxa"/>
            <w:vAlign w:val="bottom"/>
          </w:tcPr>
          <w:p>
            <w:pPr>
              <w:ind w:left="120"/>
              <w:spacing w:after="0"/>
              <w:rPr>
                <w:sz w:val="20"/>
                <w:szCs w:val="20"/>
                <w:color w:val="auto"/>
              </w:rPr>
            </w:pPr>
            <w:r>
              <w:rPr>
                <w:rFonts w:ascii="Arial" w:cs="Arial" w:eastAsia="Arial" w:hAnsi="Arial"/>
                <w:sz w:val="13"/>
                <w:szCs w:val="13"/>
                <w:color w:val="auto"/>
              </w:rPr>
              <w:t>measure contract assets and contract liabilities acquired in a business</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effective January 1, 2023 using a prospective transition</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and Contract</w:t>
            </w:r>
          </w:p>
        </w:tc>
        <w:tc>
          <w:tcPr>
            <w:tcW w:w="4340" w:type="dxa"/>
            <w:vAlign w:val="bottom"/>
          </w:tcPr>
          <w:p>
            <w:pPr>
              <w:ind w:left="120"/>
              <w:spacing w:after="0"/>
              <w:rPr>
                <w:sz w:val="20"/>
                <w:szCs w:val="20"/>
                <w:color w:val="auto"/>
              </w:rPr>
            </w:pPr>
            <w:r>
              <w:rPr>
                <w:rFonts w:ascii="Arial" w:cs="Arial" w:eastAsia="Arial" w:hAnsi="Arial"/>
                <w:sz w:val="13"/>
                <w:szCs w:val="13"/>
                <w:color w:val="auto"/>
              </w:rPr>
              <w:t>combination in accordance with specified revenue recognition</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method and the guidance will be applied, as</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Liabilities from</w:t>
            </w:r>
          </w:p>
        </w:tc>
        <w:tc>
          <w:tcPr>
            <w:tcW w:w="4340" w:type="dxa"/>
            <w:vAlign w:val="bottom"/>
          </w:tcPr>
          <w:p>
            <w:pPr>
              <w:ind w:left="120"/>
              <w:spacing w:after="0"/>
              <w:rPr>
                <w:sz w:val="20"/>
                <w:szCs w:val="20"/>
                <w:color w:val="auto"/>
              </w:rPr>
            </w:pPr>
            <w:r>
              <w:rPr>
                <w:rFonts w:ascii="Arial" w:cs="Arial" w:eastAsia="Arial" w:hAnsi="Arial"/>
                <w:sz w:val="13"/>
                <w:szCs w:val="13"/>
                <w:color w:val="auto"/>
              </w:rPr>
              <w:t>guidance. At the acquisition date, an acquirer should account for the</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applicable, to future acquisitions. The Company does</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Contracts with</w:t>
            </w:r>
          </w:p>
        </w:tc>
        <w:tc>
          <w:tcPr>
            <w:tcW w:w="4340" w:type="dxa"/>
            <w:vAlign w:val="bottom"/>
          </w:tcPr>
          <w:p>
            <w:pPr>
              <w:ind w:left="120"/>
              <w:spacing w:after="0"/>
              <w:rPr>
                <w:sz w:val="20"/>
                <w:szCs w:val="20"/>
                <w:color w:val="auto"/>
              </w:rPr>
            </w:pPr>
            <w:r>
              <w:rPr>
                <w:rFonts w:ascii="Arial" w:cs="Arial" w:eastAsia="Arial" w:hAnsi="Arial"/>
                <w:sz w:val="13"/>
                <w:szCs w:val="13"/>
                <w:color w:val="auto"/>
              </w:rPr>
              <w:t>related revenue contracts as if it had originated the contracts and may</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not expect the guidance will have a material impact on</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Customers in a</w:t>
            </w:r>
          </w:p>
        </w:tc>
        <w:tc>
          <w:tcPr>
            <w:tcW w:w="4340" w:type="dxa"/>
            <w:vAlign w:val="bottom"/>
          </w:tcPr>
          <w:p>
            <w:pPr>
              <w:ind w:left="120"/>
              <w:spacing w:after="0"/>
              <w:rPr>
                <w:sz w:val="20"/>
                <w:szCs w:val="20"/>
                <w:color w:val="auto"/>
              </w:rPr>
            </w:pPr>
            <w:r>
              <w:rPr>
                <w:rFonts w:ascii="Arial" w:cs="Arial" w:eastAsia="Arial" w:hAnsi="Arial"/>
                <w:sz w:val="13"/>
                <w:szCs w:val="13"/>
                <w:color w:val="auto"/>
              </w:rPr>
              <w:t>assess how the acquiree applied the revenue guidance to determine</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its consolidated financial statements.</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Business</w:t>
            </w:r>
          </w:p>
        </w:tc>
        <w:tc>
          <w:tcPr>
            <w:tcW w:w="4340" w:type="dxa"/>
            <w:vAlign w:val="bottom"/>
          </w:tcPr>
          <w:p>
            <w:pPr>
              <w:ind w:left="120"/>
              <w:spacing w:after="0"/>
              <w:rPr>
                <w:sz w:val="20"/>
                <w:szCs w:val="20"/>
                <w:color w:val="auto"/>
              </w:rPr>
            </w:pPr>
            <w:r>
              <w:rPr>
                <w:rFonts w:ascii="Arial" w:cs="Arial" w:eastAsia="Arial" w:hAnsi="Arial"/>
                <w:sz w:val="13"/>
                <w:szCs w:val="13"/>
                <w:color w:val="auto"/>
              </w:rPr>
              <w:t>what to record for such contracts. The guidance is generally expected</w:t>
            </w: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Combination</w:t>
            </w:r>
          </w:p>
        </w:tc>
        <w:tc>
          <w:tcPr>
            <w:tcW w:w="4340" w:type="dxa"/>
            <w:vAlign w:val="bottom"/>
          </w:tcPr>
          <w:p>
            <w:pPr>
              <w:ind w:left="120"/>
              <w:spacing w:after="0"/>
              <w:rPr>
                <w:sz w:val="20"/>
                <w:szCs w:val="20"/>
                <w:color w:val="auto"/>
              </w:rPr>
            </w:pPr>
            <w:r>
              <w:rPr>
                <w:rFonts w:ascii="Arial" w:cs="Arial" w:eastAsia="Arial" w:hAnsi="Arial"/>
                <w:sz w:val="13"/>
                <w:szCs w:val="13"/>
                <w:color w:val="auto"/>
              </w:rPr>
              <w:t>to result in an acquirer recognizing and measuring the acquired</w:t>
            </w: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340" w:type="dxa"/>
            <w:vAlign w:val="bottom"/>
          </w:tcPr>
          <w:p>
            <w:pPr>
              <w:ind w:left="120"/>
              <w:spacing w:after="0"/>
              <w:rPr>
                <w:sz w:val="20"/>
                <w:szCs w:val="20"/>
                <w:color w:val="auto"/>
              </w:rPr>
            </w:pPr>
            <w:r>
              <w:rPr>
                <w:rFonts w:ascii="Arial" w:cs="Arial" w:eastAsia="Arial" w:hAnsi="Arial"/>
                <w:sz w:val="13"/>
                <w:szCs w:val="13"/>
                <w:color w:val="auto"/>
              </w:rPr>
              <w:t>contract assets and contract liabilities consistent with how they were</w:t>
            </w: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65"/>
        </w:trPr>
        <w:tc>
          <w:tcPr>
            <w:tcW w:w="136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3"/>
                <w:szCs w:val="13"/>
                <w:color w:val="auto"/>
              </w:rPr>
              <w:t>recognized and measured in the acquiree’s financial statements.</w:t>
            </w:r>
          </w:p>
        </w:tc>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94"/>
        </w:trPr>
        <w:tc>
          <w:tcPr>
            <w:tcW w:w="13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500" w:type="dxa"/>
            <w:vAlign w:val="bottom"/>
          </w:tcPr>
          <w:p>
            <w:pPr>
              <w:spacing w:after="0"/>
              <w:rPr>
                <w:sz w:val="8"/>
                <w:szCs w:val="8"/>
                <w:color w:val="auto"/>
              </w:rPr>
            </w:pPr>
          </w:p>
        </w:tc>
      </w:tr>
      <w:tr>
        <w:trPr>
          <w:trHeight w:val="245"/>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Fair Value Hedging</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The amendments allow multiple hedged layers to be designated for a</w:t>
            </w:r>
          </w:p>
        </w:tc>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January 1, 2023</w:t>
            </w:r>
          </w:p>
        </w:tc>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At January 1, 2023 the Company did not have any</w:t>
            </w:r>
          </w:p>
        </w:tc>
      </w:tr>
      <w:tr>
        <w:trPr>
          <w:trHeight w:val="156"/>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of Multiple Hedge</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single closed portfolio of financial assets or one or more beneficial</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designated hedging relationships under the portfolio</w:t>
            </w:r>
          </w:p>
        </w:tc>
      </w:tr>
      <w:tr>
        <w:trPr>
          <w:trHeight w:val="156"/>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Layers under</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interests secured by a portfolio of financial instruments. If multiple</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layer method and, therefore, the adoption had no</w:t>
            </w:r>
          </w:p>
        </w:tc>
      </w:tr>
      <w:tr>
        <w:trPr>
          <w:trHeight w:val="156"/>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Portfolio Layer</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hedged layers are designated, the amendments require an analysis to</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impact on its consolidated financial statements.</w:t>
            </w:r>
          </w:p>
        </w:tc>
      </w:tr>
      <w:tr>
        <w:trPr>
          <w:trHeight w:val="156"/>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Method</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be performed to support the expectation that the aggregate amount of</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the hedged layers is anticipated to be outstanding for the designated</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hedge periods. Only closed portfolios may be hedged under the</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portfolio layer method (that is, no assets can be added to the closed</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portfolio once established), however designating new hedging</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relationships and dedesignating existing hedging relationships</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associated with the closed portfolio any time after the closed portfolio</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64"/>
        </w:trPr>
        <w:tc>
          <w:tcPr>
            <w:tcW w:w="1360" w:type="dxa"/>
            <w:vAlign w:val="bottom"/>
            <w:shd w:val="clear" w:color="auto" w:fill="CFF0FC"/>
          </w:tcPr>
          <w:p>
            <w:pPr>
              <w:spacing w:after="0"/>
              <w:rPr>
                <w:sz w:val="14"/>
                <w:szCs w:val="14"/>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 established is permitted.</w:t>
            </w:r>
          </w:p>
        </w:tc>
        <w:tc>
          <w:tcPr>
            <w:tcW w:w="1360" w:type="dxa"/>
            <w:vAlign w:val="bottom"/>
            <w:shd w:val="clear" w:color="auto" w:fill="CFF0FC"/>
          </w:tcPr>
          <w:p>
            <w:pPr>
              <w:spacing w:after="0"/>
              <w:rPr>
                <w:sz w:val="14"/>
                <w:szCs w:val="14"/>
                <w:color w:val="auto"/>
              </w:rPr>
            </w:pPr>
          </w:p>
        </w:tc>
        <w:tc>
          <w:tcPr>
            <w:tcW w:w="3500" w:type="dxa"/>
            <w:vAlign w:val="bottom"/>
            <w:shd w:val="clear" w:color="auto" w:fill="CFF0FC"/>
          </w:tcPr>
          <w:p>
            <w:pPr>
              <w:spacing w:after="0"/>
              <w:rPr>
                <w:sz w:val="14"/>
                <w:szCs w:val="14"/>
                <w:color w:val="auto"/>
              </w:rPr>
            </w:pPr>
          </w:p>
        </w:tc>
      </w:tr>
      <w:tr>
        <w:trPr>
          <w:trHeight w:val="245"/>
        </w:trPr>
        <w:tc>
          <w:tcPr>
            <w:tcW w:w="1360" w:type="dxa"/>
            <w:vAlign w:val="bottom"/>
          </w:tcPr>
          <w:p>
            <w:pPr>
              <w:ind w:left="120"/>
              <w:spacing w:after="0"/>
              <w:rPr>
                <w:sz w:val="20"/>
                <w:szCs w:val="20"/>
                <w:color w:val="auto"/>
              </w:rPr>
            </w:pPr>
            <w:r>
              <w:rPr>
                <w:rFonts w:ascii="Arial" w:cs="Arial" w:eastAsia="Arial" w:hAnsi="Arial"/>
                <w:sz w:val="13"/>
                <w:szCs w:val="13"/>
                <w:color w:val="auto"/>
              </w:rPr>
              <w:t>Accounting for</w:t>
            </w:r>
          </w:p>
        </w:tc>
        <w:tc>
          <w:tcPr>
            <w:tcW w:w="4340" w:type="dxa"/>
            <w:vAlign w:val="bottom"/>
          </w:tcPr>
          <w:p>
            <w:pPr>
              <w:ind w:left="120"/>
              <w:spacing w:after="0"/>
              <w:rPr>
                <w:sz w:val="20"/>
                <w:szCs w:val="20"/>
                <w:color w:val="auto"/>
              </w:rPr>
            </w:pPr>
            <w:r>
              <w:rPr>
                <w:rFonts w:ascii="Arial" w:cs="Arial" w:eastAsia="Arial" w:hAnsi="Arial"/>
                <w:sz w:val="13"/>
                <w:szCs w:val="13"/>
                <w:color w:val="auto"/>
              </w:rPr>
              <w:t>The amendments (1) eliminate the accounting guidance for TDRs and</w:t>
            </w:r>
          </w:p>
        </w:tc>
        <w:tc>
          <w:tcPr>
            <w:tcW w:w="1360" w:type="dxa"/>
            <w:vAlign w:val="bottom"/>
          </w:tcPr>
          <w:p>
            <w:pPr>
              <w:ind w:left="120"/>
              <w:spacing w:after="0"/>
              <w:rPr>
                <w:sz w:val="20"/>
                <w:szCs w:val="20"/>
                <w:color w:val="auto"/>
              </w:rPr>
            </w:pPr>
            <w:r>
              <w:rPr>
                <w:rFonts w:ascii="Arial" w:cs="Arial" w:eastAsia="Arial" w:hAnsi="Arial"/>
                <w:sz w:val="13"/>
                <w:szCs w:val="13"/>
                <w:color w:val="auto"/>
              </w:rPr>
              <w:t>January 1, 2023</w:t>
            </w:r>
          </w:p>
        </w:tc>
        <w:tc>
          <w:tcPr>
            <w:tcW w:w="3500" w:type="dxa"/>
            <w:vAlign w:val="bottom"/>
          </w:tcPr>
          <w:p>
            <w:pPr>
              <w:ind w:left="180"/>
              <w:spacing w:after="0"/>
              <w:rPr>
                <w:sz w:val="20"/>
                <w:szCs w:val="20"/>
                <w:color w:val="auto"/>
              </w:rPr>
            </w:pPr>
            <w:r>
              <w:rPr>
                <w:rFonts w:ascii="Arial" w:cs="Arial" w:eastAsia="Arial" w:hAnsi="Arial"/>
                <w:sz w:val="13"/>
                <w:szCs w:val="13"/>
                <w:color w:val="auto"/>
              </w:rPr>
              <w:t>The Company adopted the amended guidance</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Troubled Debt</w:t>
            </w:r>
          </w:p>
        </w:tc>
        <w:tc>
          <w:tcPr>
            <w:tcW w:w="4340" w:type="dxa"/>
            <w:vAlign w:val="bottom"/>
          </w:tcPr>
          <w:p>
            <w:pPr>
              <w:ind w:left="120"/>
              <w:spacing w:after="0"/>
              <w:rPr>
                <w:sz w:val="20"/>
                <w:szCs w:val="20"/>
                <w:color w:val="auto"/>
              </w:rPr>
            </w:pPr>
            <w:r>
              <w:rPr>
                <w:rFonts w:ascii="Arial" w:cs="Arial" w:eastAsia="Arial" w:hAnsi="Arial"/>
                <w:sz w:val="13"/>
                <w:szCs w:val="13"/>
                <w:color w:val="auto"/>
              </w:rPr>
              <w:t>require enhanced disclosure for certain loan refinancings by creditors</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effective January 1, 2023 using a prospective transition</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Restructurings</w:t>
            </w:r>
          </w:p>
        </w:tc>
        <w:tc>
          <w:tcPr>
            <w:tcW w:w="4340" w:type="dxa"/>
            <w:vAlign w:val="bottom"/>
          </w:tcPr>
          <w:p>
            <w:pPr>
              <w:ind w:left="120"/>
              <w:spacing w:after="0"/>
              <w:rPr>
                <w:sz w:val="20"/>
                <w:szCs w:val="20"/>
                <w:color w:val="auto"/>
              </w:rPr>
            </w:pPr>
            <w:r>
              <w:rPr>
                <w:rFonts w:ascii="Arial" w:cs="Arial" w:eastAsia="Arial" w:hAnsi="Arial"/>
                <w:sz w:val="13"/>
                <w:szCs w:val="13"/>
                <w:color w:val="auto"/>
              </w:rPr>
              <w:t>when a borrower is experiencing financial difficulty and (2) require</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method and will no longer be required to identify TDRs</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(TDRs) and</w:t>
            </w:r>
          </w:p>
        </w:tc>
        <w:tc>
          <w:tcPr>
            <w:tcW w:w="4340" w:type="dxa"/>
            <w:vAlign w:val="bottom"/>
          </w:tcPr>
          <w:p>
            <w:pPr>
              <w:ind w:left="120"/>
              <w:spacing w:after="0"/>
              <w:rPr>
                <w:sz w:val="20"/>
                <w:szCs w:val="20"/>
                <w:color w:val="auto"/>
              </w:rPr>
            </w:pPr>
            <w:r>
              <w:rPr>
                <w:rFonts w:ascii="Arial" w:cs="Arial" w:eastAsia="Arial" w:hAnsi="Arial"/>
                <w:sz w:val="13"/>
                <w:szCs w:val="13"/>
                <w:color w:val="auto"/>
              </w:rPr>
              <w:t>disclosure of current-period gross write-offs by year of origination for</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and apply specialized accounting to such loans. The</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Expansion of</w:t>
            </w:r>
          </w:p>
        </w:tc>
        <w:tc>
          <w:tcPr>
            <w:tcW w:w="4340" w:type="dxa"/>
            <w:vAlign w:val="bottom"/>
          </w:tcPr>
          <w:p>
            <w:pPr>
              <w:ind w:left="120"/>
              <w:spacing w:after="0"/>
              <w:rPr>
                <w:sz w:val="20"/>
                <w:szCs w:val="20"/>
                <w:color w:val="auto"/>
              </w:rPr>
            </w:pPr>
            <w:r>
              <w:rPr>
                <w:rFonts w:ascii="Arial" w:cs="Arial" w:eastAsia="Arial" w:hAnsi="Arial"/>
                <w:sz w:val="13"/>
                <w:szCs w:val="13"/>
                <w:color w:val="auto"/>
              </w:rPr>
              <w:t>financing receivables and net investments in leases within credit loss</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Company has complied with the modified disclosure</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Vintage</w:t>
            </w:r>
          </w:p>
        </w:tc>
        <w:tc>
          <w:tcPr>
            <w:tcW w:w="4340" w:type="dxa"/>
            <w:vAlign w:val="bottom"/>
          </w:tcPr>
          <w:p>
            <w:pPr>
              <w:ind w:left="120"/>
              <w:spacing w:after="0"/>
              <w:rPr>
                <w:sz w:val="20"/>
                <w:szCs w:val="20"/>
                <w:color w:val="auto"/>
              </w:rPr>
            </w:pPr>
            <w:r>
              <w:rPr>
                <w:rFonts w:ascii="Arial" w:cs="Arial" w:eastAsia="Arial" w:hAnsi="Arial"/>
                <w:sz w:val="13"/>
                <w:szCs w:val="13"/>
                <w:color w:val="auto"/>
              </w:rPr>
              <w:t>disclosures.</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requirements in note 4.</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Disclosures</w:t>
            </w:r>
          </w:p>
        </w:tc>
        <w:tc>
          <w:tcPr>
            <w:tcW w:w="4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Applicable to Credit</w:t>
            </w:r>
          </w:p>
        </w:tc>
        <w:tc>
          <w:tcPr>
            <w:tcW w:w="4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65"/>
        </w:trPr>
        <w:tc>
          <w:tcPr>
            <w:tcW w:w="1360" w:type="dxa"/>
            <w:vAlign w:val="bottom"/>
          </w:tcPr>
          <w:p>
            <w:pPr>
              <w:ind w:left="120"/>
              <w:spacing w:after="0"/>
              <w:rPr>
                <w:sz w:val="20"/>
                <w:szCs w:val="20"/>
                <w:color w:val="auto"/>
              </w:rPr>
            </w:pPr>
            <w:r>
              <w:rPr>
                <w:rFonts w:ascii="Arial" w:cs="Arial" w:eastAsia="Arial" w:hAnsi="Arial"/>
                <w:sz w:val="13"/>
                <w:szCs w:val="13"/>
                <w:color w:val="auto"/>
              </w:rPr>
              <w:t>Losses</w:t>
            </w:r>
          </w:p>
        </w:tc>
        <w:tc>
          <w:tcPr>
            <w:tcW w:w="4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developments, continued</w:t>
      </w: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1160" w:type="dxa"/>
            <w:vAlign w:val="bottom"/>
          </w:tcPr>
          <w:p>
            <w:pPr>
              <w:ind w:left="280"/>
              <w:spacing w:after="0"/>
              <w:rPr>
                <w:sz w:val="20"/>
                <w:szCs w:val="20"/>
                <w:color w:val="auto"/>
              </w:rPr>
            </w:pPr>
            <w:r>
              <w:rPr>
                <w:rFonts w:ascii="Arial" w:cs="Arial" w:eastAsia="Arial" w:hAnsi="Arial"/>
                <w:sz w:val="13"/>
                <w:szCs w:val="13"/>
                <w:b w:val="1"/>
                <w:bCs w:val="1"/>
                <w:color w:val="auto"/>
              </w:rPr>
              <w:t>Standard</w:t>
            </w:r>
          </w:p>
        </w:tc>
        <w:tc>
          <w:tcPr>
            <w:tcW w:w="340" w:type="dxa"/>
            <w:vAlign w:val="bottom"/>
          </w:tcPr>
          <w:p>
            <w:pPr>
              <w:spacing w:after="0"/>
              <w:rPr>
                <w:sz w:val="15"/>
                <w:szCs w:val="15"/>
                <w:color w:val="auto"/>
              </w:rPr>
            </w:pPr>
          </w:p>
        </w:tc>
        <w:tc>
          <w:tcPr>
            <w:tcW w:w="3960" w:type="dxa"/>
            <w:vAlign w:val="bottom"/>
          </w:tcPr>
          <w:p>
            <w:pPr>
              <w:ind w:left="1560"/>
              <w:spacing w:after="0"/>
              <w:rPr>
                <w:sz w:val="20"/>
                <w:szCs w:val="20"/>
                <w:color w:val="auto"/>
              </w:rPr>
            </w:pPr>
            <w:r>
              <w:rPr>
                <w:rFonts w:ascii="Arial" w:cs="Arial" w:eastAsia="Arial" w:hAnsi="Arial"/>
                <w:sz w:val="13"/>
                <w:szCs w:val="13"/>
                <w:b w:val="1"/>
                <w:bCs w:val="1"/>
                <w:color w:val="auto"/>
              </w:rPr>
              <w:t>Description</w:t>
            </w:r>
          </w:p>
        </w:tc>
      </w:tr>
      <w:tr>
        <w:trPr>
          <w:trHeight w:val="240"/>
        </w:trPr>
        <w:tc>
          <w:tcPr>
            <w:tcW w:w="5460" w:type="dxa"/>
            <w:vAlign w:val="bottom"/>
            <w:gridSpan w:val="3"/>
          </w:tcPr>
          <w:p>
            <w:pPr>
              <w:spacing w:after="0"/>
              <w:rPr>
                <w:sz w:val="20"/>
                <w:szCs w:val="20"/>
                <w:color w:val="auto"/>
              </w:rPr>
            </w:pPr>
            <w:r>
              <w:rPr>
                <w:rFonts w:ascii="Arial" w:cs="Arial" w:eastAsia="Arial" w:hAnsi="Arial"/>
                <w:sz w:val="13"/>
                <w:szCs w:val="13"/>
                <w:b w:val="1"/>
                <w:bCs w:val="1"/>
                <w:color w:val="auto"/>
              </w:rPr>
              <w:t>Standards Not Yet Adopted as of March 31, 2023</w:t>
            </w:r>
          </w:p>
        </w:tc>
      </w:tr>
      <w:tr>
        <w:trPr>
          <w:trHeight w:val="233"/>
        </w:trPr>
        <w:tc>
          <w:tcPr>
            <w:tcW w:w="1160" w:type="dxa"/>
            <w:vAlign w:val="bottom"/>
          </w:tcPr>
          <w:p>
            <w:pPr>
              <w:spacing w:after="0"/>
              <w:rPr>
                <w:sz w:val="20"/>
                <w:szCs w:val="20"/>
                <w:color w:val="auto"/>
              </w:rPr>
            </w:pPr>
            <w:r>
              <w:rPr>
                <w:rFonts w:ascii="Arial" w:cs="Arial" w:eastAsia="Arial" w:hAnsi="Arial"/>
                <w:sz w:val="13"/>
                <w:szCs w:val="13"/>
                <w:color w:val="auto"/>
              </w:rPr>
              <w:t>Fair Value</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The amendments clarify that a contractual restriction on the sale of an</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Measurement of</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equity security is not considered part of the unit of account of the</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Equity Securities</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equity security and, therefore, is not considered in measuring fair</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Subject to</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value. The amendments also clarify that an entity cannot, as a</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Contractual Sale</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separate unit of account, recognize and measure a contractual sale</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Restrictions</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restriction. In addition, the amendments require the following</w:t>
            </w:r>
          </w:p>
        </w:tc>
      </w:tr>
      <w:tr>
        <w:trPr>
          <w:trHeight w:val="156"/>
        </w:trPr>
        <w:tc>
          <w:tcPr>
            <w:tcW w:w="1160" w:type="dxa"/>
            <w:vAlign w:val="bottom"/>
          </w:tcPr>
          <w:p>
            <w:pPr>
              <w:spacing w:after="0"/>
              <w:rPr>
                <w:sz w:val="13"/>
                <w:szCs w:val="13"/>
                <w:color w:val="auto"/>
              </w:rPr>
            </w:pP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disclosures for equity securities subject to contractual sale restrictions:</w:t>
            </w:r>
          </w:p>
        </w:tc>
      </w:tr>
      <w:tr>
        <w:trPr>
          <w:trHeight w:val="156"/>
        </w:trPr>
        <w:tc>
          <w:tcPr>
            <w:tcW w:w="116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rPr>
              <w:t>1.</w:t>
            </w:r>
          </w:p>
        </w:tc>
        <w:tc>
          <w:tcPr>
            <w:tcW w:w="3960" w:type="dxa"/>
            <w:vAlign w:val="bottom"/>
          </w:tcPr>
          <w:p>
            <w:pPr>
              <w:spacing w:after="0"/>
              <w:rPr>
                <w:sz w:val="20"/>
                <w:szCs w:val="20"/>
                <w:color w:val="auto"/>
              </w:rPr>
            </w:pPr>
            <w:r>
              <w:rPr>
                <w:rFonts w:ascii="Arial" w:cs="Arial" w:eastAsia="Arial" w:hAnsi="Arial"/>
                <w:sz w:val="13"/>
                <w:szCs w:val="13"/>
                <w:color w:val="auto"/>
              </w:rPr>
              <w:t>The fair value of equity securities subject to contractual sale</w:t>
            </w:r>
          </w:p>
        </w:tc>
      </w:tr>
      <w:tr>
        <w:trPr>
          <w:trHeight w:val="156"/>
        </w:trPr>
        <w:tc>
          <w:tcPr>
            <w:tcW w:w="1160" w:type="dxa"/>
            <w:vAlign w:val="bottom"/>
          </w:tcPr>
          <w:p>
            <w:pPr>
              <w:spacing w:after="0"/>
              <w:rPr>
                <w:sz w:val="13"/>
                <w:szCs w:val="13"/>
                <w:color w:val="auto"/>
              </w:rPr>
            </w:pP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restrictions reflected in the balance sheet;</w:t>
            </w:r>
          </w:p>
        </w:tc>
      </w:tr>
      <w:tr>
        <w:trPr>
          <w:trHeight w:val="156"/>
        </w:trPr>
        <w:tc>
          <w:tcPr>
            <w:tcW w:w="116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rPr>
              <w:t>2.</w:t>
            </w:r>
          </w:p>
        </w:tc>
        <w:tc>
          <w:tcPr>
            <w:tcW w:w="3960" w:type="dxa"/>
            <w:vAlign w:val="bottom"/>
          </w:tcPr>
          <w:p>
            <w:pPr>
              <w:spacing w:after="0"/>
              <w:rPr>
                <w:sz w:val="20"/>
                <w:szCs w:val="20"/>
                <w:color w:val="auto"/>
              </w:rPr>
            </w:pPr>
            <w:r>
              <w:rPr>
                <w:rFonts w:ascii="Arial" w:cs="Arial" w:eastAsia="Arial" w:hAnsi="Arial"/>
                <w:sz w:val="13"/>
                <w:szCs w:val="13"/>
                <w:color w:val="auto"/>
              </w:rPr>
              <w:t>The nature and remaining duration of the restriction(s); and</w:t>
            </w:r>
          </w:p>
        </w:tc>
      </w:tr>
      <w:tr>
        <w:trPr>
          <w:trHeight w:val="164"/>
        </w:trPr>
        <w:tc>
          <w:tcPr>
            <w:tcW w:w="116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rPr>
              <w:t>3.</w:t>
            </w:r>
          </w:p>
        </w:tc>
        <w:tc>
          <w:tcPr>
            <w:tcW w:w="3960" w:type="dxa"/>
            <w:vAlign w:val="bottom"/>
          </w:tcPr>
          <w:p>
            <w:pPr>
              <w:spacing w:after="0"/>
              <w:rPr>
                <w:sz w:val="20"/>
                <w:szCs w:val="20"/>
                <w:color w:val="auto"/>
              </w:rPr>
            </w:pPr>
            <w:r>
              <w:rPr>
                <w:rFonts w:ascii="Arial" w:cs="Arial" w:eastAsia="Arial" w:hAnsi="Arial"/>
                <w:sz w:val="13"/>
                <w:szCs w:val="13"/>
                <w:color w:val="auto"/>
              </w:rPr>
              <w:t>The circumstances that could cause a lapse in the restriction(s).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-1150620</wp:posOffset>
            </wp:positionV>
            <wp:extent cx="6707505" cy="1151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1151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Required date</w:t>
      </w:r>
    </w:p>
    <w:p>
      <w:pPr>
        <w:spacing w:after="0" w:line="23"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3"/>
          <w:szCs w:val="13"/>
          <w:b w:val="1"/>
          <w:bCs w:val="1"/>
          <w:color w:val="auto"/>
        </w:rPr>
        <w:t>of adoption</w:t>
      </w:r>
      <w:r>
        <w:rPr>
          <w:sz w:val="20"/>
          <w:szCs w:val="20"/>
          <w:color w:val="auto"/>
        </w:rPr>
        <w:tab/>
      </w:r>
      <w:r>
        <w:rPr>
          <w:rFonts w:ascii="Arial" w:cs="Arial" w:eastAsia="Arial" w:hAnsi="Arial"/>
          <w:sz w:val="13"/>
          <w:szCs w:val="13"/>
          <w:b w:val="1"/>
          <w:bCs w:val="1"/>
          <w:color w:val="auto"/>
        </w:rPr>
        <w:t>Effect on consolidated financial statements</w:t>
      </w:r>
    </w:p>
    <w:p>
      <w:pPr>
        <w:spacing w:after="0" w:line="335" w:lineRule="exact"/>
        <w:rPr>
          <w:sz w:val="20"/>
          <w:szCs w:val="20"/>
          <w:color w:val="auto"/>
        </w:rPr>
      </w:pPr>
    </w:p>
    <w:p>
      <w:pPr>
        <w:jc w:val="right"/>
        <w:ind w:right="100"/>
        <w:spacing w:after="0" w:line="256" w:lineRule="auto"/>
        <w:rPr>
          <w:sz w:val="20"/>
          <w:szCs w:val="20"/>
          <w:color w:val="auto"/>
        </w:rPr>
      </w:pPr>
      <w:r>
        <w:rPr>
          <w:rFonts w:ascii="Arial" w:cs="Arial" w:eastAsia="Arial" w:hAnsi="Arial"/>
          <w:sz w:val="13"/>
          <w:szCs w:val="13"/>
          <w:color w:val="auto"/>
        </w:rPr>
        <w:t>January 1, 2024     The amendments should be applied prospectively with any adjustments from the adoption of the amendments</w:t>
      </w:r>
    </w:p>
    <w:p>
      <w:pPr>
        <w:spacing w:after="0" w:line="1"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3"/>
          <w:szCs w:val="13"/>
          <w:color w:val="auto"/>
        </w:rPr>
        <w:t>Early adoption</w:t>
      </w:r>
      <w:r>
        <w:rPr>
          <w:sz w:val="20"/>
          <w:szCs w:val="20"/>
          <w:color w:val="auto"/>
        </w:rPr>
        <w:tab/>
      </w:r>
      <w:r>
        <w:rPr>
          <w:rFonts w:ascii="Arial" w:cs="Arial" w:eastAsia="Arial" w:hAnsi="Arial"/>
          <w:sz w:val="13"/>
          <w:szCs w:val="13"/>
          <w:color w:val="auto"/>
        </w:rPr>
        <w:t>recognized in earnings and disclosed on the date of</w:t>
      </w:r>
    </w:p>
    <w:p>
      <w:pPr>
        <w:spacing w:after="0" w:line="7"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3"/>
          <w:szCs w:val="13"/>
          <w:color w:val="auto"/>
        </w:rPr>
        <w:t>permitted</w:t>
      </w:r>
      <w:r>
        <w:rPr>
          <w:sz w:val="20"/>
          <w:szCs w:val="20"/>
          <w:color w:val="auto"/>
        </w:rPr>
        <w:tab/>
      </w:r>
      <w:r>
        <w:rPr>
          <w:rFonts w:ascii="Arial" w:cs="Arial" w:eastAsia="Arial" w:hAnsi="Arial"/>
          <w:sz w:val="13"/>
          <w:szCs w:val="13"/>
          <w:color w:val="auto"/>
        </w:rPr>
        <w:t>adoption.</w:t>
      </w:r>
    </w:p>
    <w:p>
      <w:pPr>
        <w:spacing w:after="0" w:line="155" w:lineRule="exact"/>
        <w:rPr>
          <w:sz w:val="20"/>
          <w:szCs w:val="20"/>
          <w:color w:val="auto"/>
        </w:rPr>
      </w:pPr>
    </w:p>
    <w:p>
      <w:pPr>
        <w:jc w:val="both"/>
        <w:ind w:left="1260" w:right="20"/>
        <w:spacing w:after="0" w:line="276" w:lineRule="auto"/>
        <w:rPr>
          <w:sz w:val="20"/>
          <w:szCs w:val="20"/>
          <w:color w:val="auto"/>
        </w:rPr>
      </w:pPr>
      <w:r>
        <w:rPr>
          <w:rFonts w:ascii="Arial" w:cs="Arial" w:eastAsia="Arial" w:hAnsi="Arial"/>
          <w:sz w:val="13"/>
          <w:szCs w:val="13"/>
          <w:color w:val="auto"/>
        </w:rPr>
        <w:t>The Company does not expect the guidance will have a material impact on its consolidated financial statements.</w:t>
      </w:r>
    </w:p>
    <w:p>
      <w:pPr>
        <w:spacing w:after="0" w:line="601" w:lineRule="exact"/>
        <w:rPr>
          <w:sz w:val="20"/>
          <w:szCs w:val="20"/>
          <w:color w:val="auto"/>
        </w:rPr>
      </w:pPr>
    </w:p>
    <w:p>
      <w:pPr>
        <w:sectPr>
          <w:pgSz w:w="11900" w:h="16840" w:orient="portrait"/>
          <w:cols w:equalWidth="0" w:num="2">
            <w:col w:w="5580" w:space="360"/>
            <w:col w:w="4540"/>
          </w:cols>
          <w:pgMar w:left="660" w:top="562" w:right="760" w:bottom="1440" w:gutter="0" w:footer="0" w:header="0"/>
        </w:sectPr>
      </w:pPr>
    </w:p>
    <w:p>
      <w:pPr>
        <w:ind w:left="120"/>
        <w:spacing w:after="0"/>
        <w:tabs>
          <w:tab w:leader="none" w:pos="1460" w:val="left"/>
        </w:tabs>
        <w:rPr>
          <w:sz w:val="20"/>
          <w:szCs w:val="20"/>
          <w:color w:val="auto"/>
        </w:rPr>
      </w:pPr>
      <w:r>
        <w:rPr>
          <w:rFonts w:ascii="Arial" w:cs="Arial" w:eastAsia="Arial" w:hAnsi="Arial"/>
          <w:sz w:val="13"/>
          <w:szCs w:val="13"/>
          <w:color w:val="auto"/>
        </w:rPr>
        <w:t>Accounting for</w:t>
      </w:r>
      <w:r>
        <w:rPr>
          <w:sz w:val="20"/>
          <w:szCs w:val="20"/>
          <w:color w:val="auto"/>
        </w:rPr>
        <w:tab/>
      </w:r>
      <w:r>
        <w:rPr>
          <w:rFonts w:ascii="Arial" w:cs="Arial" w:eastAsia="Arial" w:hAnsi="Arial"/>
          <w:sz w:val="13"/>
          <w:szCs w:val="13"/>
          <w:color w:val="auto"/>
        </w:rPr>
        <w:t>The amendments permit an election to account for tax equity</w:t>
      </w:r>
    </w:p>
    <w:p>
      <w:pPr>
        <w:spacing w:after="0" w:line="7"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3"/>
          <w:szCs w:val="13"/>
          <w:color w:val="auto"/>
        </w:rPr>
        <w:t>Investments in Tax</w:t>
      </w:r>
      <w:r>
        <w:rPr>
          <w:sz w:val="20"/>
          <w:szCs w:val="20"/>
          <w:color w:val="auto"/>
        </w:rPr>
        <w:tab/>
      </w:r>
      <w:r>
        <w:rPr>
          <w:rFonts w:ascii="Arial" w:cs="Arial" w:eastAsia="Arial" w:hAnsi="Arial"/>
          <w:sz w:val="13"/>
          <w:szCs w:val="13"/>
          <w:color w:val="auto"/>
        </w:rPr>
        <w:t>investments, regardless of the tax credit program from which the</w:t>
      </w:r>
    </w:p>
    <w:p>
      <w:pPr>
        <w:spacing w:after="0" w:line="7"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3"/>
          <w:szCs w:val="13"/>
          <w:color w:val="auto"/>
        </w:rPr>
        <w:t>Credit Structures</w:t>
      </w:r>
      <w:r>
        <w:rPr>
          <w:sz w:val="20"/>
          <w:szCs w:val="20"/>
          <w:color w:val="auto"/>
        </w:rPr>
        <w:tab/>
      </w:r>
      <w:r>
        <w:rPr>
          <w:rFonts w:ascii="Arial" w:cs="Arial" w:eastAsia="Arial" w:hAnsi="Arial"/>
          <w:sz w:val="13"/>
          <w:szCs w:val="13"/>
          <w:color w:val="auto"/>
        </w:rPr>
        <w:t>income tax credits are received, using the proportional amortization</w:t>
      </w:r>
    </w:p>
    <w:p>
      <w:pPr>
        <w:spacing w:after="0" w:line="7"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3"/>
          <w:szCs w:val="13"/>
          <w:color w:val="auto"/>
        </w:rPr>
        <w:t>Using the</w:t>
      </w:r>
      <w:r>
        <w:rPr>
          <w:sz w:val="20"/>
          <w:szCs w:val="20"/>
          <w:color w:val="auto"/>
        </w:rPr>
        <w:tab/>
      </w:r>
      <w:r>
        <w:rPr>
          <w:rFonts w:ascii="Arial" w:cs="Arial" w:eastAsia="Arial" w:hAnsi="Arial"/>
          <w:sz w:val="13"/>
          <w:szCs w:val="13"/>
          <w:color w:val="auto"/>
        </w:rPr>
        <w:t>method if certain conditions are met.</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Proportional</w:t>
            </w:r>
          </w:p>
        </w:tc>
        <w:tc>
          <w:tcPr>
            <w:tcW w:w="4460" w:type="dxa"/>
            <w:vAlign w:val="bottom"/>
            <w:vMerge w:val="restart"/>
          </w:tcPr>
          <w:p>
            <w:pPr>
              <w:ind w:left="320"/>
              <w:spacing w:after="0"/>
              <w:rPr>
                <w:sz w:val="20"/>
                <w:szCs w:val="20"/>
                <w:color w:val="auto"/>
              </w:rPr>
            </w:pPr>
            <w:r>
              <w:rPr>
                <w:rFonts w:ascii="Arial" w:cs="Arial" w:eastAsia="Arial" w:hAnsi="Arial"/>
                <w:sz w:val="13"/>
                <w:szCs w:val="13"/>
                <w:color w:val="auto"/>
              </w:rPr>
              <w:t>Under the proportional amortization method, the initial cost of the</w:t>
            </w:r>
          </w:p>
        </w:tc>
        <w:tc>
          <w:tcPr>
            <w:tcW w:w="0" w:type="dxa"/>
            <w:vAlign w:val="bottom"/>
          </w:tcPr>
          <w:p>
            <w:pPr>
              <w:spacing w:after="0"/>
              <w:rPr>
                <w:sz w:val="1"/>
                <w:szCs w:val="1"/>
                <w:color w:val="auto"/>
              </w:rPr>
            </w:pPr>
          </w:p>
        </w:tc>
      </w:tr>
      <w:tr>
        <w:trPr>
          <w:trHeight w:val="96"/>
        </w:trPr>
        <w:tc>
          <w:tcPr>
            <w:tcW w:w="1040" w:type="dxa"/>
            <w:vAlign w:val="bottom"/>
            <w:vMerge w:val="restart"/>
          </w:tcPr>
          <w:p>
            <w:pPr>
              <w:spacing w:after="0"/>
              <w:rPr>
                <w:sz w:val="20"/>
                <w:szCs w:val="20"/>
                <w:color w:val="auto"/>
              </w:rPr>
            </w:pPr>
            <w:r>
              <w:rPr>
                <w:rFonts w:ascii="Arial" w:cs="Arial" w:eastAsia="Arial" w:hAnsi="Arial"/>
                <w:sz w:val="13"/>
                <w:szCs w:val="13"/>
                <w:color w:val="auto"/>
              </w:rPr>
              <w:t>Amortization</w:t>
            </w: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40" w:type="dxa"/>
            <w:vAlign w:val="bottom"/>
            <w:vMerge w:val="continue"/>
          </w:tcPr>
          <w:p>
            <w:pPr>
              <w:spacing w:after="0"/>
              <w:rPr>
                <w:sz w:val="5"/>
                <w:szCs w:val="5"/>
                <w:color w:val="auto"/>
              </w:rPr>
            </w:pPr>
          </w:p>
        </w:tc>
        <w:tc>
          <w:tcPr>
            <w:tcW w:w="4460" w:type="dxa"/>
            <w:vAlign w:val="bottom"/>
            <w:vMerge w:val="restart"/>
          </w:tcPr>
          <w:p>
            <w:pPr>
              <w:ind w:left="320"/>
              <w:spacing w:after="0"/>
              <w:rPr>
                <w:sz w:val="20"/>
                <w:szCs w:val="20"/>
                <w:color w:val="auto"/>
              </w:rPr>
            </w:pPr>
            <w:r>
              <w:rPr>
                <w:rFonts w:ascii="Arial" w:cs="Arial" w:eastAsia="Arial" w:hAnsi="Arial"/>
                <w:sz w:val="13"/>
                <w:szCs w:val="13"/>
                <w:color w:val="auto"/>
              </w:rPr>
              <w:t>investment is amortized in proportion to the income tax credits and</w:t>
            </w:r>
          </w:p>
        </w:tc>
        <w:tc>
          <w:tcPr>
            <w:tcW w:w="0" w:type="dxa"/>
            <w:vAlign w:val="bottom"/>
          </w:tcPr>
          <w:p>
            <w:pPr>
              <w:spacing w:after="0"/>
              <w:rPr>
                <w:sz w:val="1"/>
                <w:szCs w:val="1"/>
                <w:color w:val="auto"/>
              </w:rPr>
            </w:pPr>
          </w:p>
        </w:tc>
      </w:tr>
      <w:tr>
        <w:trPr>
          <w:trHeight w:val="96"/>
        </w:trPr>
        <w:tc>
          <w:tcPr>
            <w:tcW w:w="1040" w:type="dxa"/>
            <w:vAlign w:val="bottom"/>
            <w:vMerge w:val="restart"/>
          </w:tcPr>
          <w:p>
            <w:pPr>
              <w:spacing w:after="0"/>
              <w:rPr>
                <w:sz w:val="20"/>
                <w:szCs w:val="20"/>
                <w:color w:val="auto"/>
              </w:rPr>
            </w:pPr>
            <w:r>
              <w:rPr>
                <w:rFonts w:ascii="Arial" w:cs="Arial" w:eastAsia="Arial" w:hAnsi="Arial"/>
                <w:sz w:val="13"/>
                <w:szCs w:val="13"/>
                <w:color w:val="auto"/>
              </w:rPr>
              <w:t>Method</w:t>
            </w: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40" w:type="dxa"/>
            <w:vAlign w:val="bottom"/>
            <w:vMerge w:val="continue"/>
          </w:tcPr>
          <w:p>
            <w:pPr>
              <w:spacing w:after="0"/>
              <w:rPr>
                <w:sz w:val="6"/>
                <w:szCs w:val="6"/>
                <w:color w:val="auto"/>
              </w:rPr>
            </w:pPr>
          </w:p>
        </w:tc>
        <w:tc>
          <w:tcPr>
            <w:tcW w:w="4460" w:type="dxa"/>
            <w:vAlign w:val="bottom"/>
            <w:vMerge w:val="restart"/>
          </w:tcPr>
          <w:p>
            <w:pPr>
              <w:ind w:left="320"/>
              <w:spacing w:after="0"/>
              <w:rPr>
                <w:sz w:val="20"/>
                <w:szCs w:val="20"/>
                <w:color w:val="auto"/>
              </w:rPr>
            </w:pPr>
            <w:r>
              <w:rPr>
                <w:rFonts w:ascii="Arial" w:cs="Arial" w:eastAsia="Arial" w:hAnsi="Arial"/>
                <w:sz w:val="13"/>
                <w:szCs w:val="13"/>
                <w:color w:val="auto"/>
              </w:rPr>
              <w:t>other income tax benefits received and the net amortization and</w:t>
            </w:r>
          </w:p>
        </w:tc>
        <w:tc>
          <w:tcPr>
            <w:tcW w:w="0" w:type="dxa"/>
            <w:vAlign w:val="bottom"/>
          </w:tcPr>
          <w:p>
            <w:pPr>
              <w:spacing w:after="0"/>
              <w:rPr>
                <w:sz w:val="1"/>
                <w:szCs w:val="1"/>
                <w:color w:val="auto"/>
              </w:rPr>
            </w:pPr>
          </w:p>
        </w:tc>
      </w:tr>
      <w:tr>
        <w:trPr>
          <w:trHeight w:val="87"/>
        </w:trPr>
        <w:tc>
          <w:tcPr>
            <w:tcW w:w="1040" w:type="dxa"/>
            <w:vAlign w:val="bottom"/>
          </w:tcPr>
          <w:p>
            <w:pPr>
              <w:spacing w:after="0"/>
              <w:rPr>
                <w:sz w:val="7"/>
                <w:szCs w:val="7"/>
                <w:color w:val="auto"/>
              </w:rPr>
            </w:pP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income tax credits and other income tax benefits are recognized in the</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income statement as a component of income tax expense (benefit).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All of the following conditions must be met to qualify for the</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proportional amortization method:</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1. It is probable that the income tax credits allocable to the tax equity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investor will be available.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2. The tax equity investor does not have the ability to exercise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significant influence over the operating and financial policies of the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underlying project.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3. Substantially all of the projected benefits are from income tax credits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and other income tax benefits. Projected benefits include income tax</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credits, other income tax benefits, and other non-income-tax-related</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benefits. The projected benefits are determined on a discounted basis,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using a discount rate that is consistent with the cash flow assumptions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used by the tax equity investor in making its decision to invest in the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project.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4. The tax equity investor’s projected yield based solely on the cash</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flows from the income tax credits and other income tax benefits is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positive.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5. The tax equity investor is a limited liability investor in the limited</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liability entity for both legal and tax purposes, and the tax equity</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investor’s liability is limited to its capital investment.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To apply the proportional amortization method, an accounting policy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election must be made on a tax-credit-program-by-tax-credit-program</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basis rather than electing to apply the proportional amortization</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method at the reporting entity level or to individual investments. When</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applying the proportional amortization method to qualifying tax equity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investments the receipt of the investment tax credits must be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accounted for using the flow-through method as prescribed by GAAP,</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even if the deferral method is applied to other investment tax credits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received. In addition, all tax equity investments accounted for using</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the proportional amortization method must use the delayed equity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contribution guidance (which requires that a liability be recognized for</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delayed equity contributions that are unconditional and legally binding</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or for equity contributions that are contingent upon a future event when</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that contingent event becomes probable).</w:t>
            </w:r>
          </w:p>
        </w:tc>
        <w:tc>
          <w:tcPr>
            <w:tcW w:w="0" w:type="dxa"/>
            <w:vAlign w:val="bottom"/>
          </w:tcPr>
          <w:p>
            <w:pPr>
              <w:spacing w:after="0"/>
              <w:rPr>
                <w:sz w:val="1"/>
                <w:szCs w:val="1"/>
                <w:color w:val="auto"/>
              </w:rPr>
            </w:pPr>
          </w:p>
        </w:tc>
      </w:tr>
      <w:tr>
        <w:trPr>
          <w:trHeight w:val="500"/>
        </w:trPr>
        <w:tc>
          <w:tcPr>
            <w:tcW w:w="1040" w:type="dxa"/>
            <w:vAlign w:val="bottom"/>
          </w:tcPr>
          <w:p>
            <w:pPr>
              <w:spacing w:after="0"/>
              <w:rPr>
                <w:sz w:val="24"/>
                <w:szCs w:val="24"/>
                <w:color w:val="auto"/>
              </w:rPr>
            </w:pPr>
          </w:p>
        </w:tc>
        <w:tc>
          <w:tcPr>
            <w:tcW w:w="4460" w:type="dxa"/>
            <w:vAlign w:val="bottom"/>
          </w:tcPr>
          <w:p>
            <w:pPr>
              <w:ind w:left="3940"/>
              <w:spacing w:after="0"/>
              <w:rPr>
                <w:sz w:val="20"/>
                <w:szCs w:val="20"/>
                <w:color w:val="auto"/>
              </w:rPr>
            </w:pPr>
            <w:r>
              <w:rPr>
                <w:rFonts w:ascii="Arial" w:cs="Arial" w:eastAsia="Arial" w:hAnsi="Arial"/>
                <w:sz w:val="16"/>
                <w:szCs w:val="16"/>
                <w:color w:val="auto"/>
              </w:rPr>
              <w:t>- 44 -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January 1, 2024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Early adoption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permitted</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13"/>
          <w:szCs w:val="13"/>
          <w:color w:val="auto"/>
        </w:rPr>
        <w:t>The amendments should be applied on either a modified retrospective or a retrospective basis. Under a modified retrospective transition, all investments for which income tax credits or other income tax benefits are still expected to be received must be evaluated as of the beginning of the period of adoption. The assessment of whether the investment qualifies for the proportional amortization method is performed as of the date the investment was entered into. A cumulative-effect adjustment reflecting the difference between the previous method used to account for the tax equity investment and the application of the proportional amortization method since the investment was entered into is recognized in the opening balance of retained earnings as of the beginning of the period of adoption.</w:t>
      </w:r>
    </w:p>
    <w:p>
      <w:pPr>
        <w:spacing w:after="0" w:line="300"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color w:val="auto"/>
        </w:rPr>
        <w:t>Under a retrospective transition, all investments for which income tax credits or other income tax benefits are still expected to be received must be evaluated as of the beginning of the earliest period presented. The assessment of whether the investment qualifies for the proportional amortization method is performed as of the date the investment was entered into. A cumulative - effect adjustment reflecting the difference between the previous method used to account for the tax equity investment and the application of the proportional amortization method since the investment was entered into is recognized in the opening balance of retained earnings as of the beginning of the earliest period presented.</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3"/>
          <w:szCs w:val="13"/>
          <w:color w:val="auto"/>
        </w:rPr>
        <w:t>The Company is evaluating whether to early adopt the guidance as well as the impact that the guidance will have on its consolidated financial statements.</w:t>
      </w:r>
    </w:p>
    <w:p>
      <w:pPr>
        <w:sectPr>
          <w:pgSz w:w="11900" w:h="16840" w:orient="portrait"/>
          <w:cols w:equalWidth="0" w:num="3">
            <w:col w:w="5620" w:space="320"/>
            <w:col w:w="940" w:space="320"/>
            <w:col w:w="3280"/>
          </w:cols>
          <w:pgMar w:left="660" w:top="562" w:right="76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115" w:lineRule="exact"/>
        <w:rPr>
          <w:sz w:val="20"/>
          <w:szCs w:val="20"/>
          <w:color w:val="auto"/>
        </w:rPr>
      </w:pPr>
    </w:p>
    <w:p>
      <w:pPr>
        <w:ind w:left="80"/>
        <w:spacing w:after="0" w:line="252" w:lineRule="auto"/>
        <w:rPr>
          <w:sz w:val="20"/>
          <w:szCs w:val="20"/>
          <w:color w:val="auto"/>
        </w:rPr>
      </w:pPr>
      <w:r>
        <w:rPr>
          <w:rFonts w:ascii="Arial" w:cs="Arial" w:eastAsia="Arial" w:hAnsi="Arial"/>
          <w:sz w:val="18"/>
          <w:szCs w:val="18"/>
          <w:color w:val="auto"/>
        </w:rPr>
        <w:t>M&amp;T Bank Corporation (“M&amp;T”) recorded net income of $702 million in the first quarter of 2023, compared with $362 million in the corresponding quarter of 2022 and $ 765 million in the fourth quarter of 2022. Diluted and basic earnings per common share were $4.01 and $4.03, respectively, in the recent quarter, $ 2.62 and $2.63, respectively, in the first quarter of 2022 and $4.29 and $4.32, respectively, in the fourth quarter of 2022. M&amp;T's first quarter 2023 and fourth quarter 2022 results each reflect a full-quarter impact of its April 1, 2022 acquisition of People's United Financial, Inc. ("People's United"). The after -tax impact of merger-related expenses was $13 million ($17 million pre-tax) or $.10 of basic and diluted earnings per common share in the year-earlier quarter and $33 million ($45 million pre-tax) or $ .20 of basic and diluted earnings per common share in the fourth quarter of 2022. Merger-related expenses incurred in 2022 and associated with the People's United acquisition generally consisted of professional services, temporary help fees and other costs associated with actual or planned conversions of systems and/or integration of operations and the introduction of M&amp;T to its new customers, costs related to terminations of existing contractual arrangements to purchase various services, severance, travel costs, and, in the second quarter of 2022, an initial provision for credit losses on loans deemed to be purchased credit deteriorated ("PCD") on the April 1, 2022 acquisition date of People's United. M&amp;T and its consolidated subsidiaries (“the Company”) did not incur merger-related expenses in the first quarter of 2023.</w:t>
      </w:r>
    </w:p>
    <w:p>
      <w:pPr>
        <w:spacing w:after="0" w:line="79" w:lineRule="exact"/>
        <w:rPr>
          <w:sz w:val="20"/>
          <w:szCs w:val="20"/>
          <w:color w:val="auto"/>
        </w:rPr>
      </w:pPr>
    </w:p>
    <w:p>
      <w:pPr>
        <w:ind w:left="80" w:right="300" w:firstLine="468"/>
        <w:spacing w:after="0" w:line="259" w:lineRule="auto"/>
        <w:rPr>
          <w:sz w:val="20"/>
          <w:szCs w:val="20"/>
          <w:color w:val="auto"/>
        </w:rPr>
      </w:pPr>
      <w:r>
        <w:rPr>
          <w:rFonts w:ascii="Arial" w:cs="Arial" w:eastAsia="Arial" w:hAnsi="Arial"/>
          <w:sz w:val="18"/>
          <w:szCs w:val="18"/>
          <w:color w:val="auto"/>
        </w:rPr>
        <w:t>Net income expressed as an annualized rate of return on average total assets for the Company in 2023's first quarter was 1.40%, compared with 0.97% in the year-earlier quarter and 1.53% in the fourth quarter of 2022. The annualized rate of return on average common shareholders’ equity was 11.74% in the recent quarter, compared with 8.55% in the first quarter of 2022 and 12.59% in the fourth quarter of 2022.</w:t>
      </w:r>
    </w:p>
    <w:p>
      <w:pPr>
        <w:spacing w:after="0" w:line="67" w:lineRule="exact"/>
        <w:rPr>
          <w:sz w:val="20"/>
          <w:szCs w:val="20"/>
          <w:color w:val="auto"/>
        </w:rPr>
      </w:pPr>
    </w:p>
    <w:p>
      <w:pPr>
        <w:ind w:left="80" w:right="40" w:firstLine="468"/>
        <w:spacing w:after="0" w:line="256" w:lineRule="auto"/>
        <w:rPr>
          <w:sz w:val="20"/>
          <w:szCs w:val="20"/>
          <w:color w:val="auto"/>
        </w:rPr>
      </w:pPr>
      <w:r>
        <w:rPr>
          <w:rFonts w:ascii="Arial" w:cs="Arial" w:eastAsia="Arial" w:hAnsi="Arial"/>
          <w:sz w:val="18"/>
          <w:szCs w:val="18"/>
          <w:color w:val="auto"/>
        </w:rPr>
        <w:t>On April 1, 2022, M&amp;T closed the acquisition of People's United resulting in the issuance of 50,325,004 common shares. Pursuant to the terms of the merger agreement, People’s United shareholders received consideration valued at .118 of an M&amp;T common share in exchange for each common share of People’s United. The purchase price totaled approximately $8.4 billion (with the price based on M&amp;T’s closing price of $164.66 per share as of April 1, 2022). Additionally, People’s United outstanding preferred stock was converted into new shares of Series H preferred stock of M&amp;T.</w:t>
      </w:r>
    </w:p>
    <w:p>
      <w:pPr>
        <w:spacing w:after="0" w:line="72" w:lineRule="exact"/>
        <w:rPr>
          <w:sz w:val="20"/>
          <w:szCs w:val="20"/>
          <w:color w:val="auto"/>
        </w:rPr>
      </w:pPr>
    </w:p>
    <w:p>
      <w:pPr>
        <w:ind w:left="80" w:right="160" w:firstLine="468"/>
        <w:spacing w:after="0" w:line="254" w:lineRule="auto"/>
        <w:rPr>
          <w:sz w:val="20"/>
          <w:szCs w:val="20"/>
          <w:color w:val="auto"/>
        </w:rPr>
      </w:pPr>
      <w:r>
        <w:rPr>
          <w:rFonts w:ascii="Arial" w:cs="Arial" w:eastAsia="Arial" w:hAnsi="Arial"/>
          <w:sz w:val="18"/>
          <w:szCs w:val="18"/>
          <w:color w:val="auto"/>
        </w:rPr>
        <w:t>The People's United transaction has been accounted for using the acquisition method of accounting and, accordingly, assets acquired, liabilities assumed, and consideration exchanged were recorded at estimated fair value on the acquisition date. The Company recorded assets acquired of $64.2 billion, including $35.8 billion of loans and leases and $11.6 billion of investment securities, and liabilities assumed totaling $55.5 billion, including $ 53.0 billion of deposits. The transaction added $8.4 billion to M&amp;T's common shareholders' equity and $261 million to preferred equity. In connection with the acquisition the Company recorded $3.9 billion of goodwill and $261 million of core deposit and other intangible assets. The acquisition of People's United formed a banking franchise with approximately $200 billion in assets serving communities in the Northeast and Mid-Atlantic from Maine to Virginia, including Washington, D.C.</w:t>
      </w:r>
    </w:p>
    <w:p>
      <w:pPr>
        <w:spacing w:after="0" w:line="72" w:lineRule="exact"/>
        <w:rPr>
          <w:sz w:val="20"/>
          <w:szCs w:val="20"/>
          <w:color w:val="auto"/>
        </w:rPr>
      </w:pPr>
    </w:p>
    <w:p>
      <w:pPr>
        <w:ind w:left="80" w:right="60" w:firstLine="468"/>
        <w:spacing w:after="0" w:line="254" w:lineRule="auto"/>
        <w:rPr>
          <w:sz w:val="20"/>
          <w:szCs w:val="20"/>
          <w:color w:val="auto"/>
        </w:rPr>
      </w:pPr>
      <w:r>
        <w:rPr>
          <w:rFonts w:ascii="Arial" w:cs="Arial" w:eastAsia="Arial" w:hAnsi="Arial"/>
          <w:sz w:val="18"/>
          <w:szCs w:val="18"/>
          <w:color w:val="auto"/>
        </w:rPr>
        <w:t>In December 2022 the Company announced it had entered into an agreement to sell its Collective Investment Trust ("CIT") business to a private equity firm. The transaction was completed in April 2023. The Company will recognize a pre-tax gain on the sale of approximately $ 225 million in the second quarter of 2023. In the fourth quarter of 2022, M&amp;T completed the sale of M&amp;T Insurance Agency, Inc. ("MTIA"), a wholly owned insurance subsidiary of M&amp;T Bank (M&amp;T's principal bank subsidiary), resulting in a gain of $136 million recorded in other revenues from operations. Also in the fourth quarter, the Company made a $135 million contribution to The M&amp;T Charitable Foundation, recorded in other costs of operations. The operations of those businesses did not have a material impact on M&amp;T's net income.</w:t>
      </w:r>
    </w:p>
    <w:p>
      <w:pPr>
        <w:spacing w:after="0" w:line="75" w:lineRule="exact"/>
        <w:rPr>
          <w:sz w:val="20"/>
          <w:szCs w:val="20"/>
          <w:color w:val="auto"/>
        </w:rPr>
      </w:pPr>
    </w:p>
    <w:p>
      <w:pPr>
        <w:ind w:left="80" w:right="360" w:firstLine="468"/>
        <w:spacing w:after="0" w:line="275" w:lineRule="auto"/>
        <w:rPr>
          <w:sz w:val="20"/>
          <w:szCs w:val="20"/>
          <w:color w:val="auto"/>
        </w:rPr>
      </w:pPr>
      <w:r>
        <w:rPr>
          <w:rFonts w:ascii="Arial" w:cs="Arial" w:eastAsia="Arial" w:hAnsi="Arial"/>
          <w:sz w:val="18"/>
          <w:szCs w:val="18"/>
          <w:color w:val="auto"/>
        </w:rPr>
        <w:t>M&amp;T repurchased 3,838,157 shares of its common stock in accordance with its capital plan during the recent quarter at an average cost per share of $154.76 resulting in a total cost, including the share repurchase excise tax, of</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839" w:right="700" w:bottom="1440" w:gutter="0" w:footer="0" w:header="0"/>
        </w:sectPr>
      </w:pPr>
    </w:p>
    <w:bookmarkStart w:id="46" w:name="page47"/>
    <w:bookmarkEnd w:id="46"/>
    <w:p>
      <w:pPr>
        <w:ind w:right="420"/>
        <w:spacing w:after="0" w:line="275" w:lineRule="auto"/>
        <w:rPr>
          <w:sz w:val="20"/>
          <w:szCs w:val="20"/>
          <w:color w:val="auto"/>
        </w:rPr>
      </w:pPr>
      <w:r>
        <w:rPr>
          <w:rFonts w:ascii="Arial" w:cs="Arial" w:eastAsia="Arial" w:hAnsi="Arial"/>
          <w:sz w:val="18"/>
          <w:szCs w:val="18"/>
          <w:color w:val="auto"/>
        </w:rPr>
        <w:t>$600 million, compared with the repurchase of 3,664,887 shares at an average cost per share of $163.72 and total cost of $600 million in the previous three months. No share repurchases occurred in the first quarter of 2022.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73" w:lineRule="exact"/>
        <w:rPr>
          <w:sz w:val="20"/>
          <w:szCs w:val="20"/>
          <w:color w:val="auto"/>
        </w:rPr>
      </w:pPr>
    </w:p>
    <w:p>
      <w:pPr>
        <w:ind w:right="60" w:firstLine="468"/>
        <w:spacing w:after="0" w:line="259" w:lineRule="auto"/>
        <w:rPr>
          <w:sz w:val="20"/>
          <w:szCs w:val="20"/>
          <w:color w:val="auto"/>
        </w:rPr>
      </w:pPr>
      <w:r>
        <w:rPr>
          <w:rFonts w:ascii="Arial" w:cs="Arial" w:eastAsia="Arial" w:hAnsi="Arial"/>
          <w:sz w:val="18"/>
          <w:szCs w:val="18"/>
          <w:color w:val="auto"/>
        </w:rPr>
        <w:t>Net operating income aggregated $715 million in the first quarter of 2023, compared with $ 376 million in the year-earlier quarter. Diluted net operating earnings per common share for the first three months of 2023 and 2022 were $4.09 and $2.73, respectively. Net operating income and diluted net operating earnings per common share were $812 million and $4.57, respectively, in the fourth 2022 quarter.</w:t>
      </w:r>
    </w:p>
    <w:p>
      <w:pPr>
        <w:spacing w:after="0" w:line="67" w:lineRule="exact"/>
        <w:rPr>
          <w:sz w:val="20"/>
          <w:szCs w:val="20"/>
          <w:color w:val="auto"/>
        </w:rPr>
      </w:pPr>
    </w:p>
    <w:p>
      <w:pPr>
        <w:ind w:right="100" w:firstLine="516"/>
        <w:spacing w:after="0" w:line="259" w:lineRule="auto"/>
        <w:rPr>
          <w:sz w:val="20"/>
          <w:szCs w:val="20"/>
          <w:color w:val="auto"/>
        </w:rPr>
      </w:pPr>
      <w:r>
        <w:rPr>
          <w:rFonts w:ascii="Arial" w:cs="Arial" w:eastAsia="Arial" w:hAnsi="Arial"/>
          <w:sz w:val="18"/>
          <w:szCs w:val="18"/>
          <w:color w:val="auto"/>
        </w:rPr>
        <w:t>Net operating income in the recent quarter expressed as an annualized rate of return on average tangible assets was 1.49%, compared with 1.04% in the first quarter of 2022 and 1.70% in 2022’s fourth quarter. Net operating income represented an annualized return on average tangible common equity of 19.00% in the first quarter of 2023, 12.44% in the year-earlier quarter and 21.29% in the fourth quarter of 2022.</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Net interest income expressed on a taxable-equivalent basis was $1.83 billion in the first quarter of 2023, more than double the $907 million recorded in the year- earlier quarter. That increase reflects the impact of $45.4 billion in additional average earning assets, including assets obtained in the People's United transaction, and a 139 basis point (hundredths of one percent) expansion of the net interest margin, or taxable-equivalent net interest income expressed as an annualized percentage of average earning assets, to</w:t>
      </w:r>
    </w:p>
    <w:p>
      <w:pPr>
        <w:spacing w:after="0" w:line="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4.04% in the recent quarter from 2.65% in the year-earlier quarter. That increase reflected a rising interest rate environment resulting from actions taken by the Federal Reserve to mitigate inflationary pressures on the U.S. economy. The Federal Reserve raised its target Federal funds rate through multiple hikes totaling 4.50% since the end of the first quarter of 2022 that led to higher yields on loans, deposits at the Federal Reserve Bank ("FRB") of New York and investment securities, partially offset by higher rates paid on interest-bearing deposits and borrowings. Taxable-equivalent net interest income in the recent quarter was little changed from $1.84 billion in the fourth quarter of 2022. The modest decline reflects two fewer days in the first quarter of 2023 as compared with 2022's final quarter while the impact of a slightly lower net interest margin was offset by a $4.2 billion increase in average earnings assets to $184.1 billion in the recent quarter, compared with $179.9 billion in 2022's fourth quarter. The net interest margin was 4.06% in the fourth quarter of 2022.</w:t>
      </w:r>
    </w:p>
    <w:p>
      <w:pPr>
        <w:spacing w:after="0" w:line="80" w:lineRule="exact"/>
        <w:rPr>
          <w:sz w:val="20"/>
          <w:szCs w:val="20"/>
          <w:color w:val="auto"/>
        </w:rPr>
      </w:pPr>
    </w:p>
    <w:p>
      <w:pPr>
        <w:ind w:right="40" w:firstLine="468"/>
        <w:spacing w:after="0" w:line="267" w:lineRule="auto"/>
        <w:rPr>
          <w:sz w:val="20"/>
          <w:szCs w:val="20"/>
          <w:color w:val="auto"/>
        </w:rPr>
      </w:pPr>
      <w:r>
        <w:rPr>
          <w:rFonts w:ascii="Arial" w:cs="Arial" w:eastAsia="Arial" w:hAnsi="Arial"/>
          <w:sz w:val="17"/>
          <w:szCs w:val="17"/>
          <w:color w:val="auto"/>
        </w:rPr>
        <w:t>Average loans and leases totaled $132.0 billion in the first quarter of 2023, up $39.9 billion or 43% from $92.2 billion in the similar quarter of 2022. Included in average loans and leases in the recent quarter were loans obtained in the People's United acquisition. Loans acquired from People's United totaled $35.8 billion on the April 1, 2022 acquisition date and consisted of approximately $13.6 billion of commercial loans and leases, $13.5 billion of commercial real estate loans, $7.1 billion of residential real estate loans and $1.6 billion of consumer loans. Including the impact of the acquired loan balances, commercial loans and leases averaged $42.4 billion in the recent quarter, up $19.1 billion or 82% from $23.3 billion in the year-earlier quarter. That increase included the impact of loans obtained in the acquisition of People's United and loan growth, partially offset by a reduction in average balances of Paycheck Protection Program (“PPP”) loans reflecting loan repayments by the Small Business Administration.</w:t>
      </w:r>
    </w:p>
    <w:p>
      <w:pPr>
        <w:spacing w:after="0" w:line="1" w:lineRule="exact"/>
        <w:rPr>
          <w:sz w:val="20"/>
          <w:szCs w:val="20"/>
          <w:color w:val="auto"/>
        </w:rPr>
      </w:pPr>
    </w:p>
    <w:p>
      <w:pPr>
        <w:ind w:right="120" w:firstLine="6"/>
        <w:spacing w:after="0" w:line="249"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loans averaged $77 million in the first quarter of 2023, compared with $870 million in the first quarter of 2022. Average commercial real estate loans increased $10.4 billion or 30% to $45.3 billion in the first quarter of 2023 from $35.0 billion in the year-earlier quarter. That increase also reflects the impact of loans obtained in the acquisition of People's United, partially offset by a reduction in average balances of legacy loans reflecting repayments by customers.</w:t>
      </w:r>
    </w:p>
    <w:p>
      <w:pPr>
        <w:spacing w:after="0" w:line="2" w:lineRule="exact"/>
        <w:rPr>
          <w:rFonts w:ascii="Arial" w:cs="Arial" w:eastAsia="Arial" w:hAnsi="Arial"/>
          <w:sz w:val="18"/>
          <w:szCs w:val="18"/>
          <w:color w:val="auto"/>
        </w:rPr>
      </w:pPr>
    </w:p>
    <w:p>
      <w:pPr>
        <w:ind w:left="5200" w:hanging="93"/>
        <w:spacing w:after="0"/>
        <w:tabs>
          <w:tab w:leader="none" w:pos="5200" w:val="left"/>
        </w:tabs>
        <w:numPr>
          <w:ilvl w:val="1"/>
          <w:numId w:val="6"/>
        </w:numPr>
        <w:rPr>
          <w:rFonts w:ascii="Arial" w:cs="Arial" w:eastAsia="Arial" w:hAnsi="Arial"/>
          <w:sz w:val="16"/>
          <w:szCs w:val="16"/>
          <w:color w:val="auto"/>
        </w:rPr>
      </w:pPr>
      <w:r>
        <w:rPr>
          <w:rFonts w:ascii="Arial" w:cs="Arial" w:eastAsia="Arial" w:hAnsi="Arial"/>
          <w:sz w:val="16"/>
          <w:szCs w:val="16"/>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9" w:right="700" w:bottom="1440" w:gutter="0" w:footer="0" w:header="0"/>
        </w:sectPr>
      </w:pPr>
    </w:p>
    <w:bookmarkStart w:id="47" w:name="page48"/>
    <w:bookmarkEnd w:id="47"/>
    <w:p>
      <w:pPr>
        <w:ind w:firstLine="468"/>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Average residential real estate loans increased $7.9 billion or 50% to $23.8 billion in the first quarter of 2023 from $15.9 billion in the year- earlier quarter. The growth in residential real estate loans was largely attributable to the acquisition of loans from People's United and M&amp;T's decision in the third quarter of 2021 to retain rather than sell most originated residential mortgage loans. M&amp;T returned to originating for sale the majority of its newly committed residential mortgage loans in the first quarter of 2023. Consumer loans averaged $20.5 billion in the first quarter of 2023, up $2.5 billion or 14% from $18.0 billion in the year-earlier quarter. Consumer loans obtained in the acquisition of People's United consisted predominantly of outstanding balances of home equity lines of credit. Additional average growth of $1.0 billion in M&amp;T's portfolio of recreational finance loans (consisting predominantly of loans secured by recreational vehicles and boats) was partially offset by a decline of $328 million in average balances of automobile loans.</w:t>
      </w:r>
    </w:p>
    <w:p>
      <w:pPr>
        <w:spacing w:after="0" w:line="59" w:lineRule="exact"/>
        <w:rPr>
          <w:sz w:val="20"/>
          <w:szCs w:val="20"/>
          <w:color w:val="auto"/>
        </w:rPr>
      </w:pPr>
    </w:p>
    <w:p>
      <w:pPr>
        <w:ind w:right="260" w:firstLine="468"/>
        <w:spacing w:after="0" w:line="272" w:lineRule="auto"/>
        <w:rPr>
          <w:sz w:val="20"/>
          <w:szCs w:val="20"/>
          <w:color w:val="auto"/>
        </w:rPr>
      </w:pPr>
      <w:r>
        <w:rPr>
          <w:rFonts w:ascii="Arial" w:cs="Arial" w:eastAsia="Arial" w:hAnsi="Arial"/>
          <w:sz w:val="17"/>
          <w:szCs w:val="17"/>
          <w:color w:val="auto"/>
        </w:rPr>
        <w:t>Average loan and lease balances in the first quarter of 2023 increased $ 2.6 billion from $129.4 billion in the fourth quarter of 2022. The higher balances resulted predominantly from growth in commercial loans and leases which increased $2.4 billion from</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$40.0 billion in the fourth quarter of 2022. That growth resulted from a broad-based increase in commercial loans and leases of $1.9 billion and average dealer floor plan balances of $453 million. Average commercial real estate loans in the first quarter of 2023 declined $363 million from $45.7 billion in the fourth quarter of 2022. Average balances of residential real estate loans in the recently completed quarter increased $436 million from $23.3 billion in 2022’s fourth quarter. Average consumer loans in the recent quarter increased $143 million from $20.3 billion in the fourth quarter of 2022. The accompanying table summarizes quarterly changes in the major components of the loan and lease portfolio.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Percent Increase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(Decrease) from</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5"/>
              <w:spacing w:after="0"/>
              <w:rPr>
                <w:sz w:val="20"/>
                <w:szCs w:val="20"/>
                <w:color w:val="auto"/>
              </w:rPr>
            </w:pPr>
            <w:r>
              <w:rPr>
                <w:rFonts w:ascii="Arial" w:cs="Arial" w:eastAsia="Arial" w:hAnsi="Arial"/>
                <w:sz w:val="13"/>
                <w:szCs w:val="13"/>
                <w:b w:val="1"/>
                <w:bCs w:val="1"/>
                <w:color w:val="auto"/>
              </w:rPr>
              <w:t>1st Qtr.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1st Qtr.</w:t>
            </w:r>
          </w:p>
        </w:tc>
        <w:tc>
          <w:tcPr>
            <w:tcW w:w="2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4th Qtr.</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Arial" w:cs="Arial" w:eastAsia="Arial" w:hAnsi="Arial"/>
                <w:sz w:val="13"/>
                <w:szCs w:val="13"/>
                <w:b w:val="1"/>
                <w:bCs w:val="1"/>
                <w:color w:val="auto"/>
                <w:w w:val="96"/>
              </w:rPr>
              <w:t>2023</w:t>
            </w:r>
          </w:p>
        </w:tc>
        <w:tc>
          <w:tcPr>
            <w:tcW w:w="1180" w:type="dxa"/>
            <w:vAlign w:val="bottom"/>
            <w:gridSpan w:val="3"/>
          </w:tcPr>
          <w:p>
            <w:pPr>
              <w:jc w:val="right"/>
              <w:ind w:right="27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105"/>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financial, etc.</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42,428</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Arial" w:cs="Arial" w:eastAsia="Arial" w:hAnsi="Arial"/>
                <w:sz w:val="16"/>
                <w:szCs w:val="16"/>
                <w:color w:val="auto"/>
              </w:rPr>
              <w:t>Real estate — commercial</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45,327</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(1 )</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 estate — consumer</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23,770</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Recreational finance</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9,128</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rPr>
                <w:sz w:val="20"/>
                <w:szCs w:val="20"/>
                <w:color w:val="auto"/>
              </w:rPr>
            </w:pPr>
            <w:r>
              <w:rPr>
                <w:rFonts w:ascii="Arial" w:cs="Arial" w:eastAsia="Arial" w:hAnsi="Arial"/>
                <w:sz w:val="16"/>
                <w:szCs w:val="16"/>
                <w:color w:val="auto"/>
              </w:rPr>
              <w:t>Automobile</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4,430</w:t>
            </w:r>
          </w:p>
        </w:tc>
        <w:tc>
          <w:tcPr>
            <w:tcW w:w="1280" w:type="dxa"/>
            <w:vAlign w:val="bottom"/>
            <w:gridSpan w:val="4"/>
          </w:tcPr>
          <w:p>
            <w:pPr>
              <w:jc w:val="right"/>
              <w:ind w:right="40"/>
              <w:spacing w:after="0"/>
              <w:rPr>
                <w:sz w:val="20"/>
                <w:szCs w:val="20"/>
                <w:color w:val="auto"/>
              </w:rPr>
            </w:pPr>
            <w:r>
              <w:rPr>
                <w:rFonts w:ascii="Arial" w:cs="Arial" w:eastAsia="Arial" w:hAnsi="Arial"/>
                <w:sz w:val="16"/>
                <w:szCs w:val="16"/>
                <w:color w:val="auto"/>
              </w:rPr>
              <w:t>(7 )</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Home equity lines and loans</w:t>
            </w:r>
          </w:p>
        </w:tc>
        <w:tc>
          <w:tcPr>
            <w:tcW w:w="16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4,929</w:t>
            </w:r>
          </w:p>
        </w:tc>
        <w:tc>
          <w:tcPr>
            <w:tcW w:w="118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(2 )</w:t>
            </w: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66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40" w:type="dxa"/>
            <w:vAlign w:val="bottom"/>
            <w:vMerge w:val="continue"/>
            <w:shd w:val="clear" w:color="auto" w:fill="CFF0FC"/>
          </w:tcPr>
          <w:p>
            <w:pPr>
              <w:spacing w:after="0"/>
              <w:rPr>
                <w:sz w:val="5"/>
                <w:szCs w:val="5"/>
                <w:color w:val="auto"/>
              </w:rPr>
            </w:pPr>
          </w:p>
        </w:tc>
        <w:tc>
          <w:tcPr>
            <w:tcW w:w="1180" w:type="dxa"/>
            <w:vAlign w:val="bottom"/>
            <w:gridSpan w:val="3"/>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20" w:type="dxa"/>
            <w:vAlign w:val="bottom"/>
            <w:gridSpan w:val="2"/>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2,000</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consumer</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20,487</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132,012</w:t>
            </w:r>
          </w:p>
        </w:tc>
        <w:tc>
          <w:tcPr>
            <w:tcW w:w="1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highlight w:val="white"/>
                <w:w w:val="98"/>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The investment securities portfolio averaged $27.6 billion in the first quarter of 2023, up $19.9 billion from $7.7 billion in the year-earlier quarter and $2.3 billion higher than the $ 25.3 billion averaged in the fourth quarter of 2022. The higher average balance when compared with the year-earlier quarter reflects the acquisition of People’s United, which added approximately $11.6 billion to the investment securities portfolio on April 1, 2022, and the purchase of $9.7 billion of investment securities during the twelve-month period ended March 31, 2023. Those purchases were predominantly U.S. Treasury notes and fixed rate mortgage-backed securities. When compared with the fourth quarter of 2022 the increase relates to purchases of approximately $3.3 billion of investment securities during the recent quarter, consisting predominantly of fixed rate mortgage-backed securities. There were no significant sales of investment securities during the three months ended March 31, 2023, March 31, 2022 or December 31, 2022. The Company routinely has increases and decreases in its holdings of capital stock of the Federal Home Loan Bank (“FHLB”) of New York and the FRB of New York. Those holdings are accounted for at cost and are adjusted based on amounts of outstanding borrowings and available lines of credit with those entities.</w:t>
      </w:r>
    </w:p>
    <w:p>
      <w:pPr>
        <w:spacing w:after="0" w:line="73" w:lineRule="exact"/>
        <w:rPr>
          <w:sz w:val="20"/>
          <w:szCs w:val="20"/>
          <w:color w:val="auto"/>
        </w:rPr>
      </w:pPr>
    </w:p>
    <w:p>
      <w:pPr>
        <w:ind w:right="200" w:firstLine="468"/>
        <w:spacing w:after="0" w:line="263" w:lineRule="auto"/>
        <w:rPr>
          <w:sz w:val="20"/>
          <w:szCs w:val="20"/>
          <w:color w:val="auto"/>
        </w:rPr>
      </w:pPr>
      <w:r>
        <w:rPr>
          <w:rFonts w:ascii="Arial" w:cs="Arial" w:eastAsia="Arial" w:hAnsi="Arial"/>
          <w:sz w:val="18"/>
          <w:szCs w:val="18"/>
          <w:color w:val="auto"/>
        </w:rPr>
        <w:t>The investment securities portfolio is largely comprised of residential mortgage-backed securities and shorter-term U.S. Treasury and federal agency notes, but also includes municipal securities and commercial real estate mortgage-backed securities. When purchasing investment securities, the Company considers its liquidity position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- 47 -</w:t>
      </w:r>
    </w:p>
    <w:p>
      <w:pPr>
        <w:sectPr>
          <w:pgSz w:w="11900" w:h="16840" w:orient="portrait"/>
          <w:cols w:equalWidth="0" w:num="1">
            <w:col w:w="10560"/>
          </w:cols>
          <w:pgMar w:left="660" w:top="839" w:right="680"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8"/>
          <w:szCs w:val="18"/>
          <w:color w:val="auto"/>
        </w:rPr>
        <w:t>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75" w:lineRule="exact"/>
        <w:rPr>
          <w:sz w:val="20"/>
          <w:szCs w:val="20"/>
          <w:color w:val="auto"/>
        </w:rPr>
      </w:pPr>
    </w:p>
    <w:p>
      <w:pPr>
        <w:jc w:val="both"/>
        <w:ind w:right="220" w:firstLine="468"/>
        <w:spacing w:after="0" w:line="259" w:lineRule="auto"/>
        <w:rPr>
          <w:sz w:val="20"/>
          <w:szCs w:val="20"/>
          <w:color w:val="auto"/>
        </w:rPr>
      </w:pPr>
      <w:r>
        <w:rPr>
          <w:rFonts w:ascii="Arial" w:cs="Arial" w:eastAsia="Arial" w:hAnsi="Arial"/>
          <w:sz w:val="18"/>
          <w:szCs w:val="18"/>
          <w:color w:val="auto"/>
        </w:rPr>
        <w:t>Fair value changes in equity securities with readily determinable fair values are recognized in the consolidated statement of income. Net unrealized losses on such equity securities were less than $1 million in the first quarters of 2023 and 2022, compared with $4 million in the fourth quarter of 2022. Those losses include changes in the value of the Company’s holdings of Fannie Mae and Freddie Mac preferred stock.</w:t>
      </w:r>
    </w:p>
    <w:p>
      <w:pPr>
        <w:spacing w:after="0" w:line="67" w:lineRule="exact"/>
        <w:rPr>
          <w:sz w:val="20"/>
          <w:szCs w:val="20"/>
          <w:color w:val="auto"/>
        </w:rPr>
      </w:pPr>
    </w:p>
    <w:p>
      <w:pPr>
        <w:ind w:right="140" w:firstLine="468"/>
        <w:spacing w:after="0" w:line="255" w:lineRule="auto"/>
        <w:rPr>
          <w:sz w:val="20"/>
          <w:szCs w:val="20"/>
          <w:color w:val="auto"/>
        </w:rPr>
      </w:pPr>
      <w:r>
        <w:rPr>
          <w:rFonts w:ascii="Arial" w:cs="Arial" w:eastAsia="Arial" w:hAnsi="Arial"/>
          <w:sz w:val="18"/>
          <w:szCs w:val="18"/>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first quarters of 2023 or 2022 or in the final 2022 quarter. Based on management’s assessment of future cash flows associated with individual investment securities as of March 31, 2023, the Company did not expect to incur any material credit-related losses in its portfolios of debt investment securities. Additional information about the investment securities portfolio is included in notes 3 and 12 of Notes to Financial Statements.</w:t>
      </w:r>
    </w:p>
    <w:p>
      <w:pPr>
        <w:spacing w:after="0" w:line="73" w:lineRule="exact"/>
        <w:rPr>
          <w:sz w:val="20"/>
          <w:szCs w:val="20"/>
          <w:color w:val="auto"/>
        </w:rPr>
      </w:pPr>
    </w:p>
    <w:p>
      <w:pPr>
        <w:ind w:right="240" w:firstLine="468"/>
        <w:spacing w:after="0" w:line="253" w:lineRule="auto"/>
        <w:rPr>
          <w:sz w:val="20"/>
          <w:szCs w:val="20"/>
          <w:color w:val="auto"/>
        </w:rPr>
      </w:pPr>
      <w:r>
        <w:rPr>
          <w:rFonts w:ascii="Arial" w:cs="Arial" w:eastAsia="Arial" w:hAnsi="Arial"/>
          <w:sz w:val="18"/>
          <w:szCs w:val="18"/>
          <w:color w:val="auto"/>
        </w:rPr>
        <w:t>Other earning assets include interest- bearing deposits at the FRB of New York and other banks, trading account assets, federal funds sold and agreements to resell securities. Those other earning assets in the aggregate averaged $ 24.4 billion in the recently completed quarter, compared with $ 38.7 billion in the year-earlier quarter and $ 25.2 billion in the fourth quarter of 2022. Interest-bearing deposits at banks averaged $24.3 billion, $38.7 billion and $25.1 billion during the three months ended March 31, 2023, March 31, 2022 and December 31, 2022, respectively. The amounts of interest-bearing deposits at banks at the respective dates were predominantly comprised of deposits held at the FRB of New York. The lower balances in the recent quarter and the fourth quarter of 2022, compared with the year-earlier quarter reflect actions taken by the Company including the purchases of investment securities and treasury stock and the management of select deposit relationships designed to reduce the balances of higher-cost deposit accounts, partially offset by the issuance of debt and other short-term borrowings. In general, the level of deposits held at the FRB of New York also fluctuates due to changes in deposits of commercial entities, trust-related deposits and additions to or maturities of investment securities or borrowings.</w:t>
      </w:r>
    </w:p>
    <w:p>
      <w:pPr>
        <w:spacing w:after="0" w:line="73" w:lineRule="exact"/>
        <w:rPr>
          <w:sz w:val="20"/>
          <w:szCs w:val="20"/>
          <w:color w:val="auto"/>
        </w:rPr>
      </w:pPr>
    </w:p>
    <w:p>
      <w:pPr>
        <w:ind w:right="800" w:firstLine="468"/>
        <w:spacing w:after="0" w:line="275" w:lineRule="auto"/>
        <w:rPr>
          <w:sz w:val="20"/>
          <w:szCs w:val="20"/>
          <w:color w:val="auto"/>
        </w:rPr>
      </w:pPr>
      <w:r>
        <w:rPr>
          <w:rFonts w:ascii="Arial" w:cs="Arial" w:eastAsia="Arial" w:hAnsi="Arial"/>
          <w:sz w:val="18"/>
          <w:szCs w:val="18"/>
          <w:color w:val="auto"/>
        </w:rPr>
        <w:t>As a result of the changes described herein, average earning assets totaled $184.1 billion in the most recent quarter, compared with $138.6 billion in the first quarter of 2022 and $179.9 billion in the fourth quarter of 2022.</w:t>
      </w:r>
    </w:p>
    <w:p>
      <w:pPr>
        <w:spacing w:after="0" w:line="54" w:lineRule="exact"/>
        <w:rPr>
          <w:sz w:val="20"/>
          <w:szCs w:val="20"/>
          <w:color w:val="auto"/>
        </w:rPr>
      </w:pPr>
    </w:p>
    <w:p>
      <w:pPr>
        <w:ind w:right="20" w:firstLine="468"/>
        <w:spacing w:after="0" w:line="251"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$152.0 billion in the first quarter of 2023, up 22% from $124.6 billion in the similar 2022 quarter, but down 4% from $158.4 billion in the fourth quarter of 2022. The People's United acquisition added approximately $50.8 billion of core deposits on April 1, 2022, including $ 30.8 billion of savings and interest-checking deposits, $2.6 billion of time deposits and $17.4 billion of noninterest-bearing deposits. The increase in core deposits resulting from the acquisition of People's United in 2022 was partially offset by the Company's efforts in 2022 to reduce historically higher- cost deposits as well as customer reactions to the generally rising interest rate environment. The decline in average core deposits in the recent quarter as compared with the fourth quarter of 2022 includes the impact of seasonal decreases, customer use of off-balance sheet investment products, and lower levels of activity in the capital markets resulting in a reduction of trust demand and other deposits. Additionally, the Company experienced a shift of commercial customer deposits out of operating demand accounts into on- and off-balance sheet sweep accounts to earn higher returns amid rising rates. Similarly certain retail customers moved balances from savings and interest-checking accounts to time deposits in response to rising interest rates. The following table provides an analysis of quarterly changes in the components of average core deposits.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9" w:right="700"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AVERAGE CORE DEPOSITS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7"/>
          </w:tcPr>
          <w:p>
            <w:pPr>
              <w:jc w:val="center"/>
              <w:ind w:right="222"/>
              <w:spacing w:after="0"/>
              <w:rPr>
                <w:sz w:val="20"/>
                <w:szCs w:val="20"/>
                <w:color w:val="auto"/>
              </w:rPr>
            </w:pPr>
            <w:r>
              <w:rPr>
                <w:rFonts w:ascii="Arial" w:cs="Arial" w:eastAsia="Arial" w:hAnsi="Arial"/>
                <w:sz w:val="13"/>
                <w:szCs w:val="13"/>
                <w:b w:val="1"/>
                <w:bCs w:val="1"/>
                <w:color w:val="auto"/>
              </w:rPr>
              <w:t>Percent Increase</w:t>
            </w:r>
          </w:p>
        </w:tc>
      </w:tr>
      <w:tr>
        <w:trPr>
          <w:trHeight w:val="180"/>
        </w:trPr>
        <w:tc>
          <w:tcPr>
            <w:tcW w:w="6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center"/>
              <w:ind w:left="771"/>
              <w:spacing w:after="0"/>
              <w:rPr>
                <w:sz w:val="20"/>
                <w:szCs w:val="20"/>
                <w:color w:val="auto"/>
              </w:rPr>
            </w:pPr>
            <w:r>
              <w:rPr>
                <w:rFonts w:ascii="Arial" w:cs="Arial" w:eastAsia="Arial" w:hAnsi="Arial"/>
                <w:sz w:val="13"/>
                <w:szCs w:val="13"/>
                <w:b w:val="1"/>
                <w:bCs w:val="1"/>
                <w:color w:val="auto"/>
              </w:rPr>
              <w:t>(Decrease) from</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6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1st Qtr.</w:t>
            </w:r>
          </w:p>
        </w:tc>
        <w:tc>
          <w:tcPr>
            <w:tcW w:w="100" w:type="dxa"/>
            <w:vAlign w:val="bottom"/>
          </w:tcPr>
          <w:p>
            <w:pPr>
              <w:spacing w:after="0"/>
              <w:rPr>
                <w:sz w:val="15"/>
                <w:szCs w:val="15"/>
                <w:color w:val="auto"/>
              </w:rPr>
            </w:pPr>
          </w:p>
        </w:tc>
        <w:tc>
          <w:tcPr>
            <w:tcW w:w="1300" w:type="dxa"/>
            <w:vAlign w:val="bottom"/>
            <w:gridSpan w:val="2"/>
          </w:tcPr>
          <w:p>
            <w:pPr>
              <w:ind w:left="380"/>
              <w:spacing w:after="0"/>
              <w:rPr>
                <w:sz w:val="20"/>
                <w:szCs w:val="20"/>
                <w:color w:val="auto"/>
              </w:rPr>
            </w:pPr>
            <w:r>
              <w:rPr>
                <w:rFonts w:ascii="Arial" w:cs="Arial" w:eastAsia="Arial" w:hAnsi="Arial"/>
                <w:sz w:val="13"/>
                <w:szCs w:val="13"/>
                <w:b w:val="1"/>
                <w:bCs w:val="1"/>
                <w:color w:val="auto"/>
              </w:rPr>
              <w:t>1st Qtr.</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62"/>
              <w:spacing w:after="0"/>
              <w:rPr>
                <w:sz w:val="20"/>
                <w:szCs w:val="20"/>
                <w:color w:val="auto"/>
              </w:rPr>
            </w:pPr>
            <w:r>
              <w:rPr>
                <w:rFonts w:ascii="Arial" w:cs="Arial" w:eastAsia="Arial" w:hAnsi="Arial"/>
                <w:sz w:val="13"/>
                <w:szCs w:val="13"/>
                <w:b w:val="1"/>
                <w:bCs w:val="1"/>
                <w:color w:val="auto"/>
                <w:w w:val="99"/>
              </w:rPr>
              <w:t>4th Qtr.</w:t>
            </w:r>
          </w:p>
        </w:tc>
      </w:tr>
      <w:tr>
        <w:trPr>
          <w:trHeight w:val="183"/>
        </w:trPr>
        <w:tc>
          <w:tcPr>
            <w:tcW w:w="6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27"/>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300" w:type="dxa"/>
            <w:vAlign w:val="bottom"/>
            <w:gridSpan w:val="2"/>
          </w:tcPr>
          <w:p>
            <w:pPr>
              <w:jc w:val="right"/>
              <w:ind w:right="39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4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4"/>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07"/>
        </w:trPr>
        <w:tc>
          <w:tcPr>
            <w:tcW w:w="6000" w:type="dxa"/>
            <w:vAlign w:val="bottom"/>
          </w:tcPr>
          <w:p>
            <w:pPr>
              <w:ind w:left="20"/>
              <w:spacing w:after="0"/>
              <w:rPr>
                <w:sz w:val="20"/>
                <w:szCs w:val="20"/>
                <w:color w:val="auto"/>
              </w:rPr>
            </w:pPr>
            <w:r>
              <w:rPr>
                <w:rFonts w:ascii="Arial" w:cs="Arial" w:eastAsia="Arial" w:hAnsi="Arial"/>
                <w:sz w:val="16"/>
                <w:szCs w:val="16"/>
                <w:color w:val="auto"/>
              </w:rPr>
              <w:t>Savings and interest-checking deposits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84,617</w:t>
            </w:r>
          </w:p>
        </w:tc>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1  %</w:t>
            </w:r>
          </w:p>
        </w:tc>
      </w:tr>
      <w:tr>
        <w:trPr>
          <w:trHeight w:val="205"/>
        </w:trPr>
        <w:tc>
          <w:tcPr>
            <w:tcW w:w="6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5,534</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6000" w:type="dxa"/>
            <w:vAlign w:val="bottom"/>
          </w:tcPr>
          <w:p>
            <w:pPr>
              <w:ind w:left="20"/>
              <w:spacing w:after="0"/>
              <w:rPr>
                <w:sz w:val="20"/>
                <w:szCs w:val="20"/>
                <w:color w:val="auto"/>
              </w:rPr>
            </w:pPr>
            <w:r>
              <w:rPr>
                <w:rFonts w:ascii="Arial" w:cs="Arial" w:eastAsia="Arial" w:hAnsi="Arial"/>
                <w:sz w:val="16"/>
                <w:szCs w:val="16"/>
                <w:color w:val="auto"/>
              </w:rPr>
              <w:t>Noninterest-bearing deposits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61,854</w:t>
            </w:r>
          </w:p>
        </w:tc>
        <w:tc>
          <w:tcPr>
            <w:tcW w:w="1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(12 )</w:t>
            </w:r>
          </w:p>
        </w:tc>
        <w:tc>
          <w:tcPr>
            <w:tcW w:w="200" w:type="dxa"/>
            <w:vAlign w:val="bottom"/>
          </w:tcPr>
          <w:p>
            <w:pPr>
              <w:spacing w:after="0"/>
              <w:rPr>
                <w:sz w:val="17"/>
                <w:szCs w:val="17"/>
                <w:color w:val="auto"/>
              </w:rPr>
            </w:pPr>
          </w:p>
        </w:tc>
      </w:tr>
      <w:tr>
        <w:trPr>
          <w:trHeight w:val="225"/>
        </w:trPr>
        <w:tc>
          <w:tcPr>
            <w:tcW w:w="6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shd w:val="clear" w:color="auto" w:fill="CFF0FC"/>
              </w:rPr>
              <w:t>%</w:t>
            </w: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89" w:lineRule="exact"/>
        <w:rPr>
          <w:sz w:val="20"/>
          <w:szCs w:val="20"/>
          <w:color w:val="auto"/>
        </w:rPr>
      </w:pPr>
    </w:p>
    <w:p>
      <w:pPr>
        <w:ind w:right="100" w:firstLine="468"/>
        <w:spacing w:after="0" w:line="252" w:lineRule="auto"/>
        <w:rPr>
          <w:sz w:val="20"/>
          <w:szCs w:val="20"/>
          <w:color w:val="auto"/>
        </w:rPr>
      </w:pPr>
      <w:r>
        <w:rPr>
          <w:rFonts w:ascii="Arial" w:cs="Arial" w:eastAsia="Arial" w:hAnsi="Arial"/>
          <w:sz w:val="18"/>
          <w:szCs w:val="18"/>
          <w:color w:val="auto"/>
        </w:rPr>
        <w:t>The Company also receives funding from other deposit sources, including branch-related time deposits over $250,000 and brokered deposits. Time deposits over $250,000 averaged $1.5 billion in the recent quarter, compared with $313 million in the first quarter of 2022 and $903 million in the fourth quarter of 2022. The increase in such deposits in the two most recent quarters as compared with the first quarter of 2022 included the impact of the acquisition of People's United and higher demand for time deposit products as interest rates rose since the first quarter of 2022. The Company had brokered savings and interest-bearing transaction accounts that averaged $3.4 billion during the recent quarter, $3.2 billion in the year-earlier quarter and $3.3 billion in the fourth quarter of 2022. Brokered time deposits averaged $4.6 billion in the first quarter of 2023 compared with $877 million in the fourth quarter of 2022. The increase was predominantly due to deposits added late in the fourth quarter of 2022. There were no brokered time deposits in the year-earlier quarter. Additional brokered deposits may be added in the future depending on market conditions, including demand by customers and other investors for those deposits, and the cost of funds available from alternative sources at the time. Total uninsured deposits were estimated to be $67.7 billion at March 31, 2023, compared with $74.2 billion at December 31, 2022 and $63.6 billion at March 31, 2022.</w:t>
      </w:r>
    </w:p>
    <w:p>
      <w:pPr>
        <w:spacing w:after="0" w:line="81" w:lineRule="exact"/>
        <w:rPr>
          <w:sz w:val="20"/>
          <w:szCs w:val="20"/>
          <w:color w:val="auto"/>
        </w:rPr>
      </w:pPr>
    </w:p>
    <w:p>
      <w:pPr>
        <w:ind w:right="180" w:firstLine="432"/>
        <w:spacing w:after="0" w:line="275" w:lineRule="auto"/>
        <w:rPr>
          <w:sz w:val="20"/>
          <w:szCs w:val="20"/>
          <w:color w:val="auto"/>
        </w:rPr>
      </w:pPr>
      <w:r>
        <w:rPr>
          <w:rFonts w:ascii="Arial" w:cs="Arial" w:eastAsia="Arial" w:hAnsi="Arial"/>
          <w:sz w:val="18"/>
          <w:szCs w:val="18"/>
          <w:color w:val="auto"/>
        </w:rPr>
        <w:t>The accompanying table summarizes average total deposits for the quarters ended March 31, 2023, December 31, 2022 and March 31,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gridSpan w:val="4"/>
          </w:tcPr>
          <w:p>
            <w:pPr>
              <w:spacing w:after="0"/>
              <w:rPr>
                <w:sz w:val="20"/>
                <w:szCs w:val="20"/>
                <w:color w:val="auto"/>
              </w:rPr>
            </w:pPr>
            <w:r>
              <w:rPr>
                <w:rFonts w:ascii="Arial" w:cs="Arial" w:eastAsia="Arial" w:hAnsi="Arial"/>
                <w:sz w:val="18"/>
                <w:szCs w:val="18"/>
                <w:color w:val="auto"/>
              </w:rPr>
              <w:t>AVERAGE DEPOSITS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Commercial</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Retail</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Trust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0"/>
        </w:trPr>
        <w:tc>
          <w:tcPr>
            <w:tcW w:w="45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6"/>
          </w:tcPr>
          <w:p>
            <w:pPr>
              <w:ind w:left="600"/>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5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Savings and interest-checking deposits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45,996</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7,172</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34,885</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88,053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gridSpan w:val="4"/>
          </w:tcPr>
          <w:p>
            <w:pPr>
              <w:ind w:left="2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36,435</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61,854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6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67,550</w:t>
            </w:r>
          </w:p>
        </w:tc>
        <w:tc>
          <w:tcPr>
            <w:tcW w:w="1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17,533</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76,454</w:t>
            </w:r>
          </w:p>
        </w:tc>
        <w:tc>
          <w:tcPr>
            <w:tcW w:w="1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161,537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Three Months Ended December 31, 2022</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56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Savings and interest-checking deposits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32,066</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gridSpan w:val="4"/>
          </w:tcPr>
          <w:p>
            <w:pPr>
              <w:ind w:left="2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42,873</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70,218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6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68,378</w:t>
            </w:r>
          </w:p>
        </w:tc>
        <w:tc>
          <w:tcPr>
            <w:tcW w:w="1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18,882</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76,208</w:t>
            </w:r>
          </w:p>
        </w:tc>
        <w:tc>
          <w:tcPr>
            <w:tcW w:w="1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163,468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56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Savings and interest-checking deposits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35,957</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6,529</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24,781</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gridSpan w:val="4"/>
          </w:tcPr>
          <w:p>
            <w:pPr>
              <w:ind w:left="2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37,043</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6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47,364</w:t>
            </w:r>
          </w:p>
        </w:tc>
        <w:tc>
          <w:tcPr>
            <w:tcW w:w="1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18,716</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61,975</w:t>
            </w:r>
          </w:p>
        </w:tc>
        <w:tc>
          <w:tcPr>
            <w:tcW w:w="1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128,055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00" w:firstLine="468"/>
        <w:spacing w:after="0" w:line="263" w:lineRule="auto"/>
        <w:rPr>
          <w:sz w:val="20"/>
          <w:szCs w:val="20"/>
          <w:color w:val="auto"/>
        </w:rPr>
      </w:pPr>
      <w:r>
        <w:rPr>
          <w:rFonts w:ascii="Arial" w:cs="Arial" w:eastAsia="Arial" w:hAnsi="Arial"/>
          <w:sz w:val="18"/>
          <w:szCs w:val="18"/>
          <w:color w:val="auto"/>
        </w:rPr>
        <w:t>The Company also uses borrowings from banks, the FHLB of New York, the FRB of New York and others as sources of funding. Short -term borrowings represent borrowing arrangements that at the time they were entered into had a contractual maturity of one year or less. Average short-term borrowings totaled $5.0 billion in the first quarter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- 49 -</w:t>
      </w:r>
    </w:p>
    <w:p>
      <w:pPr>
        <w:sectPr>
          <w:pgSz w:w="11900" w:h="16840" w:orient="portrait"/>
          <w:cols w:equalWidth="0" w:num="1">
            <w:col w:w="10560"/>
          </w:cols>
          <w:pgMar w:left="660" w:top="839" w:right="680" w:bottom="1440" w:gutter="0" w:footer="0" w:header="0"/>
        </w:sectPr>
      </w:pPr>
    </w:p>
    <w:bookmarkStart w:id="50" w:name="page51"/>
    <w:bookmarkEnd w:id="50"/>
    <w:p>
      <w:pPr>
        <w:ind w:right="40"/>
        <w:spacing w:after="0" w:line="255" w:lineRule="auto"/>
        <w:rPr>
          <w:sz w:val="20"/>
          <w:szCs w:val="20"/>
          <w:color w:val="auto"/>
        </w:rPr>
      </w:pPr>
      <w:r>
        <w:rPr>
          <w:rFonts w:ascii="Arial" w:cs="Arial" w:eastAsia="Arial" w:hAnsi="Arial"/>
          <w:sz w:val="18"/>
          <w:szCs w:val="18"/>
          <w:color w:val="auto"/>
        </w:rPr>
        <w:t>of 2023, compared with $ 56 million in the year- earlier quarter and $1.6 billion in the fourth quarter of 2022. Short- term borrowings from the FHLB averaged $4.6 billion in the first quarter of 2023 compared with $1.2 billion in the fourth quarter of 2022. There were no such borrowings outstanding in the initial quarter of 2022. Short-term borrowings assumed in connection with the People's United acquisition totaled $895 million on April 1, 2022. In October 2022 M&amp;T redeemed $500 million of unsecured senior notes due to mature in December 2022 that had been assumed in the acquisition of People's United and included in short-term borrowings. In general, the increase in short-term borrowings reflects the Company's liquidity ratio management.</w:t>
      </w:r>
    </w:p>
    <w:p>
      <w:pPr>
        <w:spacing w:after="0" w:line="73"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Long-term borrowings averaged $6.5 billion in the first quarter of 2023, compared with $3.4 billion in the year-earlier quarter and $3.8 billion in the fourth quarter of 2022. As of April 1, 2022, long-term borrowings assumed in the People's United acquisition totaled $494 million and included $483 million of fixed -rate subordinated notes and $11 million of FHLB advances. Average balances of the Company’s outstanding senior notes were $5.0 billion, $2.4 billion and $2.2 billion during the three months ended March 31, 2023, March 31, 2022 and December 31, 2022, respectively. In January 2023, M&amp;T issued $1.0 billion of senior notes that mature in January 2034 and pay a 5.053% fixed rate semi-annually until January 2033 after which the Secured Overnight Financing Rate ("SOFR") plus 1.85% will be paid quarterly until maturity. Additionally, in January 2023 M&amp;T Bank issued $1.3 billion of senior notes that mature in January 2026 and pay a fixed rate of 4.65% semi -annually until maturity and $1.2 billion of senior notes that mature in January 2028 and pay a fixed rate of 4.70% semi-annually until maturity. In November 2022 M&amp;T Bank issued $500 million of fixed rate senior notes that pay a rate of 5.4% semi-annually and mature in November 2025. In August 2022 M&amp;T issued $500 million of senior notes that mature in August 2028 and pay a fixed rate of 4.553% semi-annually until August 2027 after which the SOFR plus 1.78% will be paid quarterly until maturity. In April 2022, M&amp;T Bank redeemed $650 million of fixed rate senior notes that were due to mature on May 18, 2022. During May 2022, $250 million of variable rate senior notes of M&amp;T Bank matured. Subordinated capital notes included in long-term borrowings averaged $980 million in the first quarter of 2023, $981 million in the three-month period ended December 31, 2022 and $500 million in the first quarter of 2022. Junior subordinated debentures associated with trust preferred securities that were included in average long-term borrowings were $537 million, $532 million and $535 million during the first quarters of 2023 and 2022 and the fourth quarter of 2022, respectively. Additional information regarding junior subordinated debentures is provided in note 5 of Notes to Financial Statements.</w:t>
      </w:r>
    </w:p>
    <w:p>
      <w:pPr>
        <w:spacing w:after="0" w:line="73"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The Company has utilized interest rate swap agreements to modify the repricing characteristics of certain components of its loans and long-term debt. As of March 31, 2023, interest rate swap agreements were used as fair value hedges of approximately $2.5 billion of outstanding fixed rate long-term borrowings. Additionally, interest rate swap agreements with a notional amount of $9.75 billion (exclusive of forward-starting swap agreements) were used as cash flow hedges of interest payments associated with variable rate commercial real estate loans. Further information on interest rate swap agreements is provided herein and in note 10 of Notes to Financial Statements.</w:t>
      </w:r>
    </w:p>
    <w:p>
      <w:pPr>
        <w:spacing w:after="0" w:line="73" w:lineRule="exact"/>
        <w:rPr>
          <w:sz w:val="20"/>
          <w:szCs w:val="20"/>
          <w:color w:val="auto"/>
        </w:rPr>
      </w:pPr>
    </w:p>
    <w:p>
      <w:pPr>
        <w:ind w:right="180" w:firstLine="468"/>
        <w:spacing w:after="0" w:line="268" w:lineRule="auto"/>
        <w:rPr>
          <w:sz w:val="20"/>
          <w:szCs w:val="20"/>
          <w:color w:val="auto"/>
        </w:rPr>
      </w:pPr>
      <w:r>
        <w:rPr>
          <w:rFonts w:ascii="Arial" w:cs="Arial" w:eastAsia="Arial" w:hAnsi="Arial"/>
          <w:sz w:val="17"/>
          <w:szCs w:val="17"/>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3.30% in the recent quarter, up 71 basis points from 2.59% in the first quarter of 2022. The yield on earning assets during the first quarter of 2023 was 5.16%, up 244 basis points from 2.72% in the similar 2022 period, while the rate paid on interest-bearing liabilities increased 173 basis points to</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1.86% in the recent quarter from .13% in the year-earlier period. In the fourth quarter of 2022, the net interest spread was 3.62%, the yield on earning assets was 4.60% and the rate paid on interest-bearing liabilities was .98%. The increases in the net interest spread since the first quarter of 2022 reflect the impact of generally rising interest rates that resulted in higher yields on loans and leases, deposits at the FRB of New York and investment securities, partially offset by higher rates on interest- bearing liabilities. The Federal Reserve raised its target Federal funds rate 4.50% since March 31, 2022, including various increases totaling .50% and 1.25% in the first quarter of 2023 and fourth quarter of 2022, respectively. The decline in the net interest spread in the recent quarter as compared with the fourth quarter of 2022 reflected higher levels of average time deposits, reflecting customer demand, and borrowings and the impact of competitive pricing and rising rates associated with interest-bearing instruments.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9" w:right="700" w:bottom="1440" w:gutter="0" w:footer="0" w:header="0"/>
        </w:sectPr>
      </w:pPr>
    </w:p>
    <w:bookmarkStart w:id="51" w:name="page52"/>
    <w:bookmarkEnd w:id="51"/>
    <w:p>
      <w:pPr>
        <w:ind w:firstLine="468"/>
        <w:spacing w:after="0" w:line="251" w:lineRule="auto"/>
        <w:rPr>
          <w:sz w:val="20"/>
          <w:szCs w:val="20"/>
          <w:color w:val="auto"/>
        </w:rPr>
      </w:pPr>
      <w:r>
        <w:rPr>
          <w:rFonts w:ascii="Arial" w:cs="Arial" w:eastAsia="Arial" w:hAnsi="Arial"/>
          <w:sz w:val="18"/>
          <w:szCs w:val="18"/>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$72.9 billion in the first three months of 2023, compared with $65.2 billion in the year-earlier quarter and $81.3 billion in the fourth quarter of 2022. The increases in average net interest-free funds in the recent quarter and the fourth quarter of 2022 as compared with first quarter of 2022 reflect higher average balances of noninterest-bearing deposits and shareholders’ equity that include the impact of the acquisition of People's United. In connection with the People's United acquisition, the Company added noninterest-bearing deposits of $ 17.4 billion at the acquisition date. Noninterest-bearing deposits averaged $61.9 billion in the first quarter of 2023 and $70.2 billion in the fourth quarter of 2022, compared with $58.1 billion in the first quarter of 2022. The increase in noninterest-bearing deposits resulting from the acquisition of People's United was partially offset by the impact of seasonal decreases, customer use of off-balance sheet investment products and a shift in deposits to interest-bearing accounts as interest rates rose. Shareholders’ equity averaged $25.4 billion during the three-month period ended March 31, 2023, compared with $17.9 billion during the year- earlier period and $25.3 billion during the fourth quarter of 2022. The higher amounts of shareholders' equity in the two most recent quarters as compared with 2022's first quarter reflect retained earnings and additional equity issued in connection with the People's United acquisition, partially offset by share repurchase activity. M&amp;T issued $8.4 billion of common equity and $261 million of preferred equity in completing the acquisition of People's United on April 1, 2022. Repurchases of common stock totaled approximately $600 million in the first quarter of 2023 and $1.8 billion in the last three quarters of 2022. There were no common stock repurchases in the first quarter of 2022. Goodwill and core deposit and other intangible assets averaged $8.7 billion in both the first quarter of 2023 and fourth quarter of 2022 and $4.6 billion in the year -earlier quarter. The Company recorded $3.9 billion of goodwill on April 1, 2022 which represents excess consideration over the fair value of net assets acquired in the People's United transaction. As part of the transaction, intangible assets were identified and recorded at fair value, thereby increasing the balance of core deposit and other intangible assets on the Company's balance sheet by $261 million on April 1, 2022. The cash surrender value of bank owned life insurance averaged $2.6 billion in each of the first quarter of 2023 and the fourth quarter of 2022, compared with $1.9 billion in the year- earlier quarter. The increase since March 31, 2022 is predominantly reflective of the impact of the People's United Acquisition. Other changes in the cash surrender value of bank owned life insurance and benefits received are not included in interest income, but rather are recorded in “other revenues from operations.” The contribution of net interest-free funds to net interest margin was .74% in the first quarter of 2023, compared with .06% and .44% in the first quarter of 2022 and the fourth quarter of 2022, respectively. The increased contribution of net interest-free funds to net interest margin in the recent quarter and fourth quarter of 2022 as compared with the initial 2022 quarter reflects higher rates on interest-bearing liabilities used to value net interest-free funds.</w:t>
      </w:r>
    </w:p>
    <w:p>
      <w:pPr>
        <w:spacing w:after="0" w:line="84" w:lineRule="exact"/>
        <w:rPr>
          <w:sz w:val="20"/>
          <w:szCs w:val="20"/>
          <w:color w:val="auto"/>
        </w:rPr>
      </w:pPr>
    </w:p>
    <w:p>
      <w:pPr>
        <w:ind w:right="20" w:firstLine="468"/>
        <w:spacing w:after="0" w:line="253" w:lineRule="auto"/>
        <w:rPr>
          <w:sz w:val="20"/>
          <w:szCs w:val="20"/>
          <w:color w:val="auto"/>
        </w:rPr>
      </w:pPr>
      <w:r>
        <w:rPr>
          <w:rFonts w:ascii="Arial" w:cs="Arial" w:eastAsia="Arial" w:hAnsi="Arial"/>
          <w:sz w:val="18"/>
          <w:szCs w:val="18"/>
          <w:color w:val="auto"/>
        </w:rPr>
        <w:t>Reflecting the changes to the net interest spread and the contribution of net interest-free funds as described herein, the Company’s net interest margin was 4.04% in the first quarter of 2023, compared with 2.65% in the year-earlier period. Future changes in market interest rates or spreads, as well as changes in the composition of the Company’s portfolios of earning assets and interest- bearing liabilities that result in changes to spreads, could impact the Company’s net interest income and net interest margin. The Federal Open Market Committee has conducted a series of basis point increases in short-term interest rates since March 31, 2022 totaling 4.50%. Those actions have led to generally higher interest rates overall and, accordingly, have contributed to the Company's higher net interest margin in the recent quarter as compared with the year- earlier quarter. The recent quarter's net interest margin decreased modestly from 4.06% in the fourth quarter of 2022. That decrease reflects a 32 basis point compression of the net interest spread largely offset by a 30 basis point increase in the contribution of interest-free funds.</w:t>
      </w:r>
    </w:p>
    <w:p>
      <w:pPr>
        <w:spacing w:after="0" w:line="77" w:lineRule="exact"/>
        <w:rPr>
          <w:sz w:val="20"/>
          <w:szCs w:val="20"/>
          <w:color w:val="auto"/>
        </w:rPr>
      </w:pPr>
    </w:p>
    <w:p>
      <w:pPr>
        <w:ind w:right="20" w:firstLine="468"/>
        <w:spacing w:after="0" w:line="254"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$12.25 billion (excluding $2.95 billion of forward-starting swap agreements) at March 31, 2023, $15.0 billion (excluding $5.7 billion of forward-starting swap agreements) at March 31, 2022 and $12.75 billion (excluding $4.65 billion of forward-starting swap agreements) at December 31,</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52" w:name="page53"/>
    <w:bookmarkEnd w:id="52"/>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2022. Under the terms of those interest rate swap agreements, the Company received payments based on the outstanding notional amount at fixed rates and made payments at variable rates. At March 31, 2023 interest rate swap agreements with notional amounts of $9.75 billion were serving as cash flow hedges of interest payments associated with variable rate commercial real estate loans, compared with $13.35 billion at March 31, 2022 and $11.25 billion at December 31, 2022. Interest rate swap agreements with notional amounts of $2.5 billion at March 31, 2023, $1.65 billion at March 31, 2022 and $1.5 billion at December 31, 2022 were serving as fair value hedges of fixed rate long-term borrowings. The Company enters into forward-starting interest rate swap agreements predominantly to extend the term of its interest rate swap agreements serving as cash flow hedges and provide a hedge against changing interest rates on certain of its variable rate loans.</w:t>
      </w:r>
    </w:p>
    <w:p>
      <w:pPr>
        <w:spacing w:after="0" w:line="72"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derivative’s gain or loss is initially reported as a component of other comprehensive income and subsequently reclassified into earnings when the forecasted transaction affects earnings. The amounts of hedge ineffectiveness recognized during each of the quarters ended March 31, 2023, March 31, 2022 and December 31, 2022 were not material to the Company’s consolidated results of operations. Information regarding the fair value of interest rate swap agreements and hedge ineffectiveness is presented in note 10 of Notes to Financial Statements. Information regarding the valuation of cash flow hedges included in other comprehensive income is presented in note 9 of Notes to Financial Statements. The changes in the fair values of the interest rate swap agreements and the hedged items primarily result from the effects of changing interest rates and spreads.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5"/>
          </w:tcPr>
          <w:p>
            <w:pPr>
              <w:ind w:left="420"/>
              <w:spacing w:after="0"/>
              <w:rPr>
                <w:sz w:val="20"/>
                <w:szCs w:val="20"/>
                <w:color w:val="auto"/>
              </w:rPr>
            </w:pPr>
            <w:r>
              <w:rPr>
                <w:rFonts w:ascii="Arial" w:cs="Arial" w:eastAsia="Arial" w:hAnsi="Arial"/>
                <w:sz w:val="13"/>
                <w:szCs w:val="13"/>
                <w:b w:val="1"/>
                <w:bCs w:val="1"/>
                <w:color w:val="auto"/>
              </w:rPr>
              <w:t>Three Months Ended March 31</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0"/>
        </w:trPr>
        <w:tc>
          <w:tcPr>
            <w:tcW w:w="5020" w:type="dxa"/>
            <w:vAlign w:val="bottom"/>
          </w:tcPr>
          <w:p>
            <w:pPr>
              <w:ind w:left="24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2023</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Amount</w:t>
            </w:r>
          </w:p>
        </w:tc>
        <w:tc>
          <w:tcPr>
            <w:tcW w:w="1080" w:type="dxa"/>
            <w:vAlign w:val="bottom"/>
          </w:tcPr>
          <w:p>
            <w:pPr>
              <w:ind w:left="420"/>
              <w:spacing w:after="0"/>
              <w:rPr>
                <w:sz w:val="20"/>
                <w:szCs w:val="20"/>
                <w:color w:val="auto"/>
              </w:rPr>
            </w:pPr>
            <w:r>
              <w:rPr>
                <w:rFonts w:ascii="Arial" w:cs="Arial" w:eastAsia="Arial" w:hAnsi="Arial"/>
                <w:sz w:val="13"/>
                <w:szCs w:val="13"/>
                <w:b w:val="1"/>
                <w:bCs w:val="1"/>
                <w:color w:val="auto"/>
              </w:rPr>
              <w:t>Rate (a)</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Amount</w:t>
            </w:r>
          </w:p>
        </w:tc>
        <w:tc>
          <w:tcPr>
            <w:tcW w:w="1060" w:type="dxa"/>
            <w:vAlign w:val="bottom"/>
          </w:tcPr>
          <w:p>
            <w:pPr>
              <w:jc w:val="right"/>
              <w:ind w:right="104"/>
              <w:spacing w:after="0"/>
              <w:rPr>
                <w:sz w:val="20"/>
                <w:szCs w:val="20"/>
                <w:color w:val="auto"/>
              </w:rPr>
            </w:pPr>
            <w:r>
              <w:rPr>
                <w:rFonts w:ascii="Arial" w:cs="Arial" w:eastAsia="Arial" w:hAnsi="Arial"/>
                <w:sz w:val="13"/>
                <w:szCs w:val="13"/>
                <w:b w:val="1"/>
                <w:bCs w:val="1"/>
                <w:color w:val="auto"/>
              </w:rPr>
              <w:t>Rate (a)</w:t>
            </w:r>
          </w:p>
        </w:tc>
        <w:tc>
          <w:tcPr>
            <w:tcW w:w="340" w:type="dxa"/>
            <w:vAlign w:val="bottom"/>
          </w:tcPr>
          <w:p>
            <w:pPr>
              <w:spacing w:after="0"/>
              <w:rPr>
                <w:sz w:val="15"/>
                <w:szCs w:val="15"/>
                <w:color w:val="auto"/>
              </w:rPr>
            </w:pPr>
          </w:p>
        </w:tc>
      </w:tr>
      <w:tr>
        <w:trPr>
          <w:trHeight w:val="204"/>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5"/>
          </w:tcPr>
          <w:p>
            <w:pPr>
              <w:ind w:left="680"/>
              <w:spacing w:after="0"/>
              <w:rPr>
                <w:sz w:val="20"/>
                <w:szCs w:val="20"/>
                <w:color w:val="auto"/>
              </w:rPr>
            </w:pPr>
            <w:r>
              <w:rPr>
                <w:rFonts w:ascii="Arial" w:cs="Arial" w:eastAsia="Arial" w:hAnsi="Arial"/>
                <w:sz w:val="13"/>
                <w:szCs w:val="13"/>
                <w:b w:val="1"/>
                <w:bCs w:val="1"/>
                <w:color w:val="auto"/>
              </w:rPr>
              <w:t>(Dollars in thousands)</w:t>
            </w: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4"/>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(decrease) in:</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(59,039 )</w:t>
            </w:r>
          </w:p>
        </w:tc>
        <w:tc>
          <w:tcPr>
            <w:tcW w:w="1480" w:type="dxa"/>
            <w:vAlign w:val="bottom"/>
            <w:gridSpan w:val="2"/>
          </w:tcPr>
          <w:p>
            <w:pPr>
              <w:jc w:val="right"/>
              <w:ind w:right="122"/>
              <w:spacing w:after="0"/>
              <w:rPr>
                <w:sz w:val="20"/>
                <w:szCs w:val="20"/>
                <w:color w:val="auto"/>
              </w:rPr>
            </w:pPr>
            <w:r>
              <w:rPr>
                <w:rFonts w:ascii="Arial" w:cs="Arial" w:eastAsia="Arial" w:hAnsi="Arial"/>
                <w:sz w:val="16"/>
                <w:szCs w:val="16"/>
                <w:color w:val="auto"/>
              </w:rPr>
              <w:t>(.13) %</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38,019</w:t>
            </w:r>
          </w:p>
        </w:tc>
        <w:tc>
          <w:tcPr>
            <w:tcW w:w="1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.11</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r>
      <w:tr>
        <w:trPr>
          <w:trHeight w:val="205"/>
        </w:trPr>
        <w:tc>
          <w:tcPr>
            <w:tcW w:w="50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9,920</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(8,488 )</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340" w:type="dxa"/>
            <w:vAlign w:val="bottom"/>
            <w:shd w:val="clear" w:color="auto" w:fill="CFF0FC"/>
          </w:tcPr>
          <w:p>
            <w:pPr>
              <w:spacing w:after="0"/>
              <w:rPr>
                <w:sz w:val="17"/>
                <w:szCs w:val="17"/>
                <w:color w:val="auto"/>
              </w:rPr>
            </w:pPr>
          </w:p>
        </w:tc>
      </w:tr>
      <w:tr>
        <w:trPr>
          <w:trHeight w:val="204"/>
        </w:trPr>
        <w:tc>
          <w:tcPr>
            <w:tcW w:w="5020" w:type="dxa"/>
            <w:vAlign w:val="bottom"/>
          </w:tcPr>
          <w:p>
            <w:pPr>
              <w:ind w:left="180"/>
              <w:spacing w:after="0"/>
              <w:rPr>
                <w:sz w:val="20"/>
                <w:szCs w:val="20"/>
                <w:color w:val="auto"/>
              </w:rPr>
            </w:pPr>
            <w:r>
              <w:rPr>
                <w:rFonts w:ascii="Arial" w:cs="Arial" w:eastAsia="Arial" w:hAnsi="Arial"/>
                <w:sz w:val="16"/>
                <w:szCs w:val="16"/>
                <w:color w:val="auto"/>
              </w:rPr>
              <w:t>Net interest income/margin</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(68,959 )</w:t>
            </w:r>
          </w:p>
        </w:tc>
        <w:tc>
          <w:tcPr>
            <w:tcW w:w="1480" w:type="dxa"/>
            <w:vAlign w:val="bottom"/>
            <w:gridSpan w:val="2"/>
          </w:tcPr>
          <w:p>
            <w:pPr>
              <w:jc w:val="right"/>
              <w:ind w:right="122"/>
              <w:spacing w:after="0"/>
              <w:rPr>
                <w:sz w:val="20"/>
                <w:szCs w:val="20"/>
                <w:color w:val="auto"/>
              </w:rPr>
            </w:pPr>
            <w:r>
              <w:rPr>
                <w:rFonts w:ascii="Arial" w:cs="Arial" w:eastAsia="Arial" w:hAnsi="Arial"/>
                <w:sz w:val="16"/>
                <w:szCs w:val="16"/>
                <w:color w:val="auto"/>
              </w:rPr>
              <w:t>(.15) %</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46,507</w:t>
            </w:r>
          </w:p>
        </w:tc>
        <w:tc>
          <w:tcPr>
            <w:tcW w:w="1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.16</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r>
      <w:tr>
        <w:trPr>
          <w:trHeight w:val="20"/>
        </w:trPr>
        <w:tc>
          <w:tcPr>
            <w:tcW w:w="5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9"/>
        </w:trPr>
        <w:tc>
          <w:tcPr>
            <w:tcW w:w="5020" w:type="dxa"/>
            <w:vAlign w:val="bottom"/>
            <w:tcBorders>
              <w:bottom w:val="single" w:sz="8" w:color="CFF0FC"/>
            </w:tcBorders>
            <w:shd w:val="clear" w:color="auto" w:fill="CFF0FC"/>
          </w:tcPr>
          <w:p>
            <w:pPr>
              <w:ind w:left="20"/>
              <w:spacing w:after="0" w:line="179" w:lineRule="exact"/>
              <w:rPr>
                <w:sz w:val="20"/>
                <w:szCs w:val="20"/>
                <w:color w:val="auto"/>
              </w:rPr>
            </w:pPr>
            <w:r>
              <w:rPr>
                <w:rFonts w:ascii="Arial" w:cs="Arial" w:eastAsia="Arial" w:hAnsi="Arial"/>
                <w:sz w:val="16"/>
                <w:szCs w:val="16"/>
                <w:color w:val="auto"/>
              </w:rPr>
              <w:t>Average notional amount (c)</w:t>
            </w:r>
          </w:p>
        </w:tc>
        <w:tc>
          <w:tcPr>
            <w:tcW w:w="260" w:type="dxa"/>
            <w:vAlign w:val="bottom"/>
            <w:tcBorders>
              <w:bottom w:val="single" w:sz="8" w:color="auto"/>
            </w:tcBorders>
            <w:shd w:val="clear" w:color="auto" w:fill="CFF0FC"/>
          </w:tcPr>
          <w:p>
            <w:pPr>
              <w:jc w:val="right"/>
              <w:ind w:right="82"/>
              <w:spacing w:after="0" w:line="179"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79" w:lineRule="exact"/>
              <w:rPr>
                <w:sz w:val="20"/>
                <w:szCs w:val="20"/>
                <w:color w:val="auto"/>
              </w:rPr>
            </w:pPr>
            <w:r>
              <w:rPr>
                <w:rFonts w:ascii="Arial" w:cs="Arial" w:eastAsia="Arial" w:hAnsi="Arial"/>
                <w:sz w:val="16"/>
                <w:szCs w:val="16"/>
                <w:color w:val="auto"/>
              </w:rPr>
              <w:t>11,069,444</w:t>
            </w: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2"/>
              <w:spacing w:after="0" w:line="17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line="179" w:lineRule="exact"/>
              <w:rPr>
                <w:sz w:val="20"/>
                <w:szCs w:val="20"/>
                <w:color w:val="auto"/>
              </w:rPr>
            </w:pPr>
            <w:r>
              <w:rPr>
                <w:rFonts w:ascii="Arial" w:cs="Arial" w:eastAsia="Arial" w:hAnsi="Arial"/>
                <w:sz w:val="16"/>
                <w:szCs w:val="16"/>
                <w:color w:val="auto"/>
              </w:rPr>
              <w:t>14,972,222</w:t>
            </w:r>
          </w:p>
        </w:tc>
        <w:tc>
          <w:tcPr>
            <w:tcW w:w="1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r>
      <w:tr>
        <w:trPr>
          <w:trHeight w:val="180"/>
        </w:trPr>
        <w:tc>
          <w:tcPr>
            <w:tcW w:w="5020" w:type="dxa"/>
            <w:vAlign w:val="bottom"/>
          </w:tcPr>
          <w:p>
            <w:pPr>
              <w:ind w:left="20"/>
              <w:spacing w:after="0" w:line="180" w:lineRule="exact"/>
              <w:rPr>
                <w:sz w:val="20"/>
                <w:szCs w:val="20"/>
                <w:color w:val="auto"/>
              </w:rPr>
            </w:pPr>
            <w:r>
              <w:rPr>
                <w:rFonts w:ascii="Arial" w:cs="Arial" w:eastAsia="Arial" w:hAnsi="Arial"/>
                <w:sz w:val="16"/>
                <w:szCs w:val="16"/>
                <w:color w:val="auto"/>
              </w:rPr>
              <w:t>Rate received (b)</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6"/>
              <w:spacing w:after="0" w:line="180" w:lineRule="exact"/>
              <w:rPr>
                <w:sz w:val="20"/>
                <w:szCs w:val="20"/>
                <w:color w:val="auto"/>
              </w:rPr>
            </w:pPr>
            <w:r>
              <w:rPr>
                <w:rFonts w:ascii="Arial" w:cs="Arial" w:eastAsia="Arial" w:hAnsi="Arial"/>
                <w:sz w:val="16"/>
                <w:szCs w:val="16"/>
                <w:color w:val="auto"/>
              </w:rPr>
              <w:t>2.68</w:t>
            </w:r>
          </w:p>
        </w:tc>
        <w:tc>
          <w:tcPr>
            <w:tcW w:w="4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4"/>
              <w:spacing w:after="0" w:line="180" w:lineRule="exact"/>
              <w:rPr>
                <w:sz w:val="20"/>
                <w:szCs w:val="20"/>
                <w:color w:val="auto"/>
              </w:rPr>
            </w:pPr>
            <w:r>
              <w:rPr>
                <w:rFonts w:ascii="Arial" w:cs="Arial" w:eastAsia="Arial" w:hAnsi="Arial"/>
                <w:sz w:val="16"/>
                <w:szCs w:val="16"/>
                <w:color w:val="auto"/>
              </w:rPr>
              <w:t>1.46</w:t>
            </w:r>
          </w:p>
        </w:tc>
        <w:tc>
          <w:tcPr>
            <w:tcW w:w="340" w:type="dxa"/>
            <w:vAlign w:val="bottom"/>
          </w:tcPr>
          <w:p>
            <w:pPr>
              <w:jc w:val="right"/>
              <w:ind w:right="102"/>
              <w:spacing w:after="0" w:line="180" w:lineRule="exact"/>
              <w:rPr>
                <w:sz w:val="20"/>
                <w:szCs w:val="20"/>
                <w:color w:val="auto"/>
              </w:rPr>
            </w:pPr>
            <w:r>
              <w:rPr>
                <w:rFonts w:ascii="Arial" w:cs="Arial" w:eastAsia="Arial" w:hAnsi="Arial"/>
                <w:sz w:val="16"/>
                <w:szCs w:val="16"/>
                <w:color w:val="auto"/>
                <w:w w:val="98"/>
              </w:rPr>
              <w:t>%</w:t>
            </w:r>
          </w:p>
        </w:tc>
      </w:tr>
      <w:tr>
        <w:trPr>
          <w:trHeight w:val="205"/>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Rate paid (b)</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5.17</w:t>
            </w:r>
          </w:p>
        </w:tc>
        <w:tc>
          <w:tcPr>
            <w:tcW w:w="4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.22</w:t>
            </w:r>
          </w:p>
        </w:tc>
        <w:tc>
          <w:tcPr>
            <w:tcW w:w="3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w w:val="98"/>
              </w:rPr>
              <w:t>%</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(a)Computed as an annualized percentage of average earning assets or interest-bearing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(b)Weighted-average rate paid or received on interest rate swap agreements in effect during the period.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(c)Excludes forward-starting interest rate swap agreements not in effect during the period.</w:t>
      </w:r>
    </w:p>
    <w:p>
      <w:pPr>
        <w:spacing w:after="0" w:line="95" w:lineRule="exact"/>
        <w:rPr>
          <w:sz w:val="20"/>
          <w:szCs w:val="20"/>
          <w:color w:val="auto"/>
        </w:rPr>
      </w:pPr>
    </w:p>
    <w:p>
      <w:pPr>
        <w:ind w:right="40" w:firstLine="468"/>
        <w:spacing w:after="0" w:line="259" w:lineRule="auto"/>
        <w:rPr>
          <w:sz w:val="20"/>
          <w:szCs w:val="20"/>
          <w:color w:val="auto"/>
        </w:rPr>
      </w:pPr>
      <w:r>
        <w:rPr>
          <w:rFonts w:ascii="Arial" w:cs="Arial" w:eastAsia="Arial" w:hAnsi="Arial"/>
          <w:sz w:val="18"/>
          <w:szCs w:val="18"/>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cash flows associated with financial instruments included in assets and liabilities differ.</w:t>
      </w:r>
    </w:p>
    <w:p>
      <w:pPr>
        <w:spacing w:after="0" w:line="67"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- 52 -</w:t>
      </w:r>
    </w:p>
    <w:p>
      <w:pPr>
        <w:sectPr>
          <w:pgSz w:w="11900" w:h="16840" w:orient="portrait"/>
          <w:cols w:equalWidth="0" w:num="1">
            <w:col w:w="10560"/>
          </w:cols>
          <w:pgMar w:left="660" w:top="839" w:right="680" w:bottom="1440" w:gutter="0" w:footer="0" w:header="0"/>
        </w:sectPr>
      </w:pPr>
    </w:p>
    <w:bookmarkStart w:id="53" w:name="page54"/>
    <w:bookmarkEnd w:id="53"/>
    <w:p>
      <w:pPr>
        <w:ind w:right="100"/>
        <w:spacing w:after="0" w:line="254" w:lineRule="auto"/>
        <w:rPr>
          <w:sz w:val="20"/>
          <w:szCs w:val="20"/>
          <w:color w:val="auto"/>
        </w:rPr>
      </w:pPr>
      <w:r>
        <w:rPr>
          <w:rFonts w:ascii="Arial" w:cs="Arial" w:eastAsia="Arial" w:hAnsi="Arial"/>
          <w:sz w:val="18"/>
          <w:szCs w:val="18"/>
          <w:color w:val="auto"/>
        </w:rPr>
        <w:t>advances from the FHLB of New York, brokered deposits, and longer-term borrowings. M&amp;T Bank has access to additional funding sources through borrowings from the FHLB of New York, lines of credit with the FRB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March 31, 2023 and December 31, 2022, long-term borrowings aggregated $7.5 billion and $4.0 billion, respectively and short-term borrowings aggregated $7.0 billion and $3.6 billion, respectively.</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benefited from the placement of brokered deposits. The Company had brokered savings and interest-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checking deposit accounts which aggregated approximately $3.5 billion at March 31, 2023, $3.8 billion at December 31, 2022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$3.2 billion at March 31, 2022. Brokered time deposits totaled $4.9 billion and $4.1 billion at March 31, 2023 and December 31,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Brokered time deposits were not a significant source of funding at March 31, 2022.</w:t>
      </w:r>
    </w:p>
    <w:p>
      <w:pPr>
        <w:spacing w:after="0" w:line="93" w:lineRule="exact"/>
        <w:rPr>
          <w:sz w:val="20"/>
          <w:szCs w:val="20"/>
          <w:color w:val="auto"/>
        </w:rPr>
      </w:pPr>
    </w:p>
    <w:p>
      <w:pPr>
        <w:ind w:right="60" w:firstLine="468"/>
        <w:spacing w:after="0" w:line="272" w:lineRule="auto"/>
        <w:rPr>
          <w:sz w:val="20"/>
          <w:szCs w:val="20"/>
          <w:color w:val="auto"/>
        </w:rPr>
      </w:pPr>
      <w:r>
        <w:rPr>
          <w:rFonts w:ascii="Arial" w:cs="Arial" w:eastAsia="Arial" w:hAnsi="Arial"/>
          <w:sz w:val="17"/>
          <w:szCs w:val="17"/>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8" w:lineRule="exact"/>
        <w:rPr>
          <w:sz w:val="20"/>
          <w:szCs w:val="20"/>
          <w:color w:val="auto"/>
        </w:rPr>
      </w:pPr>
    </w:p>
    <w:p>
      <w:pPr>
        <w:ind w:right="120" w:firstLine="468"/>
        <w:spacing w:after="0" w:line="253"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 -to-time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$52 million at March 31, 2023. The majority of those securities were remarketed in April 2023. There were no such securities in the trading account at December 31, 2022. The total amounts of VRDBs outstanding backed by M&amp;T Bank letters of credit were $582 million at March 31, 2023, $604 million at December 31, 2022 and $681 million at March 31, 2022. M&amp;T Bank also serves as remarketing agent for most of those bonds.</w:t>
      </w:r>
    </w:p>
    <w:p>
      <w:pPr>
        <w:spacing w:after="0" w:line="77"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73" w:lineRule="exact"/>
        <w:rPr>
          <w:sz w:val="20"/>
          <w:szCs w:val="20"/>
          <w:color w:val="auto"/>
        </w:rPr>
      </w:pPr>
    </w:p>
    <w:p>
      <w:pPr>
        <w:ind w:right="180" w:firstLine="468"/>
        <w:spacing w:after="0" w:line="254"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2023 approximately $1.12 billion was available for payment of dividends to M&amp;T from bank subsidiaries. M&amp;T also may obtain funding through long-term borrowings. As previously described, in January 2023 M&amp;T issued $1.0 billion of senior notes that mature in January 2034. Outstanding senior notes of M&amp;T at March 31, 2023 and December 31, 2022 were $2.22 billion and $1.22 billion, respectively. Junior subordinated debentures of M&amp;T associated with trust preferred securities outstanding at March 31, 2023 and December 31, 2022 totaled $537 million and $536 million, respectively.</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54" w:name="page55"/>
    <w:bookmarkEnd w:id="54"/>
    <w:p>
      <w:pPr>
        <w:ind w:right="160" w:firstLine="468"/>
        <w:spacing w:after="0" w:line="255"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regulatory expectations and believes that available sources of liquidity are adequate to meet funding needs anticipated in the ordinary course of business. Available liquidity at March 31, 2023 included cash on deposit at the FRB of New York of $22.3 billion, unused lines of credit of $32.5 billion and unencumbered investment securities (after estimated haircut) of approximately $16.8 billion.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3" w:lineRule="exact"/>
        <w:rPr>
          <w:sz w:val="20"/>
          <w:szCs w:val="20"/>
          <w:color w:val="auto"/>
        </w:rPr>
      </w:pPr>
    </w:p>
    <w:p>
      <w:pPr>
        <w:ind w:firstLine="468"/>
        <w:spacing w:after="0" w:line="268" w:lineRule="auto"/>
        <w:rPr>
          <w:sz w:val="20"/>
          <w:szCs w:val="20"/>
          <w:color w:val="auto"/>
        </w:rPr>
      </w:pPr>
      <w:r>
        <w:rPr>
          <w:rFonts w:ascii="Arial" w:cs="Arial" w:eastAsia="Arial" w:hAnsi="Arial"/>
          <w:sz w:val="17"/>
          <w:szCs w:val="17"/>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March 31, 2023, the aggregate notional amount of interest rate swap agreements entered into for interest rate risk management purposes that were currently in effect was $12.25 billion. In addition, the Company has entered into $2.95 billion of forward-starting interest rate swap agreements.</w:t>
      </w:r>
    </w:p>
    <w:p>
      <w:pPr>
        <w:spacing w:after="0" w:line="281"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The Company’s Asset-Liability Committee, which includes members of executive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 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8" w:lineRule="exact"/>
        <w:rPr>
          <w:sz w:val="20"/>
          <w:szCs w:val="20"/>
          <w:color w:val="auto"/>
        </w:rPr>
      </w:pPr>
    </w:p>
    <w:p>
      <w:pPr>
        <w:ind w:firstLine="468"/>
        <w:spacing w:after="0" w:line="263" w:lineRule="auto"/>
        <w:rPr>
          <w:sz w:val="20"/>
          <w:szCs w:val="20"/>
          <w:color w:val="auto"/>
        </w:rPr>
      </w:pPr>
      <w:r>
        <w:rPr>
          <w:rFonts w:ascii="Arial" w:cs="Arial" w:eastAsia="Arial" w:hAnsi="Arial"/>
          <w:sz w:val="18"/>
          <w:szCs w:val="18"/>
          <w:color w:val="auto"/>
        </w:rPr>
        <w:t>The accompanying table as of March 31, 2023 and December 31, 2022 displays the estimated impact on net interest income in the base scenario described above resulting from parallel changes in interest rates across repricing categories during the first modeling year.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SENSITIVITY OF NET INTEREST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420" w:type="dxa"/>
            <w:vAlign w:val="bottom"/>
            <w:gridSpan w:val="2"/>
          </w:tcPr>
          <w:p>
            <w:pPr>
              <w:jc w:val="center"/>
              <w:ind w:right="284"/>
              <w:spacing w:after="0"/>
              <w:rPr>
                <w:sz w:val="20"/>
                <w:szCs w:val="20"/>
                <w:color w:val="auto"/>
              </w:rPr>
            </w:pPr>
            <w:r>
              <w:rPr>
                <w:rFonts w:ascii="Arial" w:cs="Arial" w:eastAsia="Arial" w:hAnsi="Arial"/>
                <w:sz w:val="13"/>
                <w:szCs w:val="13"/>
                <w:b w:val="1"/>
                <w:bCs w:val="1"/>
                <w:color w:val="auto"/>
              </w:rPr>
              <w:t>Calculated Increase (Decrease)</w:t>
            </w:r>
          </w:p>
        </w:tc>
      </w:tr>
      <w:tr>
        <w:trPr>
          <w:trHeight w:val="183"/>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420" w:type="dxa"/>
            <w:vAlign w:val="bottom"/>
            <w:gridSpan w:val="2"/>
          </w:tcPr>
          <w:p>
            <w:pPr>
              <w:jc w:val="center"/>
              <w:ind w:right="244"/>
              <w:spacing w:after="0"/>
              <w:rPr>
                <w:sz w:val="20"/>
                <w:szCs w:val="20"/>
                <w:color w:val="auto"/>
              </w:rPr>
            </w:pPr>
            <w:r>
              <w:rPr>
                <w:rFonts w:ascii="Arial" w:cs="Arial" w:eastAsia="Arial" w:hAnsi="Arial"/>
                <w:sz w:val="13"/>
                <w:szCs w:val="13"/>
                <w:b w:val="1"/>
                <w:bCs w:val="1"/>
                <w:color w:val="auto"/>
              </w:rPr>
              <w:t>in Projected Net Interest Income</w:t>
            </w:r>
          </w:p>
        </w:tc>
      </w:tr>
      <w:tr>
        <w:trPr>
          <w:trHeight w:val="168"/>
        </w:trPr>
        <w:tc>
          <w:tcPr>
            <w:tcW w:w="4220" w:type="dxa"/>
            <w:vAlign w:val="bottom"/>
            <w:gridSpan w:val="3"/>
          </w:tcPr>
          <w:p>
            <w:pPr>
              <w:ind w:left="20"/>
              <w:spacing w:after="0"/>
              <w:rPr>
                <w:sz w:val="20"/>
                <w:szCs w:val="20"/>
                <w:color w:val="auto"/>
              </w:rPr>
            </w:pPr>
            <w:r>
              <w:rPr>
                <w:rFonts w:ascii="Arial" w:cs="Arial" w:eastAsia="Arial" w:hAnsi="Arial"/>
                <w:sz w:val="13"/>
                <w:szCs w:val="13"/>
                <w:b w:val="1"/>
                <w:bCs w:val="1"/>
                <w:color w:val="auto"/>
              </w:rPr>
              <w:t>Changes in interest rates</w:t>
            </w:r>
          </w:p>
        </w:tc>
        <w:tc>
          <w:tcPr>
            <w:tcW w:w="2840" w:type="dxa"/>
            <w:vAlign w:val="bottom"/>
          </w:tcPr>
          <w:p>
            <w:pPr>
              <w:spacing w:after="0"/>
              <w:rPr>
                <w:sz w:val="14"/>
                <w:szCs w:val="14"/>
                <w:color w:val="auto"/>
              </w:rPr>
            </w:pPr>
          </w:p>
        </w:tc>
        <w:tc>
          <w:tcPr>
            <w:tcW w:w="1700" w:type="dxa"/>
            <w:vAlign w:val="bottom"/>
          </w:tcPr>
          <w:p>
            <w:pPr>
              <w:jc w:val="right"/>
              <w:ind w:right="548"/>
              <w:spacing w:after="0"/>
              <w:rPr>
                <w:sz w:val="20"/>
                <w:szCs w:val="20"/>
                <w:color w:val="auto"/>
              </w:rPr>
            </w:pPr>
            <w:r>
              <w:rPr>
                <w:rFonts w:ascii="Arial" w:cs="Arial" w:eastAsia="Arial" w:hAnsi="Arial"/>
                <w:sz w:val="13"/>
                <w:szCs w:val="13"/>
                <w:b w:val="1"/>
                <w:bCs w:val="1"/>
                <w:color w:val="auto"/>
              </w:rPr>
              <w:t>March 31, 2023</w:t>
            </w:r>
          </w:p>
        </w:tc>
        <w:tc>
          <w:tcPr>
            <w:tcW w:w="1720" w:type="dxa"/>
            <w:vAlign w:val="bottom"/>
          </w:tcPr>
          <w:p>
            <w:pPr>
              <w:jc w:val="right"/>
              <w:ind w:right="264"/>
              <w:spacing w:after="0"/>
              <w:rPr>
                <w:sz w:val="20"/>
                <w:szCs w:val="20"/>
                <w:color w:val="auto"/>
              </w:rPr>
            </w:pPr>
            <w:r>
              <w:rPr>
                <w:rFonts w:ascii="Arial" w:cs="Arial" w:eastAsia="Arial" w:hAnsi="Arial"/>
                <w:sz w:val="13"/>
                <w:szCs w:val="13"/>
                <w:b w:val="1"/>
                <w:bCs w:val="1"/>
                <w:color w:val="auto"/>
              </w:rPr>
              <w:t>December 31, 2022</w:t>
            </w:r>
          </w:p>
        </w:tc>
      </w:tr>
      <w:tr>
        <w:trPr>
          <w:trHeight w:val="196"/>
        </w:trPr>
        <w:tc>
          <w:tcPr>
            <w:tcW w:w="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420" w:type="dxa"/>
            <w:vAlign w:val="bottom"/>
            <w:gridSpan w:val="2"/>
          </w:tcPr>
          <w:p>
            <w:pPr>
              <w:jc w:val="center"/>
              <w:ind w:right="244"/>
              <w:spacing w:after="0"/>
              <w:rPr>
                <w:sz w:val="20"/>
                <w:szCs w:val="20"/>
                <w:color w:val="auto"/>
              </w:rPr>
            </w:pPr>
            <w:r>
              <w:rPr>
                <w:rFonts w:ascii="Arial" w:cs="Arial" w:eastAsia="Arial" w:hAnsi="Arial"/>
                <w:sz w:val="13"/>
                <w:szCs w:val="13"/>
                <w:b w:val="1"/>
                <w:bCs w:val="1"/>
                <w:color w:val="auto"/>
              </w:rPr>
              <w:t>(In thousands)</w:t>
            </w:r>
          </w:p>
        </w:tc>
      </w:tr>
      <w:tr>
        <w:trPr>
          <w:trHeight w:val="228"/>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4"/>
        </w:trPr>
        <w:tc>
          <w:tcPr>
            <w:tcW w:w="42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+200 basis points</w:t>
            </w:r>
          </w:p>
        </w:tc>
        <w:tc>
          <w:tcPr>
            <w:tcW w:w="2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208"/>
              <w:spacing w:after="0"/>
              <w:rPr>
                <w:sz w:val="20"/>
                <w:szCs w:val="20"/>
                <w:color w:val="auto"/>
              </w:rPr>
            </w:pPr>
            <w:r>
              <w:rPr>
                <w:rFonts w:ascii="Arial" w:cs="Arial" w:eastAsia="Arial" w:hAnsi="Arial"/>
                <w:sz w:val="16"/>
                <w:szCs w:val="16"/>
                <w:color w:val="auto"/>
              </w:rPr>
              <w:t>175,411</w:t>
            </w:r>
          </w:p>
        </w:tc>
        <w:tc>
          <w:tcPr>
            <w:tcW w:w="17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224,555</w:t>
            </w:r>
          </w:p>
        </w:tc>
      </w:tr>
      <w:tr>
        <w:trPr>
          <w:trHeight w:val="203"/>
        </w:trPr>
        <w:tc>
          <w:tcPr>
            <w:tcW w:w="4220" w:type="dxa"/>
            <w:vAlign w:val="bottom"/>
            <w:gridSpan w:val="3"/>
          </w:tcPr>
          <w:p>
            <w:pPr>
              <w:ind w:left="20"/>
              <w:spacing w:after="0"/>
              <w:rPr>
                <w:sz w:val="20"/>
                <w:szCs w:val="20"/>
                <w:color w:val="auto"/>
              </w:rPr>
            </w:pPr>
            <w:r>
              <w:rPr>
                <w:rFonts w:ascii="Arial" w:cs="Arial" w:eastAsia="Arial" w:hAnsi="Arial"/>
                <w:sz w:val="16"/>
                <w:szCs w:val="16"/>
                <w:color w:val="auto"/>
              </w:rPr>
              <w:t>+100 basis points</w:t>
            </w:r>
          </w:p>
        </w:tc>
        <w:tc>
          <w:tcPr>
            <w:tcW w:w="2840" w:type="dxa"/>
            <w:vAlign w:val="bottom"/>
          </w:tcPr>
          <w:p>
            <w:pPr>
              <w:spacing w:after="0"/>
              <w:rPr>
                <w:sz w:val="17"/>
                <w:szCs w:val="17"/>
                <w:color w:val="auto"/>
              </w:rPr>
            </w:pPr>
          </w:p>
        </w:tc>
        <w:tc>
          <w:tcPr>
            <w:tcW w:w="1700" w:type="dxa"/>
            <w:vAlign w:val="bottom"/>
          </w:tcPr>
          <w:p>
            <w:pPr>
              <w:jc w:val="right"/>
              <w:ind w:right="208"/>
              <w:spacing w:after="0"/>
              <w:rPr>
                <w:sz w:val="20"/>
                <w:szCs w:val="20"/>
                <w:color w:val="auto"/>
              </w:rPr>
            </w:pPr>
            <w:r>
              <w:rPr>
                <w:rFonts w:ascii="Arial" w:cs="Arial" w:eastAsia="Arial" w:hAnsi="Arial"/>
                <w:sz w:val="16"/>
                <w:szCs w:val="16"/>
                <w:color w:val="auto"/>
              </w:rPr>
              <w:t>126,189</w:t>
            </w: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158,020</w:t>
            </w:r>
          </w:p>
        </w:tc>
      </w:tr>
      <w:tr>
        <w:trPr>
          <w:trHeight w:val="205"/>
        </w:trPr>
        <w:tc>
          <w:tcPr>
            <w:tcW w:w="42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-100 basis points</w:t>
            </w:r>
          </w:p>
        </w:tc>
        <w:tc>
          <w:tcPr>
            <w:tcW w:w="284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(182,662 )</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(216,202 )</w:t>
            </w:r>
          </w:p>
        </w:tc>
      </w:tr>
      <w:tr>
        <w:trPr>
          <w:trHeight w:val="202"/>
        </w:trPr>
        <w:tc>
          <w:tcPr>
            <w:tcW w:w="4220" w:type="dxa"/>
            <w:vAlign w:val="bottom"/>
            <w:gridSpan w:val="3"/>
          </w:tcPr>
          <w:p>
            <w:pPr>
              <w:ind w:left="20"/>
              <w:spacing w:after="0"/>
              <w:rPr>
                <w:sz w:val="20"/>
                <w:szCs w:val="20"/>
                <w:color w:val="auto"/>
              </w:rPr>
            </w:pPr>
            <w:r>
              <w:rPr>
                <w:rFonts w:ascii="Arial" w:cs="Arial" w:eastAsia="Arial" w:hAnsi="Arial"/>
                <w:sz w:val="16"/>
                <w:szCs w:val="16"/>
                <w:color w:val="auto"/>
              </w:rPr>
              <w:t>-200 basis points</w:t>
            </w:r>
          </w:p>
        </w:tc>
        <w:tc>
          <w:tcPr>
            <w:tcW w:w="2840" w:type="dxa"/>
            <w:vAlign w:val="bottom"/>
          </w:tcPr>
          <w:p>
            <w:pPr>
              <w:spacing w:after="0"/>
              <w:rPr>
                <w:sz w:val="17"/>
                <w:szCs w:val="17"/>
                <w:color w:val="auto"/>
              </w:rPr>
            </w:pPr>
          </w:p>
        </w:tc>
        <w:tc>
          <w:tcPr>
            <w:tcW w:w="1700" w:type="dxa"/>
            <w:vAlign w:val="bottom"/>
          </w:tcPr>
          <w:p>
            <w:pPr>
              <w:jc w:val="right"/>
              <w:ind w:right="128"/>
              <w:spacing w:after="0"/>
              <w:rPr>
                <w:sz w:val="20"/>
                <w:szCs w:val="20"/>
                <w:color w:val="auto"/>
              </w:rPr>
            </w:pPr>
            <w:r>
              <w:rPr>
                <w:rFonts w:ascii="Arial" w:cs="Arial" w:eastAsia="Arial" w:hAnsi="Arial"/>
                <w:sz w:val="16"/>
                <w:szCs w:val="16"/>
                <w:color w:val="auto"/>
              </w:rPr>
              <w:t>(373,589 )</w:t>
            </w:r>
          </w:p>
        </w:tc>
        <w:tc>
          <w:tcPr>
            <w:tcW w:w="1720" w:type="dxa"/>
            <w:vAlign w:val="bottom"/>
          </w:tcPr>
          <w:p>
            <w:pPr>
              <w:jc w:val="right"/>
              <w:spacing w:after="0"/>
              <w:rPr>
                <w:sz w:val="20"/>
                <w:szCs w:val="20"/>
                <w:color w:val="auto"/>
              </w:rPr>
            </w:pPr>
            <w:r>
              <w:rPr>
                <w:rFonts w:ascii="Arial" w:cs="Arial" w:eastAsia="Arial" w:hAnsi="Arial"/>
                <w:sz w:val="16"/>
                <w:szCs w:val="16"/>
                <w:color w:val="auto"/>
              </w:rPr>
              <w:t>(439,512 )</w:t>
            </w:r>
          </w:p>
        </w:tc>
      </w:tr>
    </w:tbl>
    <w:p>
      <w:pPr>
        <w:spacing w:after="0" w:line="91"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The Company utilized many assumptions to calculate the impact that changes in interest rates may have on net interest income. The more significant of those assumptions included the rate of prepayments of mortgage- related assets, cash flows from derivative and other financial instruments, loan and deposit volumes, mix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Changes in amounts presented since December 31, 2022 reflect changes in portfolio composition (including shifts between noninterest- bearing and interest- bearing deposits and higher levels of borrowings), the level of market- implied forward interest rates and hedging actions taken by the Company. Amidst the rising rate environment since the first quarter of 2022, M&amp;T's deposit pricing beta, that is the change in deposit pricing in response to a change in market interest rates, averaged between 30 to 35 percent. The deposit pricing beta is assumed to be approximately 40 to 45 percent in the scenarios presented.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77"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A significant amount of the Company’s earning assets, interest- bearing liabilities, preferred equity instruments and interest rate swap agreements have contractual repricing terms that reference the London Interbank Offered Rate (“LIBOR”). Publication of certain tenors of LIBOR has already ceased and complete cessation of LIBOR publication is expected by June 30, 2023. Effective December 31, 2021, the Company essentially discontinued entering into new LIBOR-based contracts.</w:t>
      </w:r>
    </w:p>
    <w:p>
      <w:pPr>
        <w:spacing w:after="0" w:line="67" w:lineRule="exact"/>
        <w:rPr>
          <w:sz w:val="20"/>
          <w:szCs w:val="20"/>
          <w:color w:val="auto"/>
        </w:rPr>
      </w:pPr>
    </w:p>
    <w:p>
      <w:pPr>
        <w:ind w:firstLine="468"/>
        <w:spacing w:after="0" w:line="268" w:lineRule="auto"/>
        <w:rPr>
          <w:sz w:val="20"/>
          <w:szCs w:val="20"/>
          <w:color w:val="auto"/>
        </w:rPr>
      </w:pPr>
      <w:r>
        <w:rPr>
          <w:rFonts w:ascii="Arial" w:cs="Arial" w:eastAsia="Arial" w:hAnsi="Arial"/>
          <w:sz w:val="17"/>
          <w:szCs w:val="17"/>
          <w:color w:val="auto"/>
        </w:rPr>
        <w:t>The Company's enterprise-wide LIBOR transition program is monitored by executive management as well as the Risk Committee of the Board of Directors. At March 31, 2023 the Company had LIBOR-based commercial loans and leases and commercial real estate loans of $28.0 billion and residential mortgage and consumer loans of $4.0 billion outstanding. Approximately 91% of the loans either mature before June 30, 2023 or have been amended to include appropriate alternative language to be effective upon cessation of LIBOR publication. Approximately $733 million of borrowings and $1.1 billion of preferred equity instruments reference LIBOR as of March 31, 2023. Upon cessation of LIBOR after June 30, 2023 dividends on M&amp;T's preferred stock and interest payments on variable rate preferred capital securities will be paid based on SOFR plus a pre-determined static spread (dependent on the tenor of LIBOR for each series of preferred stock and each preferred capital security). Refer to note 10 of Notes to the Financial Statements in the Company's Form 10-K for information on the anticipated rates for dividends on each series of preferred stock that reference LIBOR upon its cessation. Many of the Company’s interest rate swap agreements primarily reference LIBOR. In October 2020, the International Swaps and Derivatives Association, Inc. published the IBOR Fallbacks Supplement (“Supplement”) and the IBOR Fallback Protocol (“Protocol”). The Protocol enables market participants to incorporate certain revisions into their legacy non-cleared derivative trades with other counterparties that also choose to adhere to the Protocol. M&amp;T adhered to the Protocol in November 2020. With respect to the Company’s cleared interest rate swap agreements that reference LIBOR, clearinghouses have adopted the same SOFR benchmark alternatives of the Supplement and Protocol.</w:t>
      </w:r>
    </w:p>
    <w:p>
      <w:pPr>
        <w:spacing w:after="0" w:line="63" w:lineRule="exact"/>
        <w:rPr>
          <w:sz w:val="20"/>
          <w:szCs w:val="20"/>
          <w:color w:val="auto"/>
        </w:rPr>
      </w:pPr>
    </w:p>
    <w:p>
      <w:pPr>
        <w:ind w:right="360" w:firstLine="468"/>
        <w:spacing w:after="0" w:line="275" w:lineRule="auto"/>
        <w:rPr>
          <w:sz w:val="20"/>
          <w:szCs w:val="20"/>
          <w:color w:val="auto"/>
        </w:rPr>
      </w:pPr>
      <w:r>
        <w:rPr>
          <w:rFonts w:ascii="Arial" w:cs="Arial" w:eastAsia="Arial" w:hAnsi="Arial"/>
          <w:sz w:val="18"/>
          <w:szCs w:val="18"/>
          <w:color w:val="auto"/>
        </w:rPr>
        <w:t>As loans have matured and new originations occurred a larger percentage of the Company’s variable-rate loans reference SOFR or other indexes, including the Bloomberg Short Term Bank Yield Index (“BSBY”). At March 31,</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839" w:right="720" w:bottom="1440" w:gutter="0" w:footer="0" w:header="0"/>
        </w:sectPr>
      </w:pPr>
    </w:p>
    <w:bookmarkStart w:id="56" w:name="page57"/>
    <w:bookmarkEnd w:id="56"/>
    <w:p>
      <w:pPr>
        <w:spacing w:after="0" w:line="253" w:lineRule="auto"/>
        <w:rPr>
          <w:sz w:val="20"/>
          <w:szCs w:val="20"/>
          <w:color w:val="auto"/>
        </w:rPr>
      </w:pPr>
      <w:r>
        <w:rPr>
          <w:rFonts w:ascii="Arial" w:cs="Arial" w:eastAsia="Arial" w:hAnsi="Arial"/>
          <w:sz w:val="18"/>
          <w:szCs w:val="18"/>
          <w:color w:val="auto"/>
        </w:rPr>
        <w:t>2023 the Company had approximately $34.9 billion and $267 million of outstanding loan balances that reference SOFR and BSBY, respectively. Additionally, as of March 31, 2023, the Company had $ 14.2 billion of notional amounts of interest rate swap agreements entered into for hedging purposes, including $3.0 billion of forward- starting interest rate swap agreements, and notional amounts of $7.3 billion of non-hedging derivative interest rate contracts that are referenced to SOFR. The Company’s usage of interest rate swap agreements referenced to SOFR or BSBY is expected to increase in response to the discontinuation of LIBOR. By the end of the second quarter of 2023, the Company expects to substantially complete its work engaging with customers and other counterparties to remediate LIBOR-based agreements which expire after June 30, 2023 by incorporating alternative language, negotiating new agreements, or other means. The discontinuation of LIBOR and uncertainty relating to the emergence of one or more alternative benchmark indexes to replace LIBOR could materially impact the Company’s interest rate risk profile and its management thereof.</w:t>
      </w:r>
    </w:p>
    <w:p>
      <w:pPr>
        <w:spacing w:after="0" w:line="75" w:lineRule="exact"/>
        <w:rPr>
          <w:sz w:val="20"/>
          <w:szCs w:val="20"/>
          <w:color w:val="auto"/>
        </w:rPr>
      </w:pPr>
    </w:p>
    <w:p>
      <w:pPr>
        <w:ind w:right="40" w:firstLine="468"/>
        <w:spacing w:after="0" w:line="259" w:lineRule="auto"/>
        <w:rPr>
          <w:sz w:val="20"/>
          <w:szCs w:val="20"/>
          <w:color w:val="auto"/>
        </w:rPr>
      </w:pPr>
      <w:r>
        <w:rPr>
          <w:rFonts w:ascii="Arial" w:cs="Arial" w:eastAsia="Arial" w:hAnsi="Arial"/>
          <w:sz w:val="18"/>
          <w:szCs w:val="18"/>
          <w:color w:val="auto"/>
        </w:rPr>
        <w:t>In addition to the effect of interest rates, 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3 and 12 of Notes to Financial Statements.</w:t>
      </w:r>
    </w:p>
    <w:p>
      <w:pPr>
        <w:spacing w:after="0" w:line="67" w:lineRule="exact"/>
        <w:rPr>
          <w:sz w:val="20"/>
          <w:szCs w:val="20"/>
          <w:color w:val="auto"/>
        </w:rPr>
      </w:pPr>
    </w:p>
    <w:p>
      <w:pPr>
        <w:ind w:right="20" w:firstLine="468"/>
        <w:spacing w:after="0" w:line="252" w:lineRule="auto"/>
        <w:rPr>
          <w:sz w:val="20"/>
          <w:szCs w:val="20"/>
          <w:color w:val="auto"/>
        </w:rPr>
      </w:pPr>
      <w:r>
        <w:rPr>
          <w:rFonts w:ascii="Arial" w:cs="Arial" w:eastAsia="Arial" w:hAnsi="Arial"/>
          <w:sz w:val="18"/>
          <w:szCs w:val="18"/>
          <w:color w:val="auto"/>
        </w:rPr>
        <w:t>The Company enters into interest rate and foreign exchange contracts to meet the financial needs of customers that it includes in its financial statements as other non- hedging derivatives within other assets and other liabilities. Financial instruments utilized for such activities consist predominantly of interest rate swap agreements and forward and futures contracts related to foreign currencies. The Company generally mitigates the foreign currency and interest rate risk associated with customer activities by entering into offsetting positions with third parties that are also included in other assets and other liabilities. The fair values of non-hedging derivative positions associated with interest rate contracts and foreign currency and other option and futures contracts are presented in note 10 of Notes to Financial Statements. As with any non-government guaranteed financial instrument, the Company is exposed to credit risk associated with counterparties to the Company’s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on the balance sheet were $302 million and $1.0 billion, respectively, at March 31, 2023 and $380 million and $1.3 billion, respectively, at December 31, 2022. The fair value asset and liability amounts at March 31, 2023 have been reduced by contractual settlements of $862 million and $20 million, respectively, and at December 31, 2022 have been reduced by contractual settlements of $1.1 billion and $29 million, respectively. The values associated with the Company's non-hedging derivative activities at March 31, 2023 as compared with December 31, 2022 reflect changes in values associated with interest rate swap agreements entered into with commercial customers that are not subject to periodic variation margin settlement payments.</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Trading account assets were $165 million at March 31, 2023, $118 million at December 31, 2022 and $47 million at March 31,</w:t>
      </w:r>
    </w:p>
    <w:p>
      <w:pPr>
        <w:spacing w:after="0" w:line="2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2022. Included in trading account assets were assets related to deferred compensation plans of $22 million at March 31, 2023, $23 million at December 31, 2022 and $19 million at March 31, 2022. Changes in the fair values of such assets are recorded as “trading account and other non-hedging derivative gains” in the consolidated statement of income. Included in “other liabilities” in the consolidated balance sheet at March 31, 2023 was $27 million of liabilities related to deferred compensation plans, compared with $29 million at December 31, 2022 and $ 22 million at March 31, 2022.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 -qualified supplemental retirement and other benefit plans that were assumed by the Company in various acquisitions. Those assets totaled $92 million at March 31, 2023, $95 million at December 31, 2022 and $28 million at March 31, 2022. The increase at March 31, 2023 and December 31, 2022 as compared with March 31, 2022 reflects assets obtained in the acquisition of the People's United non-qualified supplemental retirement and other benefit plans.</w:t>
      </w:r>
    </w:p>
    <w:p>
      <w:pPr>
        <w:spacing w:after="0" w:line="69" w:lineRule="exact"/>
        <w:rPr>
          <w:sz w:val="20"/>
          <w:szCs w:val="20"/>
          <w:color w:val="auto"/>
        </w:rPr>
      </w:pPr>
    </w:p>
    <w:p>
      <w:pPr>
        <w:ind w:right="140" w:firstLine="468"/>
        <w:spacing w:after="0" w:line="275" w:lineRule="auto"/>
        <w:rPr>
          <w:sz w:val="20"/>
          <w:szCs w:val="20"/>
          <w:color w:val="auto"/>
        </w:rPr>
      </w:pPr>
      <w:r>
        <w:rPr>
          <w:rFonts w:ascii="Arial" w:cs="Arial" w:eastAsia="Arial" w:hAnsi="Arial"/>
          <w:sz w:val="18"/>
          <w:szCs w:val="18"/>
          <w:color w:val="auto"/>
        </w:rPr>
        <w:t>Given the Company’s policies and positions, management believes that the potential loss exposure to the Company resulting from market risk associated with trading account and other non-hedging derivative activities was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9" w:right="700" w:bottom="1440" w:gutter="0" w:footer="0" w:header="0"/>
        </w:sectPr>
      </w:pPr>
    </w:p>
    <w:bookmarkStart w:id="57" w:name="page58"/>
    <w:bookmarkEnd w:id="57"/>
    <w:p>
      <w:pPr>
        <w:jc w:val="both"/>
        <w:ind w:right="340"/>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not material, however, as previously noted, the Company is exposed to credit risk associated with counterparties to transactions related to the Company’s actions to mitigate foreign currency and interest rate risk associated with customer activities. Additional information about the Company’s use of derivative financial instruments is included in note 10 of Notes to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provision for credit losses is recorded to adjust the level of the allowance to reflect expected credit losses that are based on economic forecasts as of each reporting date. A provision for credit losses of $120 million was recorded in the first quarter of 2023, compared with $10 million in the year-earlier quarter and $90 million in the fourth quarter of 2022. The Company's estimates of expected credit losses at March 31, 2023 reflect an expected rise in the unemployment rate, a brief retraction of economic activity measured by gross domestic product followed by growth, a continuation of a decline in residential real estate prices and concerns about commercial real estate values in the health care and office building sectors. The allowance for credit losses at March 31, 2023 and December 31, 2022 also reflects a provision recorded in the second quarter of 2022 that included $242 million on loans obtained in the acquisition of People's United not deemed to be purchased credit deteriorated ("PCD"). GAAP requires a provision for credit losses to be recorded related to those loans beyond the recognition of credit losses utilized in the determination of the estimated fair value of the loans at the acquisition date. In addition to the recorded provision, the allowance for credit losses was also increased by $99 million in the second quarter of 2022 to reflect the expected credit losses on loans obtained in the acquisition of People's United deemed to be PCD. That addition represented an increase of the carrying values of loans identified as PCD at the time of the acquisition.</w:t>
      </w:r>
    </w:p>
    <w:p>
      <w:pPr>
        <w:spacing w:after="0" w:line="79" w:lineRule="exact"/>
        <w:rPr>
          <w:sz w:val="20"/>
          <w:szCs w:val="20"/>
          <w:color w:val="auto"/>
        </w:rPr>
      </w:pPr>
    </w:p>
    <w:p>
      <w:pPr>
        <w:jc w:val="both"/>
        <w:ind w:right="160" w:firstLine="468"/>
        <w:spacing w:after="0" w:line="254" w:lineRule="auto"/>
        <w:rPr>
          <w:sz w:val="20"/>
          <w:szCs w:val="20"/>
          <w:color w:val="auto"/>
        </w:rPr>
      </w:pPr>
      <w:r>
        <w:rPr>
          <w:rFonts w:ascii="Arial" w:cs="Arial" w:eastAsia="Arial" w:hAnsi="Arial"/>
          <w:sz w:val="18"/>
          <w:szCs w:val="18"/>
          <w:color w:val="auto"/>
        </w:rPr>
        <w:t>Charge-offs of loans, net of recoveries of previously charged-off loans, were $70 million in the recent quarter, compared with $7 million in the first quarter of 2022 and $40 million in the fourth quarter of 2022. Net charge-offs as an annualized percentage of average loans and leases were .22% in the first quarter of 2023, .03% in the year -earlier quarter and .12% in the fourth quarter of 2022. As an annualized percentage by loan type, net charge-offs (recoveries) for the first quarter of 2023, first quarter of 2022 and the fourth quarter of 2022 were .09%, . 10% and .08% for commercial loans and leases, .26%, (.15%) and .07% for commercial real estate loans, .62%, .31% and .46% for consumer loans, and .01%, .02%, and .01% for residential real estate loans, respectively. A summary of net charge-offs by loan type is presented in the table that follows.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NET CHARGE-OFFS (RECOVERIES)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Fourth Quarter</w:t>
            </w:r>
          </w:p>
        </w:tc>
      </w:tr>
      <w:tr>
        <w:trPr>
          <w:trHeight w:val="180"/>
        </w:trPr>
        <w:tc>
          <w:tcPr>
            <w:tcW w:w="65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First Quarter 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First Quarter 2022</w:t>
            </w:r>
          </w:p>
        </w:tc>
        <w:tc>
          <w:tcPr>
            <w:tcW w:w="1240" w:type="dxa"/>
            <w:vAlign w:val="bottom"/>
            <w:gridSpan w:val="2"/>
          </w:tcPr>
          <w:p>
            <w:pPr>
              <w:jc w:val="right"/>
              <w:ind w:right="35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3"/>
        </w:trPr>
        <w:tc>
          <w:tcPr>
            <w:tcW w:w="6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financial, leasing, etc.</w:t>
            </w:r>
          </w:p>
        </w:tc>
        <w:tc>
          <w:tcPr>
            <w:tcW w:w="3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9,561</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5,569</w:t>
            </w: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8,006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w:t>
            </w: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29,055</w:t>
            </w:r>
          </w:p>
        </w:tc>
        <w:tc>
          <w:tcPr>
            <w:tcW w:w="150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(13,143 )</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8,003</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378</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7"/>
                <w:szCs w:val="17"/>
                <w:color w:val="auto"/>
              </w:rPr>
            </w:pPr>
          </w:p>
        </w:tc>
      </w:tr>
      <w:tr>
        <w:trPr>
          <w:trHeight w:val="205"/>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w:t>
            </w: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31,227</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13,576</w:t>
            </w: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23,669</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70,221</w:t>
            </w:r>
          </w:p>
        </w:tc>
        <w:tc>
          <w:tcPr>
            <w:tcW w:w="1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6,867</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40,260</w:t>
            </w:r>
          </w:p>
        </w:tc>
        <w:tc>
          <w:tcPr>
            <w:tcW w:w="8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6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89"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There were no individually notable commercial loan charge-offs or recoveries in the first quarter of 2023. Net charge -offs of commercial loans in the first quarter of 2022 reflected a $10 million charge-off of a loan to a skilled nursing facility partially offset by a $7 million recovery of a previously charged off loan to a manufacturing entity. Net charge-offs of commercial loans in the fourth quarter of 2022 included an $8 million charge-off of a loan to a consumer products manufacturer. The net charge-offs of commercial real estate loans in the first quarter of 2023 reflect an $18 million net charge -off of a loan to a multi-tenant office and retail building in New York City and a $9 million charge-off to a real estate development and management company in the mid-Atlantic region. Net recoveries of commercial real estate loans in last year's first quarter included a $9 million recovery of a previously charged-off loan to a hotel in the New York City area. Net charge-offs of commercial real estate loans in the fourth quarter of 2022 included a $7 million charge-off to a real estate development and management company. Included in net charge-offs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- 57 -</w:t>
      </w:r>
    </w:p>
    <w:p>
      <w:pPr>
        <w:sectPr>
          <w:pgSz w:w="11900" w:h="16840" w:orient="portrait"/>
          <w:cols w:equalWidth="0" w:num="1">
            <w:col w:w="10560"/>
          </w:cols>
          <w:pgMar w:left="660" w:top="839" w:right="680" w:bottom="1440" w:gutter="0" w:footer="0" w:header="0"/>
        </w:sectPr>
      </w:pPr>
    </w:p>
    <w:bookmarkStart w:id="58" w:name="page59"/>
    <w:bookmarkEnd w:id="58"/>
    <w:p>
      <w:pPr>
        <w:ind w:right="80"/>
        <w:spacing w:after="0" w:line="254" w:lineRule="auto"/>
        <w:rPr>
          <w:sz w:val="20"/>
          <w:szCs w:val="20"/>
          <w:color w:val="auto"/>
        </w:rPr>
      </w:pPr>
      <w:r>
        <w:rPr>
          <w:rFonts w:ascii="Arial" w:cs="Arial" w:eastAsia="Arial" w:hAnsi="Arial"/>
          <w:sz w:val="18"/>
          <w:szCs w:val="18"/>
          <w:color w:val="auto"/>
        </w:rPr>
        <w:t>of consumer loans were: net charge -offs of automobile loans of $2 million in the recent quarter and $3 million in the fourth quarter of 2022, compared with net recoveries of $1 million in the first quarter of 2022; net charge -offs of recreational finance loans of $11 million in the first quarter of 2023, $ 4 million in the year- earlier quarter and $5 million in the fourth quarter of 2022; and net charge-offs of home equity loans and lines of credit secured by one-to-four family residential properties of less than $1 million in the recent quarter and fourth quarter of 2022, compared with net recoveries of less than $1 million in the first quarter of 2022. Net charge-offs associated with other consumer loans including credit cards and installment loans totaled $17 million in the recent quarter, $11 million in the year-earlier quarter and $16 million in the fourth quarter of 2022.</w:t>
      </w:r>
    </w:p>
    <w:p>
      <w:pPr>
        <w:spacing w:after="0" w:line="75" w:lineRule="exact"/>
        <w:rPr>
          <w:sz w:val="20"/>
          <w:szCs w:val="20"/>
          <w:color w:val="auto"/>
        </w:rPr>
      </w:pPr>
    </w:p>
    <w:p>
      <w:pPr>
        <w:ind w:right="40" w:firstLine="468"/>
        <w:spacing w:after="0" w:line="275" w:lineRule="auto"/>
        <w:rPr>
          <w:sz w:val="20"/>
          <w:szCs w:val="20"/>
          <w:color w:val="auto"/>
        </w:rPr>
      </w:pPr>
      <w:r>
        <w:rPr>
          <w:rFonts w:ascii="Arial" w:cs="Arial" w:eastAsia="Arial" w:hAnsi="Arial"/>
          <w:sz w:val="17"/>
          <w:szCs w:val="17"/>
          <w:color w:val="auto"/>
        </w:rPr>
        <w:t>Nonaccrual loans aggregated $2.56 billion or 1.92% of total loans and leases outstanding at March 31, 2023, compared with $2.13 billion or 2.32% at March 31, 2022 and $2.44 billion or 1.85% at December 31, 2022. Loans obtained in the acquisition of People's United that have been classified as nonaccrual totaled $605 million at March 31, 2023 and $572 million at December 31, 2022. The level of nonaccrual loans reflects the continuing impact of economic conditions on borrowers’ abilities to make contractual payments on their loans, most notably commercial real estate loans in the hospitality, office, retail and health care-related sectors.</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Accruing loans past due 90 days or more were $407 million or .31% of loans and leases at March 31, 2023,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$777 million or .85% at March 31, 2022 and $491 million or .37% at December 31, 2022. Approximately 72% of accruing loans past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due 90 days or more were residential real estate loans and included in that population were loans guaranteed by government-related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entities of $306 million, $690 million and $363 million at March 31, 2023, March 31, 2022 and December 31, 2022, respectively.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lower balance at March 31, 2023 and December 31, 2022 compared with March 31, 2022 reflects residential real estate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guaranteed by government-related entities receiving payment deferrals during the COVID-19 pandemic, but ineligible for treatment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CARES Act, that subsequently exited those arrangements and became less than 90 days past due. Guaranteed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included one-to-four family residential mortgage loans serviced by the Company that were repurchased to reduce associated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servicing costs, including a requirement to advance principal and interest payments that had not been received from individual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mortgagors. Despite the loans being purchased by the Company, the insurance or guarantee by the applicable government-related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entity remains in force. The outstanding principal balances of the repurchased loans included in the amounts noted above that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guaranteed by government-related entities totaled $242 million at March 31, 2023, $652 million at March 31, 2022 and $294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remaining accruing loans past due 90 days or more not guaranteed by government-related entities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considered to be with creditworthy borrowers that were in the process of collection or renewal.</w:t>
      </w:r>
    </w:p>
    <w:p>
      <w:pPr>
        <w:spacing w:after="0" w:line="93" w:lineRule="exact"/>
        <w:rPr>
          <w:sz w:val="20"/>
          <w:szCs w:val="20"/>
          <w:color w:val="auto"/>
        </w:rPr>
      </w:pPr>
    </w:p>
    <w:p>
      <w:pPr>
        <w:ind w:right="80" w:firstLine="528"/>
        <w:spacing w:after="0" w:line="255" w:lineRule="auto"/>
        <w:rPr>
          <w:sz w:val="20"/>
          <w:szCs w:val="20"/>
          <w:color w:val="auto"/>
        </w:rPr>
      </w:pPr>
      <w:r>
        <w:rPr>
          <w:rFonts w:ascii="Arial" w:cs="Arial" w:eastAsia="Arial" w:hAnsi="Arial"/>
          <w:sz w:val="18"/>
          <w:szCs w:val="18"/>
          <w:color w:val="auto"/>
        </w:rPr>
        <w:t>Loans that were 30-89 days past due were $1.9 billion at March 31, 2023, or 1.42% of total loans outstanding, $1.8 billion at December 31, 2022, or 1.35% of total loans outstanding, and $793 million at March 31, 2022, or .86% of total loans outstanding. At March 31, 2023, 85% of loans 30-89 days past due were less than 60 days delinquent. Loans subject to COVID- 19 related payment deferrals were classified as current in accordance with regulatory guidance and, as a result, did not contribute to past due loan categories in earlier periods. Information about delinquent loans at March 31, 2023 and December 31, 2022 is included in note 4 of Notes to Financial Statements.</w:t>
      </w:r>
    </w:p>
    <w:p>
      <w:pPr>
        <w:spacing w:after="0" w:line="73" w:lineRule="exact"/>
        <w:rPr>
          <w:sz w:val="20"/>
          <w:szCs w:val="20"/>
          <w:color w:val="auto"/>
        </w:rPr>
      </w:pPr>
    </w:p>
    <w:p>
      <w:pPr>
        <w:ind w:right="160" w:firstLine="468"/>
        <w:spacing w:after="0" w:line="255" w:lineRule="auto"/>
        <w:rPr>
          <w:sz w:val="20"/>
          <w:szCs w:val="20"/>
          <w:color w:val="auto"/>
        </w:rPr>
      </w:pPr>
      <w:r>
        <w:rPr>
          <w:rFonts w:ascii="Arial" w:cs="Arial" w:eastAsia="Arial" w:hAnsi="Arial"/>
          <w:sz w:val="18"/>
          <w:szCs w:val="18"/>
          <w:color w:val="auto"/>
        </w:rPr>
        <w:t>During the normal course of business, the Company modifies loans to maximize recovery efforts. The types of modifications that the Company grants typically include principal deferrals and interest rate reductions, but may also include other types of modifications. The Company may offer such modified terms to borrowers experiencing financial difficulty. Such modified loans may be considered nonaccrual if the Company does not expect to collect the contractual cash flows owed under the loan agreement. Information about modifications of loans to borrowers experiencing financial difficulty is included in note 4 of Notes to Financial Statements.</w:t>
      </w:r>
    </w:p>
    <w:p>
      <w:pPr>
        <w:spacing w:after="0" w:line="73" w:lineRule="exact"/>
        <w:rPr>
          <w:sz w:val="20"/>
          <w:szCs w:val="20"/>
          <w:color w:val="auto"/>
        </w:rPr>
      </w:pPr>
    </w:p>
    <w:p>
      <w:pPr>
        <w:ind w:right="180" w:firstLine="468"/>
        <w:spacing w:after="0" w:line="273" w:lineRule="auto"/>
        <w:rPr>
          <w:sz w:val="20"/>
          <w:szCs w:val="20"/>
          <w:color w:val="auto"/>
        </w:rPr>
      </w:pPr>
      <w:r>
        <w:rPr>
          <w:rFonts w:ascii="Arial" w:cs="Arial" w:eastAsia="Arial" w:hAnsi="Arial"/>
          <w:sz w:val="17"/>
          <w:szCs w:val="17"/>
          <w:color w:val="auto"/>
        </w:rPr>
        <w:t>Commercial loans and leases classified as nonaccrual totaled $382 million, $275 million and $347 million at March 31, 2023, March 31, 2022, and December 31, 2022, respectively. Commercial real estate loans in nonaccrual status aggregated $1.7 billion, $1.2 billion and $1.5 billion at March 31, 2023, March 31, 2022, December 31, 2022, respectively. Commercial real estate loans in nonaccrual status were largely reflective of loans in the retail, office building, healthcare and hospitality sectors. Commercial loans and leases and commercial real estate loans acquired from People's United and classified as nonaccrual totaled $96 million and $456 million, respectively, at March 31, 2023 and $118 million and $401 million, respectively, at December 31, 2022.</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9" w:right="700" w:bottom="1440" w:gutter="0" w:footer="0" w:header="0"/>
        </w:sectPr>
      </w:pPr>
    </w:p>
    <w:bookmarkStart w:id="59" w:name="page60"/>
    <w:bookmarkEnd w:id="59"/>
    <w:p>
      <w:pPr>
        <w:ind w:firstLine="468"/>
        <w:spacing w:after="0" w:line="252" w:lineRule="auto"/>
        <w:rPr>
          <w:sz w:val="20"/>
          <w:szCs w:val="20"/>
          <w:color w:val="auto"/>
        </w:rPr>
      </w:pPr>
      <w:r>
        <w:rPr>
          <w:rFonts w:ascii="Arial" w:cs="Arial" w:eastAsia="Arial" w:hAnsi="Arial"/>
          <w:sz w:val="18"/>
          <w:szCs w:val="18"/>
          <w:color w:val="auto"/>
        </w:rPr>
        <w:t>Nonaccrual residential real estate loans totaled $323 million at March 31, 2023, compared with $465 million at March 31, 2022 and $350 million at December 31, 2022. The lower balance of nonaccrual residential real estate loans at the two most recent quarter-ends as compared with March 31, 2022 were largely reflective of improving economic conditions, partially offset by $37 million and $36 million of residential real estate loans acquired from People's United and classified as nonaccrual at March 31, 2023 and December 31, 2022, respectively. Included in residential real estate loans classified as nonaccrual were limited documentation first mortgage loans of $69 million at March 31, 2023, compared with $124 million at March 31, 2022 and $78 million at December 31, 2022.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$293 million at March 31, 2023, compared with $687 million at March 31, 2022, and $345 million at December 31, 2022. Those amounts related predominantly to government-guaranteed loans. The lower balances at the two most recent quarter-ends as compared with March 31, 2022 reflect improved borrower repayment performance. Information about the location of nonaccrual and charged-off residential real estate loans as of and for the quarter ended March 31, 2023 is presented in the accompanying table.</w:t>
      </w:r>
    </w:p>
    <w:p>
      <w:pPr>
        <w:spacing w:after="0" w:line="79" w:lineRule="exact"/>
        <w:rPr>
          <w:sz w:val="20"/>
          <w:szCs w:val="20"/>
          <w:color w:val="auto"/>
        </w:rPr>
      </w:pPr>
    </w:p>
    <w:p>
      <w:pPr>
        <w:ind w:right="40" w:firstLine="468"/>
        <w:spacing w:after="0" w:line="254" w:lineRule="auto"/>
        <w:rPr>
          <w:sz w:val="20"/>
          <w:szCs w:val="20"/>
          <w:color w:val="auto"/>
        </w:rPr>
      </w:pPr>
      <w:r>
        <w:rPr>
          <w:rFonts w:ascii="Arial" w:cs="Arial" w:eastAsia="Arial" w:hAnsi="Arial"/>
          <w:sz w:val="18"/>
          <w:szCs w:val="18"/>
          <w:color w:val="auto"/>
        </w:rPr>
        <w:t>Nonaccrual consumer loans were $189 million at March 31, 2023, $182 million at March 31, 2022, and $218 million at December 31, 2022. Included in nonaccrual consumer loans at March 31, 2023, March 31, 2022, and December 31, 2022 were: automobile loans of $27 million, $35 million and $40 million, respectively; recreational finance loans of $34 million, $32 million and $45 million, respectively; and outstanding balances of home equity loans and lines of credit of $81 million, $71 million and $85 million, respectively. Consumer loans acquired from People's United and classified as nonaccrual at March 31, 2023 and December 31, 2022 totaled $ 16 million and $17 million, respectively, and consisted predominantly of home equity loans and lines of credit. Information about the location of nonaccrual and charged-off home equity loans and lines of credit as of and for the quarter ended March 31, 2023 is presented in the accompanying table.</w:t>
      </w:r>
    </w:p>
    <w:p>
      <w:pPr>
        <w:spacing w:after="0" w:line="72" w:lineRule="exact"/>
        <w:rPr>
          <w:sz w:val="20"/>
          <w:szCs w:val="20"/>
          <w:color w:val="auto"/>
        </w:rPr>
      </w:pPr>
    </w:p>
    <w:p>
      <w:pPr>
        <w:ind w:right="200" w:firstLine="468"/>
        <w:spacing w:after="0" w:line="275" w:lineRule="auto"/>
        <w:rPr>
          <w:sz w:val="20"/>
          <w:szCs w:val="20"/>
          <w:color w:val="auto"/>
        </w:rPr>
      </w:pPr>
      <w:r>
        <w:rPr>
          <w:rFonts w:ascii="Arial" w:cs="Arial" w:eastAsia="Arial" w:hAnsi="Arial"/>
          <w:sz w:val="18"/>
          <w:szCs w:val="18"/>
          <w:color w:val="auto"/>
        </w:rPr>
        <w:t>Information about past due and nonaccrual loans as of March 31, 2023 and December 31, 2022 is also included in note 4 of Notes to Financial Statements.</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839" w:right="7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SELECTED RESIDENTIAL REAL ESTATE-RELATED LOAN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center"/>
              <w:ind w:right="320"/>
              <w:spacing w:after="0"/>
              <w:rPr>
                <w:sz w:val="20"/>
                <w:szCs w:val="20"/>
                <w:color w:val="auto"/>
              </w:rPr>
            </w:pPr>
            <w:r>
              <w:rPr>
                <w:rFonts w:ascii="Arial" w:cs="Arial" w:eastAsia="Arial" w:hAnsi="Arial"/>
                <w:sz w:val="12"/>
                <w:szCs w:val="12"/>
                <w:b w:val="1"/>
                <w:bCs w:val="1"/>
                <w:color w:val="auto"/>
                <w:w w:val="98"/>
              </w:rPr>
              <w:t>Quarter Ended</w:t>
            </w:r>
          </w:p>
        </w:tc>
      </w:tr>
      <w:tr>
        <w:trPr>
          <w:trHeight w:val="180"/>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4"/>
          </w:tcPr>
          <w:p>
            <w:pPr>
              <w:ind w:left="220"/>
              <w:spacing w:after="0"/>
              <w:rPr>
                <w:sz w:val="20"/>
                <w:szCs w:val="20"/>
                <w:color w:val="auto"/>
              </w:rPr>
            </w:pPr>
            <w:r>
              <w:rPr>
                <w:rFonts w:ascii="Arial" w:cs="Arial" w:eastAsia="Arial" w:hAnsi="Arial"/>
                <w:sz w:val="12"/>
                <w:szCs w:val="12"/>
                <w:b w:val="1"/>
                <w:bCs w:val="1"/>
                <w:color w:val="auto"/>
              </w:rPr>
              <w:t>March 31, 2023</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center"/>
              <w:ind w:right="320"/>
              <w:spacing w:after="0"/>
              <w:rPr>
                <w:sz w:val="20"/>
                <w:szCs w:val="20"/>
                <w:color w:val="auto"/>
              </w:rPr>
            </w:pPr>
            <w:r>
              <w:rPr>
                <w:rFonts w:ascii="Arial" w:cs="Arial" w:eastAsia="Arial" w:hAnsi="Arial"/>
                <w:sz w:val="12"/>
                <w:szCs w:val="12"/>
                <w:b w:val="1"/>
                <w:bCs w:val="1"/>
                <w:color w:val="auto"/>
              </w:rPr>
              <w:t>March 31, 2023</w:t>
            </w:r>
          </w:p>
        </w:tc>
      </w:tr>
      <w:tr>
        <w:trPr>
          <w:trHeight w:val="180"/>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700"/>
              <w:spacing w:after="0"/>
              <w:rPr>
                <w:sz w:val="20"/>
                <w:szCs w:val="20"/>
                <w:color w:val="auto"/>
              </w:rPr>
            </w:pPr>
            <w:r>
              <w:rPr>
                <w:rFonts w:ascii="Arial" w:cs="Arial" w:eastAsia="Arial" w:hAnsi="Arial"/>
                <w:sz w:val="12"/>
                <w:szCs w:val="12"/>
                <w:b w:val="1"/>
                <w:bCs w:val="1"/>
                <w:color w:val="auto"/>
              </w:rPr>
              <w:t>Nonaccrual</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center"/>
              <w:ind w:right="320"/>
              <w:spacing w:after="0"/>
              <w:rPr>
                <w:sz w:val="20"/>
                <w:szCs w:val="20"/>
                <w:color w:val="auto"/>
              </w:rPr>
            </w:pPr>
            <w:r>
              <w:rPr>
                <w:rFonts w:ascii="Arial" w:cs="Arial" w:eastAsia="Arial" w:hAnsi="Arial"/>
                <w:sz w:val="12"/>
                <w:szCs w:val="12"/>
                <w:b w:val="1"/>
                <w:bCs w:val="1"/>
                <w:color w:val="auto"/>
              </w:rPr>
              <w:t>Net Charge-offs (Recoveries)</w:t>
            </w:r>
          </w:p>
        </w:tc>
      </w:tr>
      <w:tr>
        <w:trPr>
          <w:trHeight w:val="180"/>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Annualized</w:t>
            </w:r>
          </w:p>
        </w:tc>
      </w:tr>
      <w:tr>
        <w:trPr>
          <w:trHeight w:val="180"/>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rPr>
              <w:t>Percent of</w:t>
            </w:r>
          </w:p>
        </w:tc>
      </w:tr>
      <w:tr>
        <w:trPr>
          <w:trHeight w:val="180"/>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98"/>
              </w:rPr>
              <w:t>Percent of</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rPr>
              <w:t>Average</w:t>
            </w:r>
          </w:p>
        </w:tc>
      </w:tr>
      <w:tr>
        <w:trPr>
          <w:trHeight w:val="180"/>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54"/>
              <w:spacing w:after="0"/>
              <w:rPr>
                <w:sz w:val="20"/>
                <w:szCs w:val="20"/>
                <w:color w:val="auto"/>
              </w:rPr>
            </w:pPr>
            <w:r>
              <w:rPr>
                <w:rFonts w:ascii="Arial" w:cs="Arial" w:eastAsia="Arial" w:hAnsi="Arial"/>
                <w:sz w:val="12"/>
                <w:szCs w:val="12"/>
                <w:b w:val="1"/>
                <w:bCs w:val="1"/>
                <w:color w:val="auto"/>
              </w:rPr>
              <w:t>Outstanding</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98"/>
              </w:rPr>
              <w:t>Outstanding</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8"/>
              </w:rPr>
              <w:t>Outstanding</w:t>
            </w:r>
          </w:p>
        </w:tc>
      </w:tr>
      <w:tr>
        <w:trPr>
          <w:trHeight w:val="204"/>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54"/>
              <w:spacing w:after="0"/>
              <w:rPr>
                <w:sz w:val="20"/>
                <w:szCs w:val="20"/>
                <w:color w:val="auto"/>
              </w:rPr>
            </w:pPr>
            <w:r>
              <w:rPr>
                <w:rFonts w:ascii="Arial" w:cs="Arial" w:eastAsia="Arial" w:hAnsi="Arial"/>
                <w:sz w:val="12"/>
                <w:szCs w:val="12"/>
                <w:b w:val="1"/>
                <w:bCs w:val="1"/>
                <w:color w:val="auto"/>
              </w:rPr>
              <w:t>Balances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2"/>
                <w:szCs w:val="12"/>
                <w:b w:val="1"/>
                <w:bCs w:val="1"/>
                <w:color w:val="auto"/>
              </w:rPr>
              <w:t>Balances</w:t>
            </w:r>
          </w:p>
        </w:tc>
        <w:tc>
          <w:tcPr>
            <w:tcW w:w="14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8"/>
              </w:rPr>
              <w:t>Balances</w:t>
            </w:r>
          </w:p>
        </w:tc>
        <w:tc>
          <w:tcPr>
            <w:tcW w:w="16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Balances</w:t>
            </w:r>
          </w:p>
        </w:tc>
        <w:tc>
          <w:tcPr>
            <w:tcW w:w="160" w:type="dxa"/>
            <w:vAlign w:val="bottom"/>
          </w:tcPr>
          <w:p>
            <w:pPr>
              <w:spacing w:after="0"/>
              <w:rPr>
                <w:sz w:val="17"/>
                <w:szCs w:val="17"/>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8"/>
              </w:rPr>
              <w:t>Balances</w:t>
            </w:r>
          </w:p>
        </w:tc>
      </w:tr>
      <w:tr>
        <w:trPr>
          <w:trHeight w:val="182"/>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(Dollars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3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Residential mortgages:</w:t>
            </w: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6,783,811</w:t>
            </w:r>
          </w:p>
        </w:tc>
        <w:tc>
          <w:tcPr>
            <w:tcW w:w="5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96,856</w:t>
            </w:r>
          </w:p>
        </w:tc>
        <w:tc>
          <w:tcPr>
            <w:tcW w:w="28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3"/>
                <w:szCs w:val="13"/>
                <w:color w:val="auto"/>
              </w:rPr>
              <w:t>1.43 %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5"/>
                <w:szCs w:val="15"/>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3"/>
                <w:szCs w:val="13"/>
                <w:color w:val="auto"/>
              </w:rPr>
              <w:t>.02 %</w:t>
            </w: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6,797,651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83,508</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6,210,935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51,351</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(13 )</w:t>
            </w:r>
          </w:p>
        </w:tc>
        <w:tc>
          <w:tcPr>
            <w:tcW w:w="160" w:type="dxa"/>
            <w:vAlign w:val="bottom"/>
          </w:tcPr>
          <w:p>
            <w:pPr>
              <w:spacing w:after="0"/>
              <w:rPr>
                <w:sz w:val="15"/>
                <w:szCs w:val="15"/>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2,924,723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18,319</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r>
      <w:tr>
        <w:trPr>
          <w:trHeight w:val="288"/>
        </w:trPr>
        <w:tc>
          <w:tcPr>
            <w:tcW w:w="334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22,717,120</w:t>
            </w:r>
          </w:p>
        </w:tc>
        <w:tc>
          <w:tcPr>
            <w:tcW w:w="100" w:type="dxa"/>
            <w:vAlign w:val="bottom"/>
          </w:tcPr>
          <w:p>
            <w:pPr>
              <w:spacing w:after="0"/>
              <w:rPr>
                <w:sz w:val="24"/>
                <w:szCs w:val="24"/>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250,034</w:t>
            </w:r>
          </w:p>
        </w:tc>
        <w:tc>
          <w:tcPr>
            <w:tcW w:w="280" w:type="dxa"/>
            <w:vAlign w:val="bottom"/>
          </w:tcPr>
          <w:p>
            <w:pPr>
              <w:spacing w:after="0"/>
              <w:rPr>
                <w:sz w:val="24"/>
                <w:szCs w:val="24"/>
                <w:color w:val="auto"/>
              </w:rPr>
            </w:pPr>
          </w:p>
        </w:tc>
        <w:tc>
          <w:tcPr>
            <w:tcW w:w="1460" w:type="dxa"/>
            <w:vAlign w:val="bottom"/>
            <w:gridSpan w:val="2"/>
          </w:tcPr>
          <w:p>
            <w:pPr>
              <w:jc w:val="right"/>
              <w:ind w:right="460"/>
              <w:spacing w:after="0" w:line="288" w:lineRule="exact"/>
              <w:rPr>
                <w:sz w:val="20"/>
                <w:szCs w:val="20"/>
                <w:color w:val="auto"/>
              </w:rPr>
            </w:pPr>
            <w:r>
              <w:rPr>
                <w:rFonts w:ascii="Arial" w:cs="Arial" w:eastAsia="Arial" w:hAnsi="Arial"/>
                <w:sz w:val="13"/>
                <w:szCs w:val="13"/>
                <w:color w:val="auto"/>
              </w:rPr>
              <w:t xml:space="preserve">1.10 </w:t>
            </w:r>
            <w:r>
              <w:rPr>
                <w:rFonts w:ascii="Arial" w:cs="Arial" w:eastAsia="Arial" w:hAnsi="Arial"/>
                <w:sz w:val="26"/>
                <w:szCs w:val="26"/>
                <w:color w:val="auto"/>
                <w:vertAlign w:val="superscript"/>
              </w:rPr>
              <w: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24"/>
                <w:szCs w:val="24"/>
                <w:color w:val="auto"/>
              </w:rPr>
            </w:pPr>
          </w:p>
        </w:tc>
        <w:tc>
          <w:tcPr>
            <w:tcW w:w="1400" w:type="dxa"/>
            <w:vAlign w:val="bottom"/>
            <w:gridSpan w:val="4"/>
          </w:tcPr>
          <w:p>
            <w:pPr>
              <w:jc w:val="right"/>
              <w:ind w:right="40"/>
              <w:spacing w:after="0" w:line="288" w:lineRule="exact"/>
              <w:rPr>
                <w:sz w:val="20"/>
                <w:szCs w:val="20"/>
                <w:color w:val="auto"/>
              </w:rPr>
            </w:pPr>
            <w:r>
              <w:rPr>
                <w:rFonts w:ascii="Arial" w:cs="Arial" w:eastAsia="Arial" w:hAnsi="Arial"/>
                <w:sz w:val="13"/>
                <w:szCs w:val="13"/>
                <w:color w:val="auto"/>
              </w:rPr>
              <w:t xml:space="preserve">.01 </w:t>
            </w:r>
            <w:r>
              <w:rPr>
                <w:rFonts w:ascii="Arial" w:cs="Arial" w:eastAsia="Arial" w:hAnsi="Arial"/>
                <w:sz w:val="26"/>
                <w:szCs w:val="26"/>
                <w:color w:val="auto"/>
                <w:vertAlign w:val="superscript"/>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Residential construction loans:</w:t>
            </w: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21,361</w:t>
            </w:r>
          </w:p>
        </w:tc>
        <w:tc>
          <w:tcPr>
            <w:tcW w:w="5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3,137</w:t>
            </w:r>
          </w:p>
        </w:tc>
        <w:tc>
          <w:tcPr>
            <w:tcW w:w="28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3"/>
                <w:szCs w:val="13"/>
                <w:color w:val="auto"/>
              </w:rPr>
              <w:t>14.69 %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3"/>
                <w:szCs w:val="13"/>
                <w:color w:val="auto"/>
              </w:rPr>
              <w:t>— %</w:t>
            </w: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14,464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12,368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FF0FC"/>
          </w:tcPr>
          <w:p>
            <w:pPr>
              <w:jc w:val="right"/>
              <w:ind w:righ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52,664</w:t>
            </w:r>
          </w:p>
        </w:tc>
        <w:tc>
          <w:tcPr>
            <w:tcW w:w="100" w:type="dxa"/>
            <w:vAlign w:val="bottom"/>
          </w:tcPr>
          <w:p>
            <w:pPr>
              <w:spacing w:after="0"/>
              <w:rPr>
                <w:sz w:val="15"/>
                <w:szCs w:val="15"/>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3,612</w:t>
            </w:r>
          </w:p>
        </w:tc>
        <w:tc>
          <w:tcPr>
            <w:tcW w:w="28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3"/>
                <w:szCs w:val="13"/>
                <w:color w:val="auto"/>
              </w:rPr>
              <w:t>6.86 %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3"/>
                <w:szCs w:val="13"/>
                <w:color w:val="auto"/>
              </w:rPr>
              <w:t>— %</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3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Limited documentation first lien mortgages:</w:t>
            </w: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467,901</w:t>
            </w:r>
          </w:p>
        </w:tc>
        <w:tc>
          <w:tcPr>
            <w:tcW w:w="5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30,350</w:t>
            </w:r>
          </w:p>
        </w:tc>
        <w:tc>
          <w:tcPr>
            <w:tcW w:w="28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3"/>
                <w:szCs w:val="13"/>
                <w:color w:val="auto"/>
              </w:rPr>
              <w:t>6.49 %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(6 )</w:t>
            </w:r>
          </w:p>
        </w:tc>
        <w:tc>
          <w:tcPr>
            <w:tcW w:w="1400" w:type="dxa"/>
            <w:vAlign w:val="bottom"/>
            <w:gridSpan w:val="4"/>
          </w:tcPr>
          <w:p>
            <w:pPr>
              <w:jc w:val="right"/>
              <w:spacing w:after="0"/>
              <w:rPr>
                <w:sz w:val="20"/>
                <w:szCs w:val="20"/>
                <w:color w:val="auto"/>
              </w:rPr>
            </w:pPr>
            <w:r>
              <w:rPr>
                <w:rFonts w:ascii="Arial" w:cs="Arial" w:eastAsia="Arial" w:hAnsi="Arial"/>
                <w:sz w:val="13"/>
                <w:szCs w:val="13"/>
                <w:color w:val="auto"/>
              </w:rPr>
              <w:t>(.01 %)</w:t>
            </w: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416,394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25,224</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6.06</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(7 )</w:t>
            </w:r>
          </w:p>
        </w:tc>
        <w:tc>
          <w:tcPr>
            <w:tcW w:w="132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94,084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8,752</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41,782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4,609</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11.03</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1,020,161</w:t>
            </w:r>
          </w:p>
        </w:tc>
        <w:tc>
          <w:tcPr>
            <w:tcW w:w="100" w:type="dxa"/>
            <w:vAlign w:val="bottom"/>
          </w:tcPr>
          <w:p>
            <w:pPr>
              <w:spacing w:after="0"/>
              <w:rPr>
                <w:sz w:val="15"/>
                <w:szCs w:val="15"/>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68,935</w:t>
            </w:r>
          </w:p>
        </w:tc>
        <w:tc>
          <w:tcPr>
            <w:tcW w:w="28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3"/>
                <w:szCs w:val="13"/>
                <w:color w:val="auto"/>
              </w:rPr>
              <w:t>6.76 %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(12 )</w:t>
            </w:r>
          </w:p>
        </w:tc>
        <w:tc>
          <w:tcPr>
            <w:tcW w:w="16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3"/>
                <w:szCs w:val="13"/>
                <w:color w:val="auto"/>
              </w:rPr>
              <w:t>— %</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3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First lien home equity loans and lines of</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3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credit:</w:t>
            </w: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949,404</w:t>
            </w:r>
          </w:p>
        </w:tc>
        <w:tc>
          <w:tcPr>
            <w:tcW w:w="5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15,922</w:t>
            </w:r>
          </w:p>
        </w:tc>
        <w:tc>
          <w:tcPr>
            <w:tcW w:w="28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3"/>
                <w:szCs w:val="13"/>
                <w:color w:val="auto"/>
              </w:rPr>
              <w:t>1.68 %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5"/>
                <w:szCs w:val="15"/>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3"/>
                <w:szCs w:val="13"/>
                <w:color w:val="auto"/>
              </w:rPr>
              <w:t>.06 %</w:t>
            </w: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1,102,024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21,435</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(18 )</w:t>
            </w:r>
          </w:p>
        </w:tc>
        <w:tc>
          <w:tcPr>
            <w:tcW w:w="132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531,103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3,986</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(1 )</w:t>
            </w:r>
          </w:p>
        </w:tc>
        <w:tc>
          <w:tcPr>
            <w:tcW w:w="1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15,656</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1,095</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2,598,187</w:t>
            </w:r>
          </w:p>
        </w:tc>
        <w:tc>
          <w:tcPr>
            <w:tcW w:w="100" w:type="dxa"/>
            <w:vAlign w:val="bottom"/>
          </w:tcPr>
          <w:p>
            <w:pPr>
              <w:spacing w:after="0"/>
              <w:rPr>
                <w:sz w:val="15"/>
                <w:szCs w:val="15"/>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42,438</w:t>
            </w:r>
          </w:p>
        </w:tc>
        <w:tc>
          <w:tcPr>
            <w:tcW w:w="28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3"/>
                <w:szCs w:val="13"/>
                <w:color w:val="auto"/>
              </w:rPr>
              <w:t>1.63 %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5"/>
                <w:szCs w:val="15"/>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3"/>
                <w:szCs w:val="13"/>
                <w:color w:val="auto"/>
              </w:rPr>
              <w:t>.02 %</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3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Junior lien home equity loans and lines of</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3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credit:</w:t>
            </w: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737,665</w:t>
            </w:r>
          </w:p>
        </w:tc>
        <w:tc>
          <w:tcPr>
            <w:tcW w:w="5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16,805</w:t>
            </w:r>
          </w:p>
        </w:tc>
        <w:tc>
          <w:tcPr>
            <w:tcW w:w="28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3"/>
                <w:szCs w:val="13"/>
                <w:color w:val="auto"/>
              </w:rPr>
              <w:t>2.28 %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5"/>
                <w:szCs w:val="15"/>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3"/>
                <w:szCs w:val="13"/>
                <w:color w:val="auto"/>
              </w:rPr>
              <w:t>.14 %</w:t>
            </w: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885,658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15,886</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618,543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5,271</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r>
      <w:tr>
        <w:trPr>
          <w:trHeight w:val="185"/>
        </w:trPr>
        <w:tc>
          <w:tcPr>
            <w:tcW w:w="33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19,214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(16 )</w:t>
            </w:r>
          </w:p>
        </w:tc>
        <w:tc>
          <w:tcPr>
            <w:tcW w:w="132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(.32 )</w:t>
            </w:r>
          </w:p>
        </w:tc>
        <w:tc>
          <w:tcPr>
            <w:tcW w:w="80" w:type="dxa"/>
            <w:vAlign w:val="bottom"/>
          </w:tcPr>
          <w:p>
            <w:pPr>
              <w:spacing w:after="0"/>
              <w:rPr>
                <w:sz w:val="16"/>
                <w:szCs w:val="16"/>
                <w:color w:val="auto"/>
              </w:rPr>
            </w:pPr>
          </w:p>
        </w:tc>
      </w:tr>
      <w:tr>
        <w:trPr>
          <w:trHeight w:val="175"/>
        </w:trPr>
        <w:tc>
          <w:tcPr>
            <w:tcW w:w="334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2,261,080</w:t>
            </w:r>
          </w:p>
        </w:tc>
        <w:tc>
          <w:tcPr>
            <w:tcW w:w="100" w:type="dxa"/>
            <w:vAlign w:val="bottom"/>
          </w:tcPr>
          <w:p>
            <w:pPr>
              <w:spacing w:after="0"/>
              <w:rPr>
                <w:sz w:val="15"/>
                <w:szCs w:val="15"/>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38,328</w:t>
            </w:r>
          </w:p>
        </w:tc>
        <w:tc>
          <w:tcPr>
            <w:tcW w:w="28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3"/>
                <w:szCs w:val="13"/>
                <w:color w:val="auto"/>
              </w:rPr>
              <w:t>1.70 %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5"/>
                <w:szCs w:val="15"/>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3"/>
                <w:szCs w:val="13"/>
                <w:color w:val="auto"/>
              </w:rPr>
              <w:t>.07 %</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(a)</w:t>
      </w:r>
      <w:r>
        <w:rPr>
          <w:rFonts w:ascii="Arial" w:cs="Arial" w:eastAsia="Arial" w:hAnsi="Arial"/>
          <w:sz w:val="13"/>
          <w:szCs w:val="13"/>
          <w:i w:val="1"/>
          <w:iCs w:val="1"/>
          <w:color w:val="auto"/>
        </w:rPr>
        <w:t>Includes Delaware, Maryland, New Jersey, Pennsylvania, Virginia, West Virginia and the District of Columbia.</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w:t>
      </w:r>
      <w:r>
        <w:rPr>
          <w:rFonts w:ascii="Arial" w:cs="Arial" w:eastAsia="Arial" w:hAnsi="Arial"/>
          <w:sz w:val="13"/>
          <w:szCs w:val="13"/>
          <w:i w:val="1"/>
          <w:iCs w:val="1"/>
          <w:color w:val="auto"/>
        </w:rPr>
        <w:t>Includes Connecticut, Maine, Massachusetts, New Hampshire, Rhode Island and Vermont.</w:t>
      </w:r>
    </w:p>
    <w:p>
      <w:pPr>
        <w:spacing w:after="0" w:line="109" w:lineRule="exact"/>
        <w:rPr>
          <w:sz w:val="20"/>
          <w:szCs w:val="20"/>
          <w:color w:val="auto"/>
        </w:rPr>
      </w:pPr>
    </w:p>
    <w:p>
      <w:pPr>
        <w:ind w:right="120" w:firstLine="468"/>
        <w:spacing w:after="0" w:line="259" w:lineRule="auto"/>
        <w:rPr>
          <w:sz w:val="20"/>
          <w:szCs w:val="20"/>
          <w:color w:val="auto"/>
        </w:rPr>
      </w:pPr>
      <w:r>
        <w:rPr>
          <w:rFonts w:ascii="Arial" w:cs="Arial" w:eastAsia="Arial" w:hAnsi="Arial"/>
          <w:sz w:val="18"/>
          <w:szCs w:val="18"/>
          <w:color w:val="auto"/>
        </w:rPr>
        <w:t>Real estate and other foreclosed assets totaled $45 million at March 31, 2023, compared with $24 million at March 31, 2022, and $41 million at December 31, 2022. Net gains or losses associated with real estate and other foreclosed assets were not material during the three months ended March 31, 2023, March 31, 2022 and December 31, 2022. At March 31, 2023, foreclosed assets are comprised predominantly of residential real estate-related properties.</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- 60 -</w:t>
      </w:r>
    </w:p>
    <w:p>
      <w:pPr>
        <w:sectPr>
          <w:pgSz w:w="11900" w:h="16840" w:orient="portrait"/>
          <w:cols w:equalWidth="0" w:num="1">
            <w:col w:w="10640"/>
          </w:cols>
          <w:pgMar w:left="660" w:top="839" w:right="600" w:bottom="1440" w:gutter="0" w:footer="0" w:header="0"/>
        </w:sectPr>
      </w:pPr>
    </w:p>
    <w:bookmarkStart w:id="61" w:name="page62"/>
    <w:bookmarkEnd w:id="61"/>
    <w:p>
      <w:pPr>
        <w:ind w:right="340" w:firstLine="468"/>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 comparative summary of nonperforming assets and certain past due loan data and credit quality ratios is presented in the accompanying table.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45"/>
              <w:spacing w:after="0"/>
              <w:rPr>
                <w:sz w:val="20"/>
                <w:szCs w:val="20"/>
                <w:color w:val="auto"/>
              </w:rPr>
            </w:pPr>
            <w:r>
              <w:rPr>
                <w:rFonts w:ascii="Arial" w:cs="Arial" w:eastAsia="Arial" w:hAnsi="Arial"/>
                <w:sz w:val="13"/>
                <w:szCs w:val="13"/>
                <w:b w:val="1"/>
                <w:bCs w:val="1"/>
                <w:color w:val="auto"/>
                <w:w w:val="96"/>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2022 Quarters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00" w:type="dxa"/>
            <w:vAlign w:val="bottom"/>
            <w:gridSpan w:val="3"/>
          </w:tcPr>
          <w:p>
            <w:pPr>
              <w:ind w:left="20"/>
              <w:spacing w:after="0" w:line="171" w:lineRule="exact"/>
              <w:rPr>
                <w:sz w:val="20"/>
                <w:szCs w:val="20"/>
                <w:color w:val="auto"/>
              </w:rPr>
            </w:pPr>
            <w:r>
              <w:rPr>
                <w:rFonts w:ascii="Arial" w:cs="Arial" w:eastAsia="Arial" w:hAnsi="Arial"/>
                <w:sz w:val="16"/>
                <w:szCs w:val="16"/>
                <w:color w:val="auto"/>
              </w:rPr>
              <w:t>December 31</w:t>
            </w:r>
          </w:p>
        </w:tc>
        <w:tc>
          <w:tcPr>
            <w:tcW w:w="14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9"/>
              </w:rPr>
              <w:t>First</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400"/>
              <w:spacing w:after="0" w:line="145" w:lineRule="exact"/>
              <w:rPr>
                <w:sz w:val="20"/>
                <w:szCs w:val="20"/>
                <w:color w:val="auto"/>
              </w:rPr>
            </w:pPr>
            <w:r>
              <w:rPr>
                <w:rFonts w:ascii="Arial" w:cs="Arial" w:eastAsia="Arial" w:hAnsi="Arial"/>
                <w:sz w:val="13"/>
                <w:szCs w:val="13"/>
                <w:b w:val="1"/>
                <w:bCs w:val="1"/>
                <w:color w:val="auto"/>
              </w:rPr>
              <w:t>Quarter</w:t>
            </w:r>
          </w:p>
        </w:tc>
        <w:tc>
          <w:tcPr>
            <w:tcW w:w="980" w:type="dxa"/>
            <w:vAlign w:val="bottom"/>
            <w:gridSpan w:val="2"/>
          </w:tcPr>
          <w:p>
            <w:pPr>
              <w:jc w:val="right"/>
              <w:ind w:right="420"/>
              <w:spacing w:after="0" w:line="145" w:lineRule="exact"/>
              <w:rPr>
                <w:sz w:val="20"/>
                <w:szCs w:val="20"/>
                <w:color w:val="auto"/>
              </w:rPr>
            </w:pPr>
            <w:r>
              <w:rPr>
                <w:rFonts w:ascii="Arial" w:cs="Arial" w:eastAsia="Arial" w:hAnsi="Arial"/>
                <w:sz w:val="13"/>
                <w:szCs w:val="13"/>
                <w:b w:val="1"/>
                <w:bCs w:val="1"/>
                <w:color w:val="auto"/>
              </w:rPr>
              <w:t>Fourth</w:t>
            </w:r>
          </w:p>
        </w:tc>
        <w:tc>
          <w:tcPr>
            <w:tcW w:w="1080" w:type="dxa"/>
            <w:vAlign w:val="bottom"/>
            <w:gridSpan w:val="3"/>
          </w:tcPr>
          <w:p>
            <w:pPr>
              <w:jc w:val="center"/>
              <w:ind w:right="360"/>
              <w:spacing w:after="0" w:line="145" w:lineRule="exact"/>
              <w:rPr>
                <w:sz w:val="20"/>
                <w:szCs w:val="20"/>
                <w:color w:val="auto"/>
              </w:rPr>
            </w:pPr>
            <w:r>
              <w:rPr>
                <w:rFonts w:ascii="Arial" w:cs="Arial" w:eastAsia="Arial" w:hAnsi="Arial"/>
                <w:sz w:val="13"/>
                <w:szCs w:val="13"/>
                <w:b w:val="1"/>
                <w:bCs w:val="1"/>
                <w:color w:val="auto"/>
                <w:w w:val="98"/>
              </w:rPr>
              <w:t>Third</w:t>
            </w:r>
          </w:p>
        </w:tc>
        <w:tc>
          <w:tcPr>
            <w:tcW w:w="840" w:type="dxa"/>
            <w:vAlign w:val="bottom"/>
            <w:gridSpan w:val="2"/>
          </w:tcPr>
          <w:p>
            <w:pPr>
              <w:jc w:val="right"/>
              <w:ind w:right="340"/>
              <w:spacing w:after="0" w:line="145" w:lineRule="exact"/>
              <w:rPr>
                <w:sz w:val="20"/>
                <w:szCs w:val="20"/>
                <w:color w:val="auto"/>
              </w:rPr>
            </w:pPr>
            <w:r>
              <w:rPr>
                <w:rFonts w:ascii="Arial" w:cs="Arial" w:eastAsia="Arial" w:hAnsi="Arial"/>
                <w:sz w:val="13"/>
                <w:szCs w:val="13"/>
                <w:b w:val="1"/>
                <w:bCs w:val="1"/>
                <w:color w:val="auto"/>
              </w:rPr>
              <w:t>Second</w:t>
            </w:r>
          </w:p>
        </w:tc>
        <w:tc>
          <w:tcPr>
            <w:tcW w:w="960" w:type="dxa"/>
            <w:vAlign w:val="bottom"/>
            <w:gridSpan w:val="3"/>
          </w:tcPr>
          <w:p>
            <w:pPr>
              <w:jc w:val="right"/>
              <w:ind w:right="400"/>
              <w:spacing w:after="0" w:line="145" w:lineRule="exact"/>
              <w:rPr>
                <w:sz w:val="20"/>
                <w:szCs w:val="20"/>
                <w:color w:val="auto"/>
              </w:rPr>
            </w:pPr>
            <w:r>
              <w:rPr>
                <w:rFonts w:ascii="Arial" w:cs="Arial" w:eastAsia="Arial" w:hAnsi="Arial"/>
                <w:sz w:val="13"/>
                <w:szCs w:val="13"/>
                <w:b w:val="1"/>
                <w:bCs w:val="1"/>
                <w:color w:val="auto"/>
              </w:rPr>
              <w:t>First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5"/>
          </w:tcPr>
          <w:p>
            <w:pPr>
              <w:jc w:val="center"/>
              <w:ind w:left="524"/>
              <w:spacing w:after="0"/>
              <w:rPr>
                <w:sz w:val="20"/>
                <w:szCs w:val="20"/>
                <w:color w:val="auto"/>
              </w:rPr>
            </w:pPr>
            <w:r>
              <w:rPr>
                <w:rFonts w:ascii="Arial" w:cs="Arial" w:eastAsia="Arial" w:hAnsi="Arial"/>
                <w:sz w:val="13"/>
                <w:szCs w:val="13"/>
                <w:b w:val="1"/>
                <w:bCs w:val="1"/>
                <w:color w:val="auto"/>
              </w:rPr>
              <w:t>(Dollars in thousands)</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5700" w:type="dxa"/>
            <w:vAlign w:val="bottom"/>
            <w:gridSpan w:val="3"/>
          </w:tcPr>
          <w:p>
            <w:pPr>
              <w:ind w:left="20"/>
              <w:spacing w:after="0"/>
              <w:rPr>
                <w:sz w:val="20"/>
                <w:szCs w:val="20"/>
                <w:color w:val="auto"/>
              </w:rPr>
            </w:pPr>
            <w:r>
              <w:rPr>
                <w:rFonts w:ascii="Arial" w:cs="Arial" w:eastAsia="Arial" w:hAnsi="Arial"/>
                <w:sz w:val="16"/>
                <w:szCs w:val="16"/>
                <w:color w:val="auto"/>
              </w:rPr>
              <w:t>Nonaccrual loans</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2,556,79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2,438,4</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2,429,3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2,633,0</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2,134,231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Real estate and other foreclosed assets</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41,375</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37,031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28,692</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23,524</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3"/>
          </w:tcPr>
          <w:p>
            <w:pPr>
              <w:ind w:left="20"/>
              <w:spacing w:after="0"/>
              <w:rPr>
                <w:sz w:val="20"/>
                <w:szCs w:val="20"/>
                <w:color w:val="auto"/>
              </w:rPr>
            </w:pPr>
            <w:r>
              <w:rPr>
                <w:rFonts w:ascii="Arial" w:cs="Arial" w:eastAsia="Arial" w:hAnsi="Arial"/>
                <w:sz w:val="16"/>
                <w:szCs w:val="16"/>
                <w:color w:val="auto"/>
              </w:rPr>
              <w:t>Total nonperforming assets</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2,601,36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2,479,8</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2,466,3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2,661,6</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2,157,755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00" w:type="dxa"/>
            <w:vAlign w:val="bottom"/>
            <w:tcBorders>
              <w:bottom w:val="single" w:sz="8" w:color="CFF0FC"/>
            </w:tcBorders>
            <w:gridSpan w:val="3"/>
            <w:shd w:val="clear" w:color="auto" w:fill="CFF0FC"/>
          </w:tcPr>
          <w:p>
            <w:pPr>
              <w:ind w:left="20"/>
              <w:spacing w:after="0" w:line="180" w:lineRule="exact"/>
              <w:rPr>
                <w:sz w:val="20"/>
                <w:szCs w:val="20"/>
                <w:color w:val="auto"/>
              </w:rPr>
            </w:pPr>
            <w:r>
              <w:rPr>
                <w:rFonts w:ascii="Arial" w:cs="Arial" w:eastAsia="Arial" w:hAnsi="Arial"/>
                <w:sz w:val="16"/>
                <w:szCs w:val="16"/>
                <w:color w:val="auto"/>
              </w:rPr>
              <w:t>Accruing loans past due 90 days or more</w:t>
            </w: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407,457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491,018</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476,503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523,662</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776,751</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700" w:type="dxa"/>
            <w:vAlign w:val="bottom"/>
            <w:gridSpan w:val="3"/>
          </w:tcPr>
          <w:p>
            <w:pPr>
              <w:ind w:left="20"/>
              <w:spacing w:after="0" w:line="180" w:lineRule="exact"/>
              <w:rPr>
                <w:sz w:val="20"/>
                <w:szCs w:val="20"/>
                <w:color w:val="auto"/>
              </w:rPr>
            </w:pPr>
            <w:r>
              <w:rPr>
                <w:rFonts w:ascii="Arial" w:cs="Arial" w:eastAsia="Arial" w:hAnsi="Arial"/>
                <w:sz w:val="16"/>
                <w:szCs w:val="16"/>
                <w:color w:val="auto"/>
              </w:rPr>
              <w:t>Government guaranteed loans included in totals above: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6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Nonaccrual loans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42,102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43,536</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44,797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46,937</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46,151</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tcPr>
          <w:p>
            <w:pPr>
              <w:ind w:left="120"/>
              <w:spacing w:after="0"/>
              <w:rPr>
                <w:sz w:val="20"/>
                <w:szCs w:val="20"/>
                <w:color w:val="auto"/>
              </w:rPr>
            </w:pPr>
            <w:r>
              <w:rPr>
                <w:rFonts w:ascii="Arial" w:cs="Arial" w:eastAsia="Arial" w:hAnsi="Arial"/>
                <w:sz w:val="16"/>
                <w:szCs w:val="16"/>
                <w:color w:val="auto"/>
              </w:rPr>
              <w:t>Accruing loans past due 90 days or more (a)</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306,049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363,409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423,371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467,834</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689,831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00" w:type="dxa"/>
            <w:vAlign w:val="bottom"/>
            <w:gridSpan w:val="3"/>
          </w:tcPr>
          <w:p>
            <w:pPr>
              <w:ind w:left="20"/>
              <w:spacing w:after="0"/>
              <w:rPr>
                <w:sz w:val="20"/>
                <w:szCs w:val="20"/>
                <w:color w:val="auto"/>
              </w:rPr>
            </w:pPr>
            <w:r>
              <w:rPr>
                <w:rFonts w:ascii="Arial" w:cs="Arial" w:eastAsia="Arial" w:hAnsi="Arial"/>
                <w:sz w:val="16"/>
                <w:szCs w:val="16"/>
                <w:color w:val="auto"/>
              </w:rPr>
              <w:t>Nonaccrual loans to total loans and leases, net of</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2"/>
          </w:tcPr>
          <w:p>
            <w:pPr>
              <w:ind w:left="120"/>
              <w:spacing w:after="0"/>
              <w:rPr>
                <w:sz w:val="20"/>
                <w:szCs w:val="20"/>
                <w:color w:val="auto"/>
              </w:rPr>
            </w:pPr>
            <w:r>
              <w:rPr>
                <w:rFonts w:ascii="Arial" w:cs="Arial" w:eastAsia="Arial" w:hAnsi="Arial"/>
                <w:sz w:val="16"/>
                <w:szCs w:val="16"/>
                <w:color w:val="auto"/>
              </w:rPr>
              <w:t>unearned discount</w:t>
            </w:r>
          </w:p>
        </w:tc>
        <w:tc>
          <w:tcPr>
            <w:tcW w:w="14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1.92 %</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1.85 %</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1.89 %</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2.05 %</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187"/>
        </w:trPr>
        <w:tc>
          <w:tcPr>
            <w:tcW w:w="5700" w:type="dxa"/>
            <w:vAlign w:val="bottom"/>
            <w:gridSpan w:val="3"/>
          </w:tcPr>
          <w:p>
            <w:pPr>
              <w:ind w:left="20"/>
              <w:spacing w:after="0"/>
              <w:rPr>
                <w:sz w:val="20"/>
                <w:szCs w:val="20"/>
                <w:color w:val="auto"/>
              </w:rPr>
            </w:pPr>
            <w:r>
              <w:rPr>
                <w:rFonts w:ascii="Arial" w:cs="Arial" w:eastAsia="Arial" w:hAnsi="Arial"/>
                <w:sz w:val="16"/>
                <w:szCs w:val="16"/>
                <w:color w:val="auto"/>
              </w:rPr>
              <w:t>Nonperforming assets to total net loans and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2"/>
          </w:tcPr>
          <w:p>
            <w:pPr>
              <w:ind w:left="120"/>
              <w:spacing w:after="0"/>
              <w:rPr>
                <w:sz w:val="20"/>
                <w:szCs w:val="20"/>
                <w:color w:val="auto"/>
              </w:rPr>
            </w:pPr>
            <w:r>
              <w:rPr>
                <w:rFonts w:ascii="Arial" w:cs="Arial" w:eastAsia="Arial" w:hAnsi="Arial"/>
                <w:sz w:val="16"/>
                <w:szCs w:val="16"/>
                <w:color w:val="auto"/>
              </w:rPr>
              <w:t>leases and real estate and other foreclosed assets</w:t>
            </w:r>
          </w:p>
        </w:tc>
        <w:tc>
          <w:tcPr>
            <w:tcW w:w="14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1.96 %</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1.88 %</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1.92 %</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2.07 %</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2.35 %</w:t>
            </w:r>
          </w:p>
        </w:tc>
        <w:tc>
          <w:tcPr>
            <w:tcW w:w="0" w:type="dxa"/>
            <w:vAlign w:val="bottom"/>
          </w:tcPr>
          <w:p>
            <w:pPr>
              <w:spacing w:after="0"/>
              <w:rPr>
                <w:sz w:val="1"/>
                <w:szCs w:val="1"/>
                <w:color w:val="auto"/>
              </w:rPr>
            </w:pPr>
          </w:p>
        </w:tc>
      </w:tr>
      <w:tr>
        <w:trPr>
          <w:trHeight w:val="187"/>
        </w:trPr>
        <w:tc>
          <w:tcPr>
            <w:tcW w:w="5700" w:type="dxa"/>
            <w:vAlign w:val="bottom"/>
            <w:gridSpan w:val="3"/>
          </w:tcPr>
          <w:p>
            <w:pPr>
              <w:ind w:left="20"/>
              <w:spacing w:after="0"/>
              <w:rPr>
                <w:sz w:val="20"/>
                <w:szCs w:val="20"/>
                <w:color w:val="auto"/>
              </w:rPr>
            </w:pPr>
            <w:r>
              <w:rPr>
                <w:rFonts w:ascii="Arial" w:cs="Arial" w:eastAsia="Arial" w:hAnsi="Arial"/>
                <w:sz w:val="16"/>
                <w:szCs w:val="16"/>
                <w:color w:val="auto"/>
              </w:rPr>
              <w:t>Accruing loans past due 90 days or more to</w:t>
            </w:r>
          </w:p>
        </w:tc>
        <w:tc>
          <w:tcPr>
            <w:tcW w:w="140" w:type="dxa"/>
            <w:vAlign w:val="bottom"/>
          </w:tcPr>
          <w:p>
            <w:pPr>
              <w:spacing w:after="0"/>
              <w:rPr>
                <w:sz w:val="16"/>
                <w:szCs w:val="16"/>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.31 %</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.37 %</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6"/>
                <w:szCs w:val="16"/>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.41 %</w:t>
            </w:r>
          </w:p>
        </w:tc>
        <w:tc>
          <w:tcPr>
            <w:tcW w:w="960" w:type="dxa"/>
            <w:vAlign w:val="bottom"/>
            <w:gridSpan w:val="3"/>
            <w:vMerge w:val="restart"/>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8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total loans and leases, net of unearned discount</w:t>
            </w: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(a)Predominantly residential real estate loans.</w:t>
      </w:r>
    </w:p>
    <w:p>
      <w:pPr>
        <w:spacing w:after="0" w:line="109" w:lineRule="exact"/>
        <w:rPr>
          <w:sz w:val="20"/>
          <w:szCs w:val="20"/>
          <w:color w:val="auto"/>
        </w:rPr>
      </w:pPr>
    </w:p>
    <w:p>
      <w:pPr>
        <w:ind w:right="80" w:firstLine="468"/>
        <w:spacing w:after="0" w:line="285" w:lineRule="auto"/>
        <w:rPr>
          <w:sz w:val="20"/>
          <w:szCs w:val="20"/>
          <w:color w:val="auto"/>
        </w:rPr>
      </w:pPr>
      <w:r>
        <w:rPr>
          <w:rFonts w:ascii="Arial" w:cs="Arial" w:eastAsia="Arial" w:hAnsi="Arial"/>
          <w:sz w:val="17"/>
          <w:szCs w:val="17"/>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48" w:lineRule="exact"/>
        <w:rPr>
          <w:sz w:val="20"/>
          <w:szCs w:val="20"/>
          <w:color w:val="auto"/>
        </w:rPr>
      </w:pPr>
    </w:p>
    <w:p>
      <w:pPr>
        <w:ind w:right="80" w:firstLine="468"/>
        <w:spacing w:after="0" w:line="267" w:lineRule="auto"/>
        <w:rPr>
          <w:sz w:val="20"/>
          <w:szCs w:val="20"/>
          <w:color w:val="auto"/>
        </w:rPr>
      </w:pPr>
      <w:r>
        <w:rPr>
          <w:rFonts w:ascii="Arial" w:cs="Arial" w:eastAsia="Arial" w:hAnsi="Arial"/>
          <w:sz w:val="17"/>
          <w:szCs w:val="17"/>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At the time of the Company’s analysis regarding the determination of the allowance for credit losses as of March 31, 2023 concerns existed about elevated levels of inflation; fears of liquidity shortages in the financial services markets and a slowing economy or possible recession in coming quarters; the volatile nature of global markets and international economic conditions that could impact the U.S. economy; Federal Reserve positioning of monetary policy; downward pressures on commercial and residential real estate values especially in the office and health care related sectors; ongoing supply chain issues and wage pressures impacting commercial borrowers; the extent to which borrowers, in particular commercial real estate borrowers, may be negatively affected by general economic conditions; and continued stagnant population and economic growth in the upstate New York and central Pennsylvania regions (approximately 37% of the Company’s loans and leases are to customers in New York State and Pennsylvania) that historically lag other regions of the country. The Company utilizes a loan grading system to differentiate risk amongst its commercial loans and commercial real estate loans. Loans with a lower expectation of default are assigned one of ten possible “pass” loan grades while specific loans determined to have an elevated level of credit risk are classified as “criticized.” A criticized loan may be classified as “nonaccrual” if the Company no longer expects to collect all amounts according to the contractual terms of the loan agreement or the loan is delinquent 90 days or more. Criticized commercial loans and commercial real estate loans totaled $10.6 billion, including $2.5 billion of loans acquired from People's United, at March 31, 2023, compared with $8.7 billion at March 31, 2022, and $10.7 billion, including $2.5 billion of loans acquired from People's United, at December 31, 2022. Despite improved economic conditions during 2022 as pandemic-related restrictions were lifted and consumer spending increased, the business climate through the first quarter of 2023 continues to be subjected to inflationary pressures, supply chain constraints, rising interest rates and liquidity concerns. The level of criticized loans remains reflective of the impact of current conditions on many borrowers, particularly those with investor-owned commercial real estate loans in the hotel, office, retail and healthcare</w:t>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- 61 -</w:t>
      </w:r>
    </w:p>
    <w:p>
      <w:pPr>
        <w:sectPr>
          <w:pgSz w:w="11900" w:h="16840" w:orient="portrait"/>
          <w:cols w:equalWidth="0" w:num="1">
            <w:col w:w="10620"/>
          </w:cols>
          <w:pgMar w:left="660" w:top="839" w:right="620" w:bottom="1440" w:gutter="0" w:footer="0" w:header="0"/>
        </w:sectPr>
      </w:pPr>
    </w:p>
    <w:bookmarkStart w:id="62" w:name="page63"/>
    <w:bookmarkEnd w:id="6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sectors. Investor-owned commercial real estate loans comprised $7.6 billion or 72% of total criticized loans at March 31, 2023. The weighted-average loan-to-value (“LTV”) ratio for investor- owned commercial real estate properties was approximately 57%. Criticized loans secured by investor-owned commercial real estate had a weighted-average LTV ratio of approximately 63%.</w:t>
      </w:r>
    </w:p>
    <w:p>
      <w:pPr>
        <w:spacing w:after="0" w:line="64" w:lineRule="exact"/>
        <w:rPr>
          <w:sz w:val="20"/>
          <w:szCs w:val="20"/>
          <w:color w:val="auto"/>
        </w:rPr>
      </w:pPr>
    </w:p>
    <w:p>
      <w:pPr>
        <w:ind w:right="280" w:firstLine="468"/>
        <w:spacing w:after="0" w:line="275" w:lineRule="auto"/>
        <w:rPr>
          <w:sz w:val="20"/>
          <w:szCs w:val="20"/>
          <w:color w:val="auto"/>
        </w:rPr>
      </w:pPr>
      <w:r>
        <w:rPr>
          <w:rFonts w:ascii="Arial" w:cs="Arial" w:eastAsia="Arial" w:hAnsi="Arial"/>
          <w:sz w:val="18"/>
          <w:szCs w:val="18"/>
          <w:color w:val="auto"/>
        </w:rPr>
        <w:t>The accompanying tables summarize the outstanding balances of commercial loans and leases and commercial real estate loans by industry or property type at March 31, 2023 and December 31, 2022.</w:t>
      </w:r>
    </w:p>
    <w:p>
      <w:pPr>
        <w:spacing w:after="0" w:line="54" w:lineRule="exact"/>
        <w:rPr>
          <w:sz w:val="20"/>
          <w:szCs w:val="20"/>
          <w:color w:val="auto"/>
        </w:rPr>
      </w:pPr>
    </w:p>
    <w:p>
      <w:pPr>
        <w:ind w:right="4680"/>
        <w:spacing w:after="0" w:line="266" w:lineRule="auto"/>
        <w:rPr>
          <w:sz w:val="20"/>
          <w:szCs w:val="20"/>
          <w:color w:val="auto"/>
        </w:rPr>
      </w:pPr>
      <w:r>
        <w:rPr>
          <w:rFonts w:ascii="Arial" w:cs="Arial" w:eastAsia="Arial" w:hAnsi="Arial"/>
          <w:sz w:val="18"/>
          <w:szCs w:val="18"/>
          <w:color w:val="auto"/>
        </w:rPr>
        <w:t xml:space="preserve">COMMERCIAL LOANS AND LEASES, NET OF UNEARNED DISCOUNT </w:t>
      </w:r>
      <w:r>
        <w:rPr>
          <w:rFonts w:ascii="Arial" w:cs="Arial" w:eastAsia="Arial" w:hAnsi="Arial"/>
          <w:sz w:val="18"/>
          <w:szCs w:val="18"/>
          <w:i w:val="1"/>
          <w:iCs w:val="1"/>
          <w:color w:val="auto"/>
        </w:rPr>
        <w:t>(Excludes Loans Secured by Real Estate)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280"/>
              <w:spacing w:after="0"/>
              <w:rPr>
                <w:sz w:val="20"/>
                <w:szCs w:val="20"/>
                <w:color w:val="auto"/>
              </w:rPr>
            </w:pPr>
            <w:r>
              <w:rPr>
                <w:rFonts w:ascii="Arial" w:cs="Arial" w:eastAsia="Arial" w:hAnsi="Arial"/>
                <w:sz w:val="13"/>
                <w:szCs w:val="13"/>
                <w:b w:val="1"/>
                <w:bCs w:val="1"/>
                <w:color w:val="auto"/>
              </w:rPr>
              <w:t>March 31, 2023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right"/>
              <w:spacing w:after="0"/>
              <w:rPr>
                <w:sz w:val="20"/>
                <w:szCs w:val="20"/>
                <w:color w:val="auto"/>
              </w:rPr>
            </w:pPr>
            <w:r>
              <w:rPr>
                <w:rFonts w:ascii="Arial" w:cs="Arial" w:eastAsia="Arial" w:hAnsi="Arial"/>
                <w:sz w:val="13"/>
                <w:szCs w:val="13"/>
                <w:b w:val="1"/>
                <w:bCs w:val="1"/>
                <w:color w:val="auto"/>
              </w:rPr>
              <w:t>December 31, 2022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Criticized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Criticized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Outstandin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Criticized</w:t>
            </w:r>
          </w:p>
        </w:tc>
        <w:tc>
          <w:tcPr>
            <w:tcW w:w="12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Nonaccrua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9"/>
              </w:rPr>
              <w:t>Outstandin</w:t>
            </w:r>
          </w:p>
        </w:tc>
        <w:tc>
          <w:tcPr>
            <w:tcW w:w="12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Criticized</w:t>
            </w:r>
          </w:p>
        </w:tc>
        <w:tc>
          <w:tcPr>
            <w:tcW w:w="12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Nonaccru</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54"/>
              <w:spacing w:after="0"/>
              <w:rPr>
                <w:sz w:val="20"/>
                <w:szCs w:val="20"/>
                <w:color w:val="auto"/>
              </w:rPr>
            </w:pPr>
            <w:r>
              <w:rPr>
                <w:rFonts w:ascii="Arial" w:cs="Arial" w:eastAsia="Arial" w:hAnsi="Arial"/>
                <w:sz w:val="13"/>
                <w:szCs w:val="13"/>
                <w:b w:val="1"/>
                <w:bCs w:val="1"/>
                <w:color w:val="auto"/>
              </w:rPr>
              <w:t>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Accrual</w:t>
            </w:r>
          </w:p>
        </w:tc>
        <w:tc>
          <w:tcPr>
            <w:tcW w:w="120" w:type="dxa"/>
            <w:vAlign w:val="bottom"/>
          </w:tcPr>
          <w:p>
            <w:pPr>
              <w:spacing w:after="0"/>
              <w:rPr>
                <w:sz w:val="15"/>
                <w:szCs w:val="15"/>
                <w:color w:val="auto"/>
              </w:rPr>
            </w:pPr>
          </w:p>
        </w:tc>
        <w:tc>
          <w:tcPr>
            <w:tcW w:w="440" w:type="dxa"/>
            <w:vAlign w:val="bottom"/>
          </w:tcPr>
          <w:p>
            <w:pPr>
              <w:jc w:val="center"/>
              <w:ind w:left="214"/>
              <w:spacing w:after="0"/>
              <w:rPr>
                <w:sz w:val="20"/>
                <w:szCs w:val="20"/>
                <w:color w:val="auto"/>
              </w:rPr>
            </w:pPr>
            <w:r>
              <w:rPr>
                <w:rFonts w:ascii="Arial" w:cs="Arial" w:eastAsia="Arial" w:hAnsi="Arial"/>
                <w:sz w:val="13"/>
                <w:szCs w:val="13"/>
                <w:b w:val="1"/>
                <w:bCs w:val="1"/>
                <w:color w:val="auto"/>
              </w:rPr>
              <w:t>l</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Criticized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Accrual</w:t>
            </w:r>
          </w:p>
        </w:tc>
        <w:tc>
          <w:tcPr>
            <w:tcW w:w="120" w:type="dxa"/>
            <w:vAlign w:val="bottom"/>
          </w:tcPr>
          <w:p>
            <w:pPr>
              <w:spacing w:after="0"/>
              <w:rPr>
                <w:sz w:val="15"/>
                <w:szCs w:val="15"/>
                <w:color w:val="auto"/>
              </w:rPr>
            </w:pPr>
          </w:p>
        </w:tc>
        <w:tc>
          <w:tcPr>
            <w:tcW w:w="460" w:type="dxa"/>
            <w:vAlign w:val="bottom"/>
          </w:tcPr>
          <w:p>
            <w:pPr>
              <w:jc w:val="center"/>
              <w:ind w:left="174"/>
              <w:spacing w:after="0"/>
              <w:rPr>
                <w:sz w:val="20"/>
                <w:szCs w:val="20"/>
                <w:color w:val="auto"/>
              </w:rPr>
            </w:pPr>
            <w:r>
              <w:rPr>
                <w:rFonts w:ascii="Arial" w:cs="Arial" w:eastAsia="Arial" w:hAnsi="Arial"/>
                <w:sz w:val="13"/>
                <w:szCs w:val="13"/>
                <w:b w:val="1"/>
                <w:bCs w:val="1"/>
                <w:color w:val="auto"/>
                <w:w w:val="91"/>
              </w:rPr>
              <w:t>al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Criticized</w:t>
            </w: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Financial and insurance</w:t>
            </w: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8,235</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7,428</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3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Services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6,568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6,494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Manufacturing</w:t>
            </w:r>
          </w:p>
        </w:tc>
        <w:tc>
          <w:tcPr>
            <w:tcW w:w="200" w:type="dxa"/>
            <w:vAlign w:val="bottom"/>
            <w:shd w:val="clear" w:color="auto" w:fill="CFF0FC"/>
          </w:tcPr>
          <w:p>
            <w:pPr>
              <w:spacing w:after="0"/>
              <w:rPr>
                <w:sz w:val="15"/>
                <w:szCs w:val="15"/>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6,094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5,524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20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20"/>
              <w:spacing w:after="0"/>
              <w:rPr>
                <w:sz w:val="20"/>
                <w:szCs w:val="20"/>
                <w:color w:val="auto"/>
              </w:rPr>
            </w:pPr>
            <w:r>
              <w:rPr>
                <w:rFonts w:ascii="Arial" w:cs="Arial" w:eastAsia="Arial" w:hAnsi="Arial"/>
                <w:sz w:val="13"/>
                <w:szCs w:val="13"/>
                <w:color w:val="auto"/>
              </w:rPr>
              <w:t>Motor vehicle and recreational</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20"/>
              <w:spacing w:after="0"/>
              <w:rPr>
                <w:sz w:val="20"/>
                <w:szCs w:val="20"/>
                <w:color w:val="auto"/>
              </w:rPr>
            </w:pPr>
            <w:r>
              <w:rPr>
                <w:rFonts w:ascii="Arial" w:cs="Arial" w:eastAsia="Arial" w:hAnsi="Arial"/>
                <w:sz w:val="13"/>
                <w:szCs w:val="13"/>
                <w:color w:val="auto"/>
              </w:rPr>
              <w:t>finance dealers</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4,797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Wholesale</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Transportation, communications, utilities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Retail</w:t>
            </w:r>
          </w:p>
        </w:tc>
        <w:tc>
          <w:tcPr>
            <w:tcW w:w="200" w:type="dxa"/>
            <w:vAlign w:val="bottom"/>
            <w:shd w:val="clear" w:color="auto" w:fill="CFF0FC"/>
          </w:tcPr>
          <w:p>
            <w:pPr>
              <w:spacing w:after="0"/>
              <w:rPr>
                <w:sz w:val="24"/>
                <w:szCs w:val="2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2,714</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2,525</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Real estate investors</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Health services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43,758</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1,971</w:t>
            </w:r>
          </w:p>
        </w:tc>
        <w:tc>
          <w:tcPr>
            <w:tcW w:w="12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2,353</w:t>
            </w:r>
          </w:p>
        </w:tc>
        <w:tc>
          <w:tcPr>
            <w:tcW w:w="12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41,850</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1,882</w:t>
            </w:r>
          </w:p>
        </w:tc>
        <w:tc>
          <w:tcPr>
            <w:tcW w:w="100" w:type="dxa"/>
            <w:vAlign w:val="bottom"/>
          </w:tcPr>
          <w:p>
            <w:pPr>
              <w:spacing w:after="0"/>
              <w:rPr>
                <w:sz w:val="15"/>
                <w:szCs w:val="15"/>
                <w:color w:val="auto"/>
              </w:rPr>
            </w:pPr>
          </w:p>
        </w:tc>
        <w:tc>
          <w:tcPr>
            <w:tcW w:w="580" w:type="dxa"/>
            <w:vAlign w:val="bottom"/>
            <w:gridSpan w:val="2"/>
          </w:tcPr>
          <w:p>
            <w:pPr>
              <w:jc w:val="right"/>
              <w:ind w:right="314"/>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w w:val="92"/>
              </w:rPr>
              <w:t>347</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COMMERCIAL REAL ESTATE LOANS, NET OF UNEARNED DISCOUNT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ind w:left="280"/>
              <w:spacing w:after="0"/>
              <w:rPr>
                <w:sz w:val="20"/>
                <w:szCs w:val="20"/>
                <w:color w:val="auto"/>
              </w:rPr>
            </w:pPr>
            <w:r>
              <w:rPr>
                <w:rFonts w:ascii="Arial" w:cs="Arial" w:eastAsia="Arial" w:hAnsi="Arial"/>
                <w:sz w:val="13"/>
                <w:szCs w:val="13"/>
                <w:b w:val="1"/>
                <w:bCs w:val="1"/>
                <w:color w:val="auto"/>
              </w:rPr>
              <w:t>March 31, 2023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ind w:left="100"/>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Criticized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Criticized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9"/>
              </w:rPr>
              <w:t>Outstandin</w:t>
            </w:r>
          </w:p>
        </w:tc>
        <w:tc>
          <w:tcPr>
            <w:tcW w:w="120" w:type="dxa"/>
            <w:vAlign w:val="bottom"/>
          </w:tcPr>
          <w:p>
            <w:pPr>
              <w:spacing w:after="0"/>
              <w:rPr>
                <w:sz w:val="13"/>
                <w:szCs w:val="13"/>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Criticized</w:t>
            </w:r>
          </w:p>
        </w:tc>
        <w:tc>
          <w:tcPr>
            <w:tcW w:w="12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Nonaccrua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9"/>
              </w:rPr>
              <w:t>Outstandin</w:t>
            </w:r>
          </w:p>
        </w:tc>
        <w:tc>
          <w:tcPr>
            <w:tcW w:w="12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Criticized</w:t>
            </w:r>
          </w:p>
        </w:tc>
        <w:tc>
          <w:tcPr>
            <w:tcW w:w="12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Nonaccru</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Total</w:t>
            </w:r>
          </w:p>
        </w:tc>
      </w:tr>
      <w:tr>
        <w:trPr>
          <w:trHeight w:val="183"/>
        </w:trPr>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120"/>
              <w:spacing w:after="0"/>
              <w:rPr>
                <w:sz w:val="20"/>
                <w:szCs w:val="20"/>
                <w:color w:val="auto"/>
              </w:rPr>
            </w:pPr>
            <w:r>
              <w:rPr>
                <w:rFonts w:ascii="Arial" w:cs="Arial" w:eastAsia="Arial" w:hAnsi="Arial"/>
                <w:sz w:val="13"/>
                <w:szCs w:val="13"/>
                <w:b w:val="1"/>
                <w:bCs w:val="1"/>
                <w:color w:val="auto"/>
              </w:rPr>
              <w:t>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Accrual</w:t>
            </w:r>
          </w:p>
        </w:tc>
        <w:tc>
          <w:tcPr>
            <w:tcW w:w="120" w:type="dxa"/>
            <w:vAlign w:val="bottom"/>
          </w:tcPr>
          <w:p>
            <w:pPr>
              <w:spacing w:after="0"/>
              <w:rPr>
                <w:sz w:val="15"/>
                <w:szCs w:val="15"/>
                <w:color w:val="auto"/>
              </w:rPr>
            </w:pPr>
          </w:p>
        </w:tc>
        <w:tc>
          <w:tcPr>
            <w:tcW w:w="380" w:type="dxa"/>
            <w:vAlign w:val="bottom"/>
          </w:tcPr>
          <w:p>
            <w:pPr>
              <w:jc w:val="center"/>
              <w:ind w:left="274"/>
              <w:spacing w:after="0"/>
              <w:rPr>
                <w:sz w:val="20"/>
                <w:szCs w:val="20"/>
                <w:color w:val="auto"/>
              </w:rPr>
            </w:pPr>
            <w:r>
              <w:rPr>
                <w:rFonts w:ascii="Arial" w:cs="Arial" w:eastAsia="Arial" w:hAnsi="Arial"/>
                <w:sz w:val="13"/>
                <w:szCs w:val="13"/>
                <w:b w:val="1"/>
                <w:bCs w:val="1"/>
                <w:color w:val="auto"/>
              </w:rPr>
              <w:t>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Criticized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Accrual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al</w:t>
            </w:r>
          </w:p>
        </w:tc>
        <w:tc>
          <w:tcPr>
            <w:tcW w:w="12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Criticized</w:t>
            </w:r>
          </w:p>
        </w:tc>
      </w:tr>
      <w:tr>
        <w:trPr>
          <w:trHeight w:val="180"/>
        </w:trPr>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940" w:type="dxa"/>
            <w:vAlign w:val="bottom"/>
          </w:tcPr>
          <w:p>
            <w:pPr>
              <w:ind w:left="20"/>
              <w:spacing w:after="0"/>
              <w:rPr>
                <w:sz w:val="20"/>
                <w:szCs w:val="20"/>
                <w:color w:val="auto"/>
              </w:rPr>
            </w:pPr>
            <w:r>
              <w:rPr>
                <w:rFonts w:ascii="Arial" w:cs="Arial" w:eastAsia="Arial" w:hAnsi="Arial"/>
                <w:sz w:val="13"/>
                <w:szCs w:val="13"/>
                <w:color w:val="auto"/>
              </w:rPr>
              <w:t>Investor-owned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9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Permanent finance by property type</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54"/>
        </w:trPr>
        <w:tc>
          <w:tcPr>
            <w:tcW w:w="29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5"/>
        </w:trPr>
        <w:tc>
          <w:tcPr>
            <w:tcW w:w="2940" w:type="dxa"/>
            <w:vAlign w:val="bottom"/>
          </w:tcPr>
          <w:p>
            <w:pPr>
              <w:ind w:left="260"/>
              <w:spacing w:after="0"/>
              <w:rPr>
                <w:sz w:val="20"/>
                <w:szCs w:val="20"/>
                <w:color w:val="auto"/>
              </w:rPr>
            </w:pPr>
            <w:r>
              <w:rPr>
                <w:rFonts w:ascii="Arial" w:cs="Arial" w:eastAsia="Arial" w:hAnsi="Arial"/>
                <w:sz w:val="13"/>
                <w:szCs w:val="13"/>
                <w:color w:val="auto"/>
              </w:rPr>
              <w:t>Apartments/Multifamily</w:t>
            </w:r>
          </w:p>
        </w:tc>
        <w:tc>
          <w:tcPr>
            <w:tcW w:w="46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6,262</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797</w:t>
            </w:r>
          </w:p>
        </w:tc>
        <w:tc>
          <w:tcPr>
            <w:tcW w:w="12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5,888</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684</w:t>
            </w:r>
          </w:p>
        </w:tc>
        <w:tc>
          <w:tcPr>
            <w:tcW w:w="10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762</w:t>
            </w: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Retail/Service</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6,190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w:t>
            </w:r>
          </w:p>
        </w:tc>
        <w:tc>
          <w:tcPr>
            <w:tcW w:w="80" w:type="dxa"/>
            <w:vAlign w:val="bottom"/>
            <w:shd w:val="clear" w:color="auto" w:fill="CFF0FC"/>
          </w:tcPr>
          <w:p>
            <w:pPr>
              <w:spacing w:after="0"/>
              <w:rPr>
                <w:sz w:val="16"/>
                <w:szCs w:val="16"/>
                <w:color w:val="auto"/>
              </w:rPr>
            </w:pPr>
          </w:p>
        </w:tc>
      </w:tr>
      <w:tr>
        <w:trPr>
          <w:trHeight w:val="175"/>
        </w:trPr>
        <w:tc>
          <w:tcPr>
            <w:tcW w:w="2940" w:type="dxa"/>
            <w:vAlign w:val="bottom"/>
          </w:tcPr>
          <w:p>
            <w:pPr>
              <w:ind w:left="260"/>
              <w:spacing w:after="0"/>
              <w:rPr>
                <w:sz w:val="20"/>
                <w:szCs w:val="20"/>
                <w:color w:val="auto"/>
              </w:rPr>
            </w:pPr>
            <w:r>
              <w:rPr>
                <w:rFonts w:ascii="Arial" w:cs="Arial" w:eastAsia="Arial" w:hAnsi="Arial"/>
                <w:sz w:val="13"/>
                <w:szCs w:val="13"/>
                <w:color w:val="auto"/>
              </w:rPr>
              <w:t>Office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1,071</w:t>
            </w: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Health services</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1,274</w:t>
            </w:r>
          </w:p>
        </w:tc>
        <w:tc>
          <w:tcPr>
            <w:tcW w:w="80" w:type="dxa"/>
            <w:vAlign w:val="bottom"/>
            <w:shd w:val="clear" w:color="auto" w:fill="CFF0FC"/>
          </w:tcPr>
          <w:p>
            <w:pPr>
              <w:spacing w:after="0"/>
              <w:rPr>
                <w:sz w:val="16"/>
                <w:szCs w:val="16"/>
                <w:color w:val="auto"/>
              </w:rPr>
            </w:pPr>
          </w:p>
        </w:tc>
      </w:tr>
      <w:tr>
        <w:trPr>
          <w:trHeight w:val="175"/>
        </w:trPr>
        <w:tc>
          <w:tcPr>
            <w:tcW w:w="2940" w:type="dxa"/>
            <w:vAlign w:val="bottom"/>
          </w:tcPr>
          <w:p>
            <w:pPr>
              <w:ind w:left="260"/>
              <w:spacing w:after="0"/>
              <w:rPr>
                <w:sz w:val="20"/>
                <w:szCs w:val="20"/>
                <w:color w:val="auto"/>
              </w:rPr>
            </w:pPr>
            <w:r>
              <w:rPr>
                <w:rFonts w:ascii="Arial" w:cs="Arial" w:eastAsia="Arial" w:hAnsi="Arial"/>
                <w:sz w:val="13"/>
                <w:szCs w:val="13"/>
                <w:color w:val="auto"/>
              </w:rPr>
              <w:t>Hotel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1,188</w:t>
            </w: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Industrial/Warehouse</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FF0FC"/>
          </w:tcPr>
          <w:p>
            <w:pPr>
              <w:spacing w:after="0"/>
              <w:rPr>
                <w:sz w:val="16"/>
                <w:szCs w:val="16"/>
                <w:color w:val="auto"/>
              </w:rPr>
            </w:pPr>
          </w:p>
        </w:tc>
      </w:tr>
      <w:tr>
        <w:trPr>
          <w:trHeight w:val="175"/>
        </w:trPr>
        <w:tc>
          <w:tcPr>
            <w:tcW w:w="2940" w:type="dxa"/>
            <w:vAlign w:val="bottom"/>
          </w:tcPr>
          <w:p>
            <w:pPr>
              <w:ind w:left="260"/>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permanent</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26,957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1,329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26,612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5,624</w:t>
            </w:r>
          </w:p>
        </w:tc>
        <w:tc>
          <w:tcPr>
            <w:tcW w:w="80" w:type="dxa"/>
            <w:vAlign w:val="bottom"/>
            <w:shd w:val="clear" w:color="auto" w:fill="CFF0FC"/>
          </w:tcPr>
          <w:p>
            <w:pPr>
              <w:spacing w:after="0"/>
              <w:rPr>
                <w:sz w:val="16"/>
                <w:szCs w:val="16"/>
                <w:color w:val="auto"/>
              </w:rPr>
            </w:pPr>
          </w:p>
        </w:tc>
      </w:tr>
      <w:tr>
        <w:trPr>
          <w:trHeight w:val="175"/>
        </w:trPr>
        <w:tc>
          <w:tcPr>
            <w:tcW w:w="2940" w:type="dxa"/>
            <w:vAlign w:val="bottom"/>
          </w:tcPr>
          <w:p>
            <w:pPr>
              <w:ind w:left="180"/>
              <w:spacing w:after="0"/>
              <w:rPr>
                <w:sz w:val="20"/>
                <w:szCs w:val="20"/>
                <w:color w:val="auto"/>
              </w:rPr>
            </w:pPr>
            <w:r>
              <w:rPr>
                <w:rFonts w:ascii="Arial" w:cs="Arial" w:eastAsia="Arial" w:hAnsi="Arial"/>
                <w:sz w:val="13"/>
                <w:szCs w:val="13"/>
                <w:color w:val="auto"/>
              </w:rPr>
              <w:t>Construction/development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2,295</w:t>
            </w: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investor-owned</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34,498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1,475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6,555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7,919</w:t>
            </w:r>
          </w:p>
        </w:tc>
        <w:tc>
          <w:tcPr>
            <w:tcW w:w="80" w:type="dxa"/>
            <w:vAlign w:val="bottom"/>
            <w:shd w:val="clear" w:color="auto" w:fill="CFF0FC"/>
          </w:tcPr>
          <w:p>
            <w:pPr>
              <w:spacing w:after="0"/>
              <w:rPr>
                <w:sz w:val="16"/>
                <w:szCs w:val="16"/>
                <w:color w:val="auto"/>
              </w:rPr>
            </w:pPr>
          </w:p>
        </w:tc>
      </w:tr>
      <w:tr>
        <w:trPr>
          <w:trHeight w:val="175"/>
        </w:trPr>
        <w:tc>
          <w:tcPr>
            <w:tcW w:w="2940" w:type="dxa"/>
            <w:vAlign w:val="bottom"/>
          </w:tcPr>
          <w:p>
            <w:pPr>
              <w:ind w:left="20"/>
              <w:spacing w:after="0"/>
              <w:rPr>
                <w:sz w:val="20"/>
                <w:szCs w:val="20"/>
                <w:color w:val="auto"/>
              </w:rPr>
            </w:pPr>
            <w:r>
              <w:rPr>
                <w:rFonts w:ascii="Arial" w:cs="Arial" w:eastAsia="Arial" w:hAnsi="Arial"/>
                <w:sz w:val="13"/>
                <w:szCs w:val="13"/>
                <w:color w:val="auto"/>
              </w:rPr>
              <w:t>Owner-occupied by industry (a)</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services</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80" w:type="dxa"/>
            <w:vAlign w:val="bottom"/>
            <w:shd w:val="clear" w:color="auto" w:fill="CFF0FC"/>
          </w:tcPr>
          <w:p>
            <w:pPr>
              <w:spacing w:after="0"/>
              <w:rPr>
                <w:sz w:val="16"/>
                <w:szCs w:val="16"/>
                <w:color w:val="auto"/>
              </w:rPr>
            </w:pPr>
          </w:p>
        </w:tc>
      </w:tr>
      <w:tr>
        <w:trPr>
          <w:trHeight w:val="161"/>
        </w:trPr>
        <w:tc>
          <w:tcPr>
            <w:tcW w:w="2940" w:type="dxa"/>
            <w:vAlign w:val="bottom"/>
          </w:tcPr>
          <w:p>
            <w:pPr>
              <w:ind w:left="260"/>
              <w:spacing w:after="0"/>
              <w:rPr>
                <w:sz w:val="20"/>
                <w:szCs w:val="20"/>
                <w:color w:val="auto"/>
              </w:rPr>
            </w:pPr>
            <w:r>
              <w:rPr>
                <w:rFonts w:ascii="Arial" w:cs="Arial" w:eastAsia="Arial" w:hAnsi="Arial"/>
                <w:sz w:val="13"/>
                <w:szCs w:val="13"/>
                <w:color w:val="auto"/>
              </w:rPr>
              <w:t>Motor vehicle and recreational</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940" w:type="dxa"/>
            <w:vAlign w:val="bottom"/>
          </w:tcPr>
          <w:p>
            <w:pPr>
              <w:ind w:left="360"/>
              <w:spacing w:after="0"/>
              <w:rPr>
                <w:sz w:val="20"/>
                <w:szCs w:val="20"/>
                <w:color w:val="auto"/>
              </w:rPr>
            </w:pPr>
            <w:r>
              <w:rPr>
                <w:rFonts w:ascii="Arial" w:cs="Arial" w:eastAsia="Arial" w:hAnsi="Arial"/>
                <w:sz w:val="13"/>
                <w:szCs w:val="13"/>
                <w:color w:val="auto"/>
              </w:rPr>
              <w:t>finance dealers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r>
      <w:tr>
        <w:trPr>
          <w:trHeight w:val="185"/>
        </w:trPr>
        <w:tc>
          <w:tcPr>
            <w:tcW w:w="2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Retail</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w:t>
            </w:r>
          </w:p>
        </w:tc>
        <w:tc>
          <w:tcPr>
            <w:tcW w:w="80" w:type="dxa"/>
            <w:vAlign w:val="bottom"/>
            <w:shd w:val="clear" w:color="auto" w:fill="CFF0FC"/>
          </w:tcPr>
          <w:p>
            <w:pPr>
              <w:spacing w:after="0"/>
              <w:rPr>
                <w:sz w:val="16"/>
                <w:szCs w:val="16"/>
                <w:color w:val="auto"/>
              </w:rPr>
            </w:pPr>
          </w:p>
        </w:tc>
      </w:tr>
      <w:tr>
        <w:trPr>
          <w:trHeight w:val="175"/>
        </w:trPr>
        <w:tc>
          <w:tcPr>
            <w:tcW w:w="2940" w:type="dxa"/>
            <w:vAlign w:val="bottom"/>
          </w:tcPr>
          <w:p>
            <w:pPr>
              <w:ind w:left="260"/>
              <w:spacing w:after="0"/>
              <w:rPr>
                <w:sz w:val="20"/>
                <w:szCs w:val="20"/>
                <w:color w:val="auto"/>
              </w:rPr>
            </w:pPr>
            <w:r>
              <w:rPr>
                <w:rFonts w:ascii="Arial" w:cs="Arial" w:eastAsia="Arial" w:hAnsi="Arial"/>
                <w:sz w:val="13"/>
                <w:szCs w:val="13"/>
                <w:color w:val="auto"/>
              </w:rPr>
              <w:t>Health services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Wholesale</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FF0FC"/>
          </w:tcPr>
          <w:p>
            <w:pPr>
              <w:spacing w:after="0"/>
              <w:rPr>
                <w:sz w:val="16"/>
                <w:szCs w:val="16"/>
                <w:color w:val="auto"/>
              </w:rPr>
            </w:pPr>
          </w:p>
        </w:tc>
      </w:tr>
      <w:tr>
        <w:trPr>
          <w:trHeight w:val="175"/>
        </w:trPr>
        <w:tc>
          <w:tcPr>
            <w:tcW w:w="2940" w:type="dxa"/>
            <w:vAlign w:val="bottom"/>
          </w:tcPr>
          <w:p>
            <w:pPr>
              <w:ind w:left="260"/>
              <w:spacing w:after="0"/>
              <w:rPr>
                <w:sz w:val="20"/>
                <w:szCs w:val="20"/>
                <w:color w:val="auto"/>
              </w:rPr>
            </w:pPr>
            <w:r>
              <w:rPr>
                <w:rFonts w:ascii="Arial" w:cs="Arial" w:eastAsia="Arial" w:hAnsi="Arial"/>
                <w:sz w:val="13"/>
                <w:szCs w:val="13"/>
                <w:color w:val="auto"/>
              </w:rPr>
              <w:t>Real estate investors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Manufacturing</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FF0FC"/>
          </w:tcPr>
          <w:p>
            <w:pPr>
              <w:spacing w:after="0"/>
              <w:rPr>
                <w:sz w:val="16"/>
                <w:szCs w:val="16"/>
                <w:color w:val="auto"/>
              </w:rPr>
            </w:pPr>
          </w:p>
        </w:tc>
      </w:tr>
      <w:tr>
        <w:trPr>
          <w:trHeight w:val="175"/>
        </w:trPr>
        <w:tc>
          <w:tcPr>
            <w:tcW w:w="2940" w:type="dxa"/>
            <w:vAlign w:val="bottom"/>
          </w:tcPr>
          <w:p>
            <w:pPr>
              <w:ind w:left="260"/>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5"/>
                <w:szCs w:val="15"/>
                <w:color w:val="auto"/>
              </w:rPr>
            </w:pPr>
          </w:p>
        </w:tc>
      </w:tr>
      <w:tr>
        <w:trPr>
          <w:trHeight w:val="185"/>
        </w:trPr>
        <w:tc>
          <w:tcPr>
            <w:tcW w:w="29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owner-occupied</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10,575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593</w:t>
            </w:r>
          </w:p>
        </w:tc>
        <w:tc>
          <w:tcPr>
            <w:tcW w:w="80" w:type="dxa"/>
            <w:vAlign w:val="bottom"/>
            <w:shd w:val="clear" w:color="auto" w:fill="CFF0FC"/>
          </w:tcPr>
          <w:p>
            <w:pPr>
              <w:spacing w:after="0"/>
              <w:rPr>
                <w:sz w:val="16"/>
                <w:szCs w:val="16"/>
                <w:color w:val="auto"/>
              </w:rPr>
            </w:pPr>
          </w:p>
        </w:tc>
      </w:tr>
      <w:tr>
        <w:trPr>
          <w:trHeight w:val="180"/>
        </w:trPr>
        <w:tc>
          <w:tcPr>
            <w:tcW w:w="2940" w:type="dxa"/>
            <w:vAlign w:val="bottom"/>
          </w:tcPr>
          <w:p>
            <w:pPr>
              <w:ind w:left="60"/>
              <w:spacing w:after="0"/>
              <w:rPr>
                <w:sz w:val="20"/>
                <w:szCs w:val="20"/>
                <w:color w:val="auto"/>
              </w:rPr>
            </w:pPr>
            <w:r>
              <w:rPr>
                <w:rFonts w:ascii="Arial" w:cs="Arial" w:eastAsia="Arial" w:hAnsi="Arial"/>
                <w:sz w:val="13"/>
                <w:szCs w:val="13"/>
                <w:color w:val="auto"/>
              </w:rPr>
              <w:t>Total commercial real estate</w:t>
            </w:r>
          </w:p>
        </w:tc>
        <w:tc>
          <w:tcPr>
            <w:tcW w:w="46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45,073</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6,573</w:t>
            </w:r>
          </w:p>
        </w:tc>
        <w:tc>
          <w:tcPr>
            <w:tcW w:w="12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1,663</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8,236</w:t>
            </w:r>
          </w:p>
        </w:tc>
        <w:tc>
          <w:tcPr>
            <w:tcW w:w="12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45,365</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6,989</w:t>
            </w:r>
          </w:p>
        </w:tc>
        <w:tc>
          <w:tcPr>
            <w:tcW w:w="10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1,523</w:t>
            </w: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8,512</w:t>
            </w:r>
          </w:p>
        </w:tc>
        <w:tc>
          <w:tcPr>
            <w:tcW w:w="80" w:type="dxa"/>
            <w:vAlign w:val="bottom"/>
          </w:tcPr>
          <w:p>
            <w:pPr>
              <w:spacing w:after="0"/>
              <w:rPr>
                <w:sz w:val="15"/>
                <w:szCs w:val="15"/>
                <w:color w:val="auto"/>
              </w:rPr>
            </w:pPr>
          </w:p>
        </w:tc>
      </w:tr>
      <w:tr>
        <w:trPr>
          <w:trHeight w:val="20"/>
        </w:trPr>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(a)Includes $329 million and $359 million of construction loans at March 31, 2023 and December 31, 2022, respectively.</w:t>
      </w:r>
    </w:p>
    <w:p>
      <w:pPr>
        <w:spacing w:after="0" w:line="109" w:lineRule="exact"/>
        <w:rPr>
          <w:sz w:val="20"/>
          <w:szCs w:val="20"/>
          <w:color w:val="auto"/>
        </w:rPr>
      </w:pPr>
    </w:p>
    <w:p>
      <w:pPr>
        <w:ind w:right="40" w:firstLine="528"/>
        <w:spacing w:after="0" w:line="254" w:lineRule="auto"/>
        <w:rPr>
          <w:sz w:val="20"/>
          <w:szCs w:val="20"/>
          <w:color w:val="auto"/>
        </w:rPr>
      </w:pPr>
      <w:r>
        <w:rPr>
          <w:rFonts w:ascii="Arial" w:cs="Arial" w:eastAsia="Arial" w:hAnsi="Arial"/>
          <w:sz w:val="18"/>
          <w:szCs w:val="18"/>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and additional analysis performed. On a quarterly basis, the Company’s credit personnel review all criticized commercial loans and commercial real estate loans greater than $1 million to determine the appropriateness of the assigned loan grade, including whether the loan should be reported as accruing 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- 62 -</w:t>
      </w:r>
    </w:p>
    <w:p>
      <w:pPr>
        <w:sectPr>
          <w:pgSz w:w="11900" w:h="16840" w:orient="portrait"/>
          <w:cols w:equalWidth="0" w:num="1">
            <w:col w:w="10560"/>
          </w:cols>
          <w:pgMar w:left="660" w:top="839" w:right="680" w:bottom="1440" w:gutter="0" w:footer="0" w:header="0"/>
        </w:sectPr>
      </w:pPr>
    </w:p>
    <w:bookmarkStart w:id="63" w:name="page64"/>
    <w:bookmarkEnd w:id="63"/>
    <w:p>
      <w:pPr>
        <w:ind w:right="100"/>
        <w:spacing w:after="0" w:line="256" w:lineRule="auto"/>
        <w:rPr>
          <w:sz w:val="20"/>
          <w:szCs w:val="20"/>
          <w:color w:val="auto"/>
        </w:rPr>
      </w:pPr>
      <w:r>
        <w:rPr>
          <w:rFonts w:ascii="Arial" w:cs="Arial" w:eastAsia="Arial" w:hAnsi="Arial"/>
          <w:sz w:val="18"/>
          <w:szCs w:val="18"/>
          <w:color w:val="auto"/>
        </w:rPr>
        <w:t>nonaccruing. For criticized nonaccrual loans, additional meetings are held with loan officers and their managers, workout specialists and senior management to discuss each of the relationships. In analyzing criticized loans, borrower -specific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72"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March 31, 2023, approximately 53% of the Company’s home equity portfolio consisted of first lien loans and lines of credit and 47% were junior liens. With respect to junior lien loans, to the extent known by the Company, if a related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 -off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March 31, 2023 approximately 86% of all outstanding balances of home equity lines of credit related to lines that were still in the draw period, the weighted-average remaining draw periods were approximately five years, and approximately 16% were making contractually allowed payments that do not include any repayment of principal.</w:t>
      </w:r>
    </w:p>
    <w:p>
      <w:pPr>
        <w:spacing w:after="0" w:line="73" w:lineRule="exact"/>
        <w:rPr>
          <w:sz w:val="20"/>
          <w:szCs w:val="20"/>
          <w:color w:val="auto"/>
        </w:rPr>
      </w:pPr>
    </w:p>
    <w:p>
      <w:pPr>
        <w:ind w:right="120" w:firstLine="468"/>
        <w:spacing w:after="0" w:line="254"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5"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March 31, 2023, December 31, 2022 and March 31, 2022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 -looking estimates of certain macroeconomic variables are determined by the M&amp;T Scenario Development Group, which is comprised of senior management business leaders and economists. Events posing emerging risks to the macroeconomic environment, such as international conflicts and other events, liquidity concerns, inflation and supply chain issues, are considered when developing economic forecasts even if the events do not directly and materially impact the Company’s financial results. Supply chain disruptions, inflationary pressures, liquidity trends or other peripheral impacts of global events may alter economic forecasts and the Company monitors this activity as part of its risk management procedures in assessing the allowance for credit losses. Among the assumptions utilized as of March 31, 2023 was that the national unemployment rate will average 4.4% through the reasonable and supportable forecast period. The forecast also assumed gross domestic product grows at a 1.0% average rate during the first year of the reasonable and supportable forecast period and at a 2.4% average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64" w:name="page65"/>
    <w:bookmarkEnd w:id="64"/>
    <w:p>
      <w:pPr>
        <w:spacing w:after="0" w:line="252" w:lineRule="auto"/>
        <w:rPr>
          <w:sz w:val="20"/>
          <w:szCs w:val="20"/>
          <w:color w:val="auto"/>
        </w:rPr>
      </w:pPr>
      <w:r>
        <w:rPr>
          <w:rFonts w:ascii="Arial" w:cs="Arial" w:eastAsia="Arial" w:hAnsi="Arial"/>
          <w:sz w:val="18"/>
          <w:szCs w:val="18"/>
          <w:color w:val="auto"/>
        </w:rPr>
        <w:t>rate in the second year. Commercial real estate prices were assumed to cumulatively contract 5.5% and residential real estate prices were assumed to contract 6.7% over the two-year reasonable and supportable forecast period. The assumptions utilized as of December 31, 2022 included an average national unemployment rate of 4.0% through the reasonable and supportable forecast period. The forecast also assumed gross domestic product would grow during the first year of the reasonable and supportable period at a 1.0% average annual rate followed by a 2.5% average rate in the second year. Commercial real estate prices were assumed to cumulatively grow 1.9% and residential real estate prices were assumed to contract 6.2% over the two-year reasonable and supportable forecast period. Among the assumptions utilized as of March 31, 2022 was that the national unemployment rate would average 3.6% through the reasonable and supportable forecast period. The forecast also assumed gross domestic product would grow at a 3.6% average rate during the first year of the reasonable and supportable forecast period and at a 3.0% average rate in the second year. Commercial real estate and residential real estate prices were assumed to cumulatively grow 11.0% and 4.3%, respectively, over the two-year reasonable and supportable forecast period. The assumptions utilized were based on the information available to the Company at or near March 31, 2023, December 31, 2022 and March 31, 2022 (at the time the Company was preparing its estimate of expected credit losses as of those dates).</w:t>
      </w:r>
    </w:p>
    <w:p>
      <w:pPr>
        <w:spacing w:after="0" w:line="79" w:lineRule="exact"/>
        <w:rPr>
          <w:sz w:val="20"/>
          <w:szCs w:val="20"/>
          <w:color w:val="auto"/>
        </w:rPr>
      </w:pPr>
    </w:p>
    <w:p>
      <w:pPr>
        <w:ind w:right="40" w:firstLine="468"/>
        <w:spacing w:after="0" w:line="254" w:lineRule="auto"/>
        <w:rPr>
          <w:sz w:val="20"/>
          <w:szCs w:val="20"/>
          <w:color w:val="auto"/>
        </w:rPr>
      </w:pPr>
      <w:r>
        <w:rPr>
          <w:rFonts w:ascii="Arial" w:cs="Arial" w:eastAsia="Arial" w:hAnsi="Arial"/>
          <w:sz w:val="18"/>
          <w:szCs w:val="18"/>
          <w:color w:val="auto"/>
        </w:rPr>
        <w:t>In establishing the allowance for credit losses the Company also considers the impact of portfolio concentrations, imprecision in economic forecasts, geopolitical conditions and other risk factors that might influence the loss estimation process. With respect to economic forecasts, the Company assessed the likelihood of alternative economic scenarios during the two-year reasonable and supportable time period. Generally, an increase in unemployment rate or a decrease in any of the rate of change in gross domestic product, commercial real estate prices or home prices could have an adverse impact on expected credit losses and may result in an increase to the allowance for credit losses. Forward looking economic forecasts are subject to inherent imprecision and future events may differ materially from forecasted events. In consideration of such uncertainty, the following alternative economic scenarios were considered to estimate the possible impact on modeled credit losses.</w:t>
      </w:r>
    </w:p>
    <w:p>
      <w:pPr>
        <w:spacing w:after="0" w:line="72" w:lineRule="exact"/>
        <w:rPr>
          <w:sz w:val="20"/>
          <w:szCs w:val="20"/>
          <w:color w:val="auto"/>
        </w:rPr>
      </w:pPr>
    </w:p>
    <w:p>
      <w:pPr>
        <w:ind w:right="220" w:firstLine="468"/>
        <w:spacing w:after="0" w:line="278" w:lineRule="auto"/>
        <w:rPr>
          <w:sz w:val="20"/>
          <w:szCs w:val="20"/>
          <w:color w:val="auto"/>
        </w:rPr>
      </w:pPr>
      <w:r>
        <w:rPr>
          <w:rFonts w:ascii="Arial" w:cs="Arial" w:eastAsia="Arial" w:hAnsi="Arial"/>
          <w:sz w:val="17"/>
          <w:szCs w:val="17"/>
          <w:color w:val="auto"/>
        </w:rPr>
        <w:t>A potential downside economic scenario assumed the unemployment rate averages 7.0% in the reasonable and supportable forecast period. The scenario also assumed gross domestic product contracts 1.9% in the first year of the reasonable and supportable forecast period before recovering to 1.9% growth in the second year and commercial real estate and residential real estate prices cumulatively decline 22.9% and 14.6%, respectively, by the end of the reasonable and supportable forecast period.</w:t>
      </w:r>
    </w:p>
    <w:p>
      <w:pPr>
        <w:spacing w:after="0" w:line="55" w:lineRule="exact"/>
        <w:rPr>
          <w:sz w:val="20"/>
          <w:szCs w:val="20"/>
          <w:color w:val="auto"/>
        </w:rPr>
      </w:pPr>
    </w:p>
    <w:p>
      <w:pPr>
        <w:ind w:right="80" w:firstLine="468"/>
        <w:spacing w:after="0" w:line="259" w:lineRule="auto"/>
        <w:rPr>
          <w:sz w:val="20"/>
          <w:szCs w:val="20"/>
          <w:color w:val="auto"/>
        </w:rPr>
      </w:pPr>
      <w:r>
        <w:rPr>
          <w:rFonts w:ascii="Arial" w:cs="Arial" w:eastAsia="Arial" w:hAnsi="Arial"/>
          <w:sz w:val="18"/>
          <w:szCs w:val="18"/>
          <w:color w:val="auto"/>
        </w:rPr>
        <w:t>A potential upside economic scenario assumed the unemployment rate averages approximately 3.2% for the duration of the reasonable and supportable forecast period. The scenario also assumes gross domestic product grows 3.5% in the initial year of the reasonable and supportable forecast period and 2.6% in the second year while commercial real estate and residential real estate prices cumulatively rise 2.9% and .3%, respectively, over the two-year reasonable and supportable forecast period.</w:t>
      </w:r>
    </w:p>
    <w:p>
      <w:pPr>
        <w:spacing w:after="0" w:line="67" w:lineRule="exact"/>
        <w:rPr>
          <w:sz w:val="20"/>
          <w:szCs w:val="20"/>
          <w:color w:val="auto"/>
        </w:rPr>
      </w:pPr>
    </w:p>
    <w:p>
      <w:pPr>
        <w:ind w:right="40" w:firstLine="468"/>
        <w:spacing w:after="0" w:line="275" w:lineRule="auto"/>
        <w:rPr>
          <w:sz w:val="20"/>
          <w:szCs w:val="20"/>
          <w:color w:val="auto"/>
        </w:rPr>
      </w:pPr>
      <w:r>
        <w:rPr>
          <w:rFonts w:ascii="Arial" w:cs="Arial" w:eastAsia="Arial" w:hAnsi="Arial"/>
          <w:sz w:val="17"/>
          <w:szCs w:val="17"/>
          <w:color w:val="auto"/>
        </w:rPr>
        <w:t>The scenario analyses resulted in an additional $ 478 million of modeled credit losses under the assumptions of the downside economic scenario, whereas under the assumptions of the upside economic scenario a $217 million reduction in modeled credit losses could occur. 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w:t>
      </w:r>
    </w:p>
    <w:p>
      <w:pPr>
        <w:spacing w:after="0" w:line="56" w:lineRule="exact"/>
        <w:rPr>
          <w:sz w:val="20"/>
          <w:szCs w:val="20"/>
          <w:color w:val="auto"/>
        </w:rPr>
      </w:pPr>
    </w:p>
    <w:p>
      <w:pPr>
        <w:ind w:right="80" w:firstLine="468"/>
        <w:spacing w:after="0" w:line="256" w:lineRule="auto"/>
        <w:rPr>
          <w:sz w:val="20"/>
          <w:szCs w:val="20"/>
          <w:color w:val="auto"/>
        </w:rPr>
      </w:pPr>
      <w:r>
        <w:rPr>
          <w:rFonts w:ascii="Arial" w:cs="Arial" w:eastAsia="Arial" w:hAnsi="Arial"/>
          <w:sz w:val="18"/>
          <w:szCs w:val="18"/>
          <w:color w:val="auto"/>
        </w:rPr>
        <w:t>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72" w:lineRule="exact"/>
        <w:rPr>
          <w:sz w:val="20"/>
          <w:szCs w:val="20"/>
          <w:color w:val="auto"/>
        </w:rPr>
      </w:pPr>
    </w:p>
    <w:p>
      <w:pPr>
        <w:ind w:right="40" w:firstLine="468"/>
        <w:spacing w:after="0" w:line="256" w:lineRule="auto"/>
        <w:rPr>
          <w:sz w:val="20"/>
          <w:szCs w:val="20"/>
          <w:color w:val="auto"/>
        </w:rPr>
      </w:pPr>
      <w:r>
        <w:rPr>
          <w:rFonts w:ascii="Arial" w:cs="Arial" w:eastAsia="Arial" w:hAnsi="Arial"/>
          <w:sz w:val="18"/>
          <w:szCs w:val="18"/>
          <w:color w:val="auto"/>
        </w:rPr>
        <w:t>Management believes that the allowance for credit losses at March 31, 2023 appropriately reflected expected credit losses inherent in the portfolio as of that date. The allowance for credit losses totaled $1.98 billion at March 31, 2023, compared with $1.47 billion at March 31, 2022 and $1.93 billion at December 31, 2022. As a percentage of loans outstanding, the allowance was 1.49% at March 31, 2023, 1.60% at March 31, 2022 and 1.46% at December 31, 2022. Using the same methodology described herein, the Company added $341 million to the allowance for credit</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65" w:name="page66"/>
    <w:bookmarkEnd w:id="65"/>
    <w:p>
      <w:pPr>
        <w:spacing w:after="0" w:line="253" w:lineRule="auto"/>
        <w:rPr>
          <w:sz w:val="20"/>
          <w:szCs w:val="20"/>
          <w:color w:val="auto"/>
        </w:rPr>
      </w:pPr>
      <w:r>
        <w:rPr>
          <w:rFonts w:ascii="Arial" w:cs="Arial" w:eastAsia="Arial" w:hAnsi="Arial"/>
          <w:sz w:val="18"/>
          <w:szCs w:val="18"/>
          <w:color w:val="auto"/>
        </w:rPr>
        <w:t>losses related to the $35.8 billion of loans and leases obtained in the acquisition of People's United on April 1, 2022. Macroeconomic assumptions used to estimate credit losses on loans acquired from People's United were consistent with those used by the Company to estimate credit losses at March 31, 2022. The combined Company allowance for credit losses at April 1, 2022 as a percentage of loans outstanding was 1.42%.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ratio of the allowance for credit losses to total nonaccrual loans at March 31, 2023, March 31, 2022 and December 31,</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2022 was 77%, 69% and 79%,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Other income totaled $587 million in the first quarter of 2023, up from $541 million in the year-earlier quarter. That increase reflects the impact from the acquisition of People's United (including service charges on deposit accounts, credit- related fees and trust income) and higher trust income from legacy operations, offset, in part, by a decline in mortgage banking revenues resulting from lower gains on residential mortgage loans originated for sale and a decrease in residential mortgage servicing income, lower insurance revenues reflecting the sale of MTIA in last year's fourth quarter and a reduced distribution from Bayview Lending Group LLC ("BLG") as compared with the year-earlier quarter. Other income was $682 million in the fourth quarter of 2022. The comparative decrease in the recent quarter was driven by the $136 million gain recorded on the sale of MTIA in the fourth quarter of 2022, partially offset by a $20 million distribution from BLG received in the first quarter of 2023.</w:t>
      </w:r>
    </w:p>
    <w:p>
      <w:pPr>
        <w:spacing w:after="0" w:line="72" w:lineRule="exact"/>
        <w:rPr>
          <w:sz w:val="20"/>
          <w:szCs w:val="20"/>
          <w:color w:val="auto"/>
        </w:rPr>
      </w:pPr>
    </w:p>
    <w:p>
      <w:pPr>
        <w:ind w:right="20" w:firstLine="468"/>
        <w:spacing w:after="0" w:line="256" w:lineRule="auto"/>
        <w:rPr>
          <w:sz w:val="20"/>
          <w:szCs w:val="20"/>
          <w:color w:val="auto"/>
        </w:rPr>
      </w:pPr>
      <w:r>
        <w:rPr>
          <w:rFonts w:ascii="Arial" w:cs="Arial" w:eastAsia="Arial" w:hAnsi="Arial"/>
          <w:sz w:val="18"/>
          <w:szCs w:val="18"/>
          <w:color w:val="auto"/>
        </w:rPr>
        <w:t>Mortgage banking revenues were $85 million in the first quarter of 2023, compared with $109 million in the first quarter of 2022 and $82 million in the fourth quarter of 2022.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2" w:lineRule="exact"/>
        <w:rPr>
          <w:sz w:val="20"/>
          <w:szCs w:val="20"/>
          <w:color w:val="auto"/>
        </w:rPr>
      </w:pPr>
    </w:p>
    <w:p>
      <w:pPr>
        <w:ind w:firstLine="468"/>
        <w:spacing w:after="0" w:line="273" w:lineRule="auto"/>
        <w:rPr>
          <w:sz w:val="20"/>
          <w:szCs w:val="20"/>
          <w:color w:val="auto"/>
        </w:rPr>
      </w:pPr>
      <w:r>
        <w:rPr>
          <w:rFonts w:ascii="Arial" w:cs="Arial" w:eastAsia="Arial" w:hAnsi="Arial"/>
          <w:sz w:val="17"/>
          <w:szCs w:val="17"/>
          <w:color w:val="auto"/>
        </w:rPr>
        <w:t>Residential mortgage banking revenues, consisting of realized gains and losses from sales of residential real estate loans and loan servicing rights, unrealized gains and losses on residential real estate loans held for sale and related commitments, residential real estate loan servicing fees, and other residential real estate loan- related fees and income, were $55 million in the first quarter of 2023, $76 million in the similar quarter of 2022 and $54 million in the fourth quarter of 2022. That income reflects gains associated with residential mortgage loans originated for sale and loan servicing of $3 million and $52 million, respectively, in the recent quarter; $14 million and $62 million, respectively, in the year earlier quarter; and nil and $54 million, respectively in the fourth quarter of 2022.</w:t>
      </w:r>
    </w:p>
    <w:p>
      <w:pPr>
        <w:spacing w:after="0" w:line="58"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Throughout 2022, the Company originated the majority of its residential real estate loans for retention in its loan portfolio rather than for sale. However, in the first quarter of 2023 the Company returned to originating for sale the majority of its newly originated mortgage loans. New commitments to originate residential real estate loans to be sold were approximately $276 million in the first quarter of 2023, compared with $161 million in the year-earlier quarter and $28 million in the fourth quarter of 2022. Loans held for sale that were secured by residential real estate aggregated $152 million at March 31, 2023, $238 million at March 31, 2022 and $32 million at December 31, 2022. Commitments to sell residential real estate loans and commitments to originate residential real estate loans for sale at pre-determined rates totaled $ 284 million and $199 million, respectively, at March 31, 2023, compared with $324 million and $146 million, respectively, at March 31, 2022 and $53 million and $31 million, respectively, at December 31, 2022. Net recognized unrealized gains on residential real estate loans held for sale, commitments to sell loans, and commitments to originate loans for sale were $ 3 million at each of March 31, 2023 and 2022, compared with net recognized unrealized losses of $1 million at December 31, 2022. Changes in net unrealized gains or losses are recorded in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9" w:right="700" w:bottom="1440" w:gutter="0" w:footer="0" w:header="0"/>
        </w:sectPr>
      </w:pPr>
    </w:p>
    <w:bookmarkStart w:id="66" w:name="page67"/>
    <w:bookmarkEnd w:id="66"/>
    <w:p>
      <w:pPr>
        <w:ind w:right="60"/>
        <w:spacing w:after="0" w:line="275" w:lineRule="auto"/>
        <w:rPr>
          <w:sz w:val="20"/>
          <w:szCs w:val="20"/>
          <w:color w:val="auto"/>
        </w:rPr>
      </w:pPr>
      <w:r>
        <w:rPr>
          <w:rFonts w:ascii="Arial" w:cs="Arial" w:eastAsia="Arial" w:hAnsi="Arial"/>
          <w:sz w:val="18"/>
          <w:szCs w:val="18"/>
          <w:color w:val="auto"/>
        </w:rPr>
        <w:t>mortgage banking revenues and resulted in a net increase in revenues of $2 million in the recent quarter compared to net decreases of $7 million in the first quarter of 2022 and less than $1 million in the fourth quarter of 2022.</w:t>
      </w:r>
    </w:p>
    <w:p>
      <w:pPr>
        <w:spacing w:after="0" w:line="54"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Revenues from servicing residential real estate loans for others were $52 million during the quarter ended March 31, 2023, compared with $62 million and $54 million during the three months ended March 31, 2022 and December 31, 2022, respectively. Residential real estate loans serviced for others totaled $139.5 billion at March 31, 2023, $99.6 billion at March 31, 2022 and $118.4 billion at December 31, 2022. Loans sub-serviced for others that were included in residential real estate loans serviced for others were $98.0 billion, $76.6 billion and $96.0 billion at March 31, 2023, March 31, 2022 and December 31, 2022, respectively. Revenues earned for sub-servicing loans totaled $ 32 million during the recent quarter, $42 million in the first quarter of 2022 and $33 million in the fourth quarter of 2022. The decrease in sub-servicing fees in the two most recent quarters reflects lower fees associated with modifying and selling reperforming loans previously repurchased by the holder of the contractual servicing rights. The contractual servicing rights associated with loans sub-serviced by the Company were predominantly held by affiliates of BLG. Information about the Company’s relationship with BLG and its affiliates is included in note 15 of Notes to Financial Statements. Capitalized residential mortgage servicing assets totaled $532 million at March 31, 2023, $208 million at March 31, 2022 and $194 million at December 31, 2022. The increase in capitalized mortgage servicing rights at March 31, 2023 as compared with March 31, 2022 and December 31, 2022 reflects a $350 million purchase of mortgage servicing rights associated with $19.5 billion of residential real estate loans on March 31, 2023. That purchase had no impact on mortgage servicing revenues in the recent quarter.</w:t>
      </w:r>
    </w:p>
    <w:p>
      <w:pPr>
        <w:spacing w:after="0" w:line="78" w:lineRule="exact"/>
        <w:rPr>
          <w:sz w:val="20"/>
          <w:szCs w:val="20"/>
          <w:color w:val="auto"/>
        </w:rPr>
      </w:pPr>
    </w:p>
    <w:p>
      <w:pPr>
        <w:ind w:right="20" w:firstLine="468"/>
        <w:spacing w:after="0" w:line="252" w:lineRule="auto"/>
        <w:rPr>
          <w:sz w:val="20"/>
          <w:szCs w:val="20"/>
          <w:color w:val="auto"/>
        </w:rPr>
      </w:pPr>
      <w:r>
        <w:rPr>
          <w:rFonts w:ascii="Arial" w:cs="Arial" w:eastAsia="Arial" w:hAnsi="Arial"/>
          <w:sz w:val="18"/>
          <w:szCs w:val="18"/>
          <w:color w:val="auto"/>
        </w:rPr>
        <w:t>Commercial mortgage banking revenues totaled $30 million in the first quarter of 2023 compared to $33 million in the first quarter of 2022 and $ 27 million in the fourth quarter of 2022. Included in such amounts were revenues from loan origination and sales activities of $15 million in each of the first quarters of 2023 and 2022, compared with $11 million in the fourth quarter of 2022. Commercial real estate loans originated for sale to other investors were $ 672 million in the recent quarter, compared with $606 million in the first quarter of 2022 and $925 million in the fourth quarter of 2022. Loan servicing revenues totaled $15 million and $18 million in the first quarters of 2023 and 2022, respectively, compared with $16 million in the fourth quarter of 2022. Capitalized commercial mortgage servicing assets were $124 million and $133 million at March 31, 2023 and March 31, 2022, respectively, and $126 million at December 31, 2022. Commercial real estate loans serviced for other investors totaled $26.2 billion at March 31, 2023, $24.0 billion at March 31, 2022 and $26.0 billion at December 31, 2022. Those servicing amounts included $3.8 billion at March 31, 2023, $4.0 billion at March 31, 2022 and $3.9 billion at December 31, 2022 of loan balances for which investors had recourse to the Company if such balances are ultimately uncollectable. Included in commercial real estate loans serviced for others were loans sub-serviced for others of $3.8 billion at each of March 31, 2023 and December 31, 2022, compared with $3.4 billion at March 31, 2022. Commitments to sell commercial real estate loans and commitments to originate commercial real estate loans for sale were $909 million and $588 million, respectively, at March 31, 2023, $538 million and $322 million, respectively, at March 31, 2022 and $480 million and $349 million, respectively, at December 31, 2022. Commercial real estate loans held for sale at March 31, 2023, March 31, 2022 and December 31, 2022 were $321 million, $216 million and $131 million, respectively.</w:t>
      </w:r>
    </w:p>
    <w:p>
      <w:pPr>
        <w:spacing w:after="0" w:line="76" w:lineRule="exact"/>
        <w:rPr>
          <w:sz w:val="20"/>
          <w:szCs w:val="20"/>
          <w:color w:val="auto"/>
        </w:rPr>
      </w:pPr>
    </w:p>
    <w:p>
      <w:pPr>
        <w:ind w:right="180" w:firstLine="468"/>
        <w:spacing w:after="0" w:line="254" w:lineRule="auto"/>
        <w:rPr>
          <w:sz w:val="20"/>
          <w:szCs w:val="20"/>
          <w:color w:val="auto"/>
        </w:rPr>
      </w:pPr>
      <w:r>
        <w:rPr>
          <w:rFonts w:ascii="Arial" w:cs="Arial" w:eastAsia="Arial" w:hAnsi="Arial"/>
          <w:sz w:val="18"/>
          <w:szCs w:val="18"/>
          <w:color w:val="auto"/>
        </w:rPr>
        <w:t>Service charges on deposit accounts were $114 million and $102 million in the first quarters of 2023 and 2022, respectively, compared with $106 million in the fourth quarter of 2022. The People's United acquisition contributed approximately $23 million to service charges on deposit accounts in the recent quarter and $16 million in the fourth quarter of 2022. The lower fees associated with People's United in the fourth quarter of 2022 reflect waivers of certain fees in that quarter following the conversion of customer deposit accounts to the Company's deposit servicing system in September 2022. Excluding the contribution associated with the People's United acquisition, the decrease in the recent quarter as compared with the year-earlier quarter reflects the Company's planned elimination of certain non- sufficient funds fees and overdraft protection transfer charges from linked deposit accounts beginning in the second quarter of 2022.</w:t>
      </w:r>
    </w:p>
    <w:p>
      <w:pPr>
        <w:spacing w:after="0" w:line="72" w:lineRule="exact"/>
        <w:rPr>
          <w:sz w:val="20"/>
          <w:szCs w:val="20"/>
          <w:color w:val="auto"/>
        </w:rPr>
      </w:pPr>
    </w:p>
    <w:p>
      <w:pPr>
        <w:ind w:right="160" w:firstLine="468"/>
        <w:spacing w:after="0" w:line="270" w:lineRule="auto"/>
        <w:rPr>
          <w:sz w:val="20"/>
          <w:szCs w:val="20"/>
          <w:color w:val="auto"/>
        </w:rPr>
      </w:pPr>
      <w:r>
        <w:rPr>
          <w:rFonts w:ascii="Arial" w:cs="Arial" w:eastAsia="Arial" w:hAnsi="Arial"/>
          <w:sz w:val="17"/>
          <w:szCs w:val="17"/>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w:t>
      </w:r>
    </w:p>
    <w:p>
      <w:pPr>
        <w:ind w:left="260" w:hanging="254"/>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independent trustees to hold retirement plan and other assets; and</w:t>
      </w:r>
    </w:p>
    <w:p>
      <w:pPr>
        <w:spacing w:after="0" w:line="176" w:lineRule="exact"/>
        <w:rPr>
          <w:rFonts w:ascii="Arial" w:cs="Arial" w:eastAsia="Arial" w:hAnsi="Arial"/>
          <w:sz w:val="18"/>
          <w:szCs w:val="18"/>
          <w:color w:val="auto"/>
        </w:rPr>
      </w:pPr>
    </w:p>
    <w:p>
      <w:pPr>
        <w:ind w:left="5200" w:hanging="93"/>
        <w:spacing w:after="0"/>
        <w:tabs>
          <w:tab w:leader="none" w:pos="5200" w:val="left"/>
        </w:tabs>
        <w:numPr>
          <w:ilvl w:val="1"/>
          <w:numId w:val="7"/>
        </w:numPr>
        <w:rPr>
          <w:rFonts w:ascii="Arial" w:cs="Arial" w:eastAsia="Arial" w:hAnsi="Arial"/>
          <w:sz w:val="16"/>
          <w:szCs w:val="16"/>
          <w:color w:val="auto"/>
        </w:rPr>
      </w:pPr>
      <w:r>
        <w:rPr>
          <w:rFonts w:ascii="Arial" w:cs="Arial" w:eastAsia="Arial" w:hAnsi="Arial"/>
          <w:sz w:val="16"/>
          <w:szCs w:val="16"/>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67" w:name="page68"/>
    <w:bookmarkEnd w:id="67"/>
    <w:p>
      <w:pPr>
        <w:ind w:firstLine="6"/>
        <w:spacing w:after="0" w:line="252" w:lineRule="auto"/>
        <w:tabs>
          <w:tab w:leader="none" w:pos="289" w:val="left"/>
        </w:tabs>
        <w:numPr>
          <w:ilvl w:val="0"/>
          <w:numId w:val="8"/>
        </w:numPr>
        <w:rPr>
          <w:rFonts w:ascii="Arial" w:cs="Arial" w:eastAsia="Arial" w:hAnsi="Arial"/>
          <w:sz w:val="18"/>
          <w:szCs w:val="18"/>
          <w:color w:val="auto"/>
        </w:rPr>
      </w:pPr>
      <w:r>
        <w:rPr>
          <w:rFonts w:ascii="Arial" w:cs="Arial" w:eastAsia="Arial" w:hAnsi="Arial"/>
          <w:sz w:val="18"/>
          <w:szCs w:val="18"/>
          <w:color w:val="auto"/>
        </w:rPr>
        <w:t>need investment and cash management services. The Wealth Advisory Services (“WAS”) business offers personal trust, planning, fiduciary, asset management, family office and other services designed to help high net worth individuals and families grow, preserve and transfer wealth. Trust income aggregated $194 million in the first quarter of 2023, compared with $169 million in the year-earlier quarter and $195 million in the fourth quarter of 2022. Trust income contributed from the acquisition of People's United totaled approximately $10 million in each of the recent quarter and the fourth quarter of 2022. Revenues associated with the ICS business were $120 million during the quarter ended March 31, 2023 and $119 million during the quarter ended December 31, 2022, compared with $100 million during the quarter ended March 31, 2022. The higher revenues in the recent quarter as compared with the prior year first quarter were predominantly attributable to reduced fee waivers of $12 million resulting from higher rates on money market fund accounts, incremental fees from sales and People's United-related revenues. Revenues attributable to WAS totaled approximately $73 million in each of the three-month periods ended March 31, 2023 and December 31, 2022, including $8 million and $9 million of People's United-related fees, respectively, compared with $68 million during the quarter ended March 31, 2022. Trust assets under management were $175.6 billion, $160.1 billion and $165.2 billion at March 31, 2023, March 31, 2022 and December 31, 2022, respectively. Trust assets under management include the Company’s proprietary mutual funds’ assets of $14.1 billion, $12.3 billion and $13.0 billion at March 31, 2023, March 31, 2022 and December 31, 2022, respectively. Additional trust income from investment management activities comprised of fees earned from retail customer investment accounts was $1 million in each of the first quarter of 2023 and the corresponding quarter of 2022, compared with $3 million in the fourth quarter of 2022.</w:t>
      </w:r>
    </w:p>
    <w:p>
      <w:pPr>
        <w:spacing w:after="0" w:line="76" w:lineRule="exact"/>
        <w:rPr>
          <w:sz w:val="20"/>
          <w:szCs w:val="20"/>
          <w:color w:val="auto"/>
        </w:rPr>
      </w:pPr>
    </w:p>
    <w:p>
      <w:pPr>
        <w:ind w:right="20" w:firstLine="468"/>
        <w:spacing w:after="0" w:line="256" w:lineRule="auto"/>
        <w:rPr>
          <w:sz w:val="20"/>
          <w:szCs w:val="20"/>
          <w:color w:val="auto"/>
        </w:rPr>
      </w:pPr>
      <w:r>
        <w:rPr>
          <w:rFonts w:ascii="Arial" w:cs="Arial" w:eastAsia="Arial" w:hAnsi="Arial"/>
          <w:sz w:val="18"/>
          <w:szCs w:val="18"/>
          <w:color w:val="auto"/>
        </w:rPr>
        <w:t>In April 2023 the Company sold its Collective Investment Trust business to a private equity firm. That sale will result in the recognition of a pre-tax gain of approximately $225 million in the second quarter of 2023. Revenues associated with the sold business and included in ICS trust income revenues described herein totaled approximately $45 million in the first quarter of 2023 and $42 million in each of the first and fourth quarters of 2022. After considering expenses, the results of operations of that business were not material to M&amp;T's net income in each of those periods.</w:t>
      </w:r>
    </w:p>
    <w:p>
      <w:pPr>
        <w:spacing w:after="0" w:line="72" w:lineRule="exact"/>
        <w:rPr>
          <w:sz w:val="20"/>
          <w:szCs w:val="20"/>
          <w:color w:val="auto"/>
        </w:rPr>
      </w:pPr>
    </w:p>
    <w:p>
      <w:pPr>
        <w:ind w:firstLine="468"/>
        <w:spacing w:after="0" w:line="254" w:lineRule="auto"/>
        <w:rPr>
          <w:sz w:val="20"/>
          <w:szCs w:val="20"/>
          <w:color w:val="auto"/>
        </w:rPr>
      </w:pPr>
      <w:r>
        <w:rPr>
          <w:rFonts w:ascii="Arial" w:cs="Arial" w:eastAsia="Arial" w:hAnsi="Arial"/>
          <w:sz w:val="18"/>
          <w:szCs w:val="18"/>
          <w:color w:val="auto"/>
        </w:rPr>
        <w:t>Brokerage services income, which includes revenues from the sale of mutual funds and annuities, securities brokerage fees and select investment products of LPL Financial totaled $24 million in the first quarter of 2023, $20 million in the first quarter of 2022 and $22 million in the fourth quarter of 2022. The acquisition of People's United contributed approximately $4 million and $3 million to brokerage services income in the first quarter of 2023 and fourth quarter of 2022, respectively. Trading account and other non - hedging derivative gains were $12 million, $5 million and $14 million during the quarters ended March 31, 2023, March 31, 2022 and December 31, 2022, respectively. Information about the notional amount of interest rate, foreign exchange and other contracts entered into by the Company is included in note 10 of Notes to Financial Statements and herein under the heading “Taxable-equivalent Net Interest Income.”</w:t>
      </w:r>
    </w:p>
    <w:p>
      <w:pPr>
        <w:spacing w:after="0" w:line="72" w:lineRule="exact"/>
        <w:rPr>
          <w:sz w:val="20"/>
          <w:szCs w:val="20"/>
          <w:color w:val="auto"/>
        </w:rPr>
      </w:pPr>
    </w:p>
    <w:p>
      <w:pPr>
        <w:jc w:val="both"/>
        <w:ind w:right="180" w:firstLine="468"/>
        <w:spacing w:after="0" w:line="263" w:lineRule="auto"/>
        <w:rPr>
          <w:sz w:val="20"/>
          <w:szCs w:val="20"/>
          <w:color w:val="auto"/>
        </w:rPr>
      </w:pPr>
      <w:r>
        <w:rPr>
          <w:rFonts w:ascii="Arial" w:cs="Arial" w:eastAsia="Arial" w:hAnsi="Arial"/>
          <w:sz w:val="18"/>
          <w:szCs w:val="18"/>
          <w:color w:val="auto"/>
        </w:rPr>
        <w:t>The Company recognized net losses on investment securities of less than $1 million in each of the first quarters of 2023 and 2022, compared with net losses of $4 million in the fourth quarter of 2022. The net losses in each period included unrealized gains or losses on investments in Fannie Mae and Freddie Mac preferred stock and other equity securities.</w:t>
      </w:r>
    </w:p>
    <w:p>
      <w:pPr>
        <w:spacing w:after="0" w:line="64"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Other revenues from operations were $160 million in the first quarter of 2023, compared with $136 million in the corresponding 2022 period and $ 267 million in the fourth quarter of 2022. Other revenues from operations associated with the People's United acquisition totaled $ 31 million in each of the first quarter of 2023 and fourth quarter of 2022. A $136 million gain on the sale of MTIA was recorded in the fourth quarter of 2022. Also included in other revenues from operations were the following significant components. Letter of credit and other credit- related fees aggregated $43 million in the recent quarter, compared with $27 million in the year-earlier quarter and $46 million in the fourth quarter of 2022. The higher revenues in the two most recent quarters as compared with 2022's first quarter reflect both higher loan syndication fees and People's United-related revenues. Reflecting increased customer activity and incremental revenues associated with the People's United acquisition, revenues from merchant discount and credit card fees were $39 million in the recent quarter, $45 million in the fourth quarter of 2022 and $34 million in the year-earlier quarter. The recent quarter decline in merchant discount and credit card fees from the fourth quarter of 2022 is reflective of seasonal declines in customer activity. Tax -exempt income from bank owned life insurance, which includes changes in the cash surrender value of life insurance policies and benefits received, totaled $13 million in the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839" w:right="720" w:bottom="1440" w:gutter="0" w:footer="0" w:header="0"/>
        </w:sectPr>
      </w:pPr>
    </w:p>
    <w:bookmarkStart w:id="68" w:name="page69"/>
    <w:bookmarkEnd w:id="68"/>
    <w:p>
      <w:pPr>
        <w:ind w:right="80"/>
        <w:spacing w:after="0" w:line="256" w:lineRule="auto"/>
        <w:rPr>
          <w:sz w:val="20"/>
          <w:szCs w:val="20"/>
          <w:color w:val="auto"/>
        </w:rPr>
      </w:pPr>
      <w:r>
        <w:rPr>
          <w:rFonts w:ascii="Arial" w:cs="Arial" w:eastAsia="Arial" w:hAnsi="Arial"/>
          <w:sz w:val="18"/>
          <w:szCs w:val="18"/>
          <w:color w:val="auto"/>
        </w:rPr>
        <w:t>first quarter of 2023, $10 million in the first quarter of 2022 and $8 million in the fourth quarter of 2022. Insurance- related sales commissions and other revenues declined to $4 million in the quarter ended March 31, 2023 and $6 million in the fourth quarter of 2022 from $ 15 million in the first quarter of 2022 due to the sale of MTIA. M&amp;T received distributions as a result of its investment in BLG of $20 million and $30 million in the first quarters of 2023 and 2022, respectively. There was no similar distribution in the fourth quarter of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Other expense totaled $1.359 billion in the first quarter of 2023, compared with $960 million in the year-earlier quarter and $1.408 billion in the fourth quarter of 2022. Included in those amounts are expenses considered to be “nonoperating” in nature consisting of amortization of core deposit and other intangible assets of $17 million in the recent quarter, $1 million in the first quarter of 2022 and $18 million in the final 2022 quarter, and merger-related expenses of $17 million and $45 million in the first and fourth quarters of 2022, respectively. There were no merger- related expenses during the first quarter of 2023. Exclusive of those nonoperating expenses, noninterest operating expenses were $1.342 billion in the recent quarter, compared with $941 million in the year-earlier quarter and $1.346 billion in the fourth quarter of 2022. Operations acquired from People's United were the largest contributor to the rise in noninterest operating expenses in the first quarter of 2023 and fourth quarter of 2022 as compared with the first quarter of 2022. Other factors contributing to the higher level of operating expenses in 2023’s first quarter as compared with the year-earlier quarter were higher salaries and employee benefits expense, including incentive compensation, a rise in outside data processing and software costs, advertising and marketing expenses, FDIC assessments and professional services. As compared with the fourth quarter of 2022, the decline in the recent quarter was predominantly attributed to a $135 million contribution to The M&amp;T Charitable Foundation recorded in the fourth quarter of 2022, partially offset by higher salaries and employee benefits expense, including seasonally higher stock-based compensation, payroll-related taxes and other employee benefits expense. Table 2 provides a reconciliation of other expense to noninterest operating expense.</w:t>
      </w:r>
    </w:p>
    <w:p>
      <w:pPr>
        <w:spacing w:after="0" w:line="77" w:lineRule="exact"/>
        <w:rPr>
          <w:sz w:val="20"/>
          <w:szCs w:val="20"/>
          <w:color w:val="auto"/>
        </w:rPr>
      </w:pPr>
    </w:p>
    <w:p>
      <w:pPr>
        <w:ind w:right="20" w:firstLine="468"/>
        <w:spacing w:after="0" w:line="252" w:lineRule="auto"/>
        <w:rPr>
          <w:sz w:val="20"/>
          <w:szCs w:val="20"/>
          <w:color w:val="auto"/>
        </w:rPr>
      </w:pPr>
      <w:r>
        <w:rPr>
          <w:rFonts w:ascii="Arial" w:cs="Arial" w:eastAsia="Arial" w:hAnsi="Arial"/>
          <w:sz w:val="18"/>
          <w:szCs w:val="18"/>
          <w:color w:val="auto"/>
        </w:rPr>
        <w:t>Salaries and employee benefits expense totaled $808 million in the first quarter of 2023, compared with $578 million in the year-earlier quarter and $697 million in the fourth quarter of 2022. Excluding the nonoperating expense items described earlier, salaries and employee benefits expense totaled $694 million in the fourth quarter of 2022. The higher operating expense in the recent quarter as compared with the first quarter of 2022 reflects higher employee staffing levels, including the addition of People's United employees, as well as higher salaries from market-rate adjustments and merit increases, and includes approximately $99 million of seasonally higher stock-based compensation, medical plan costs, payroll-related taxes and unemployment insurance. Those seasonally higher expenses were approximately $74 million in the year-earlier quarter. In addition to the aforementioned seasonal costs, higher salaries and employee benefits expenses in the recent quarter as compared with the fourth quarter of 2022 reflect merit increases and a higher employee staffing level, partially offset by lower incentive compensation. The Company, in accordance with GAAP, has accelerated the recognition of compensation costs for stock-based awards. As a result, stock-based compensation expense during the first quarters of 2023 and 2022 included $41 million and $36 million, respectively,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$62 million and $50 million in the three-month periods ended March 31, 2023 and March 31, 2022, respectively, and $17 million in the three-month period ended December 31, 2022. The number of full-time equivalent employees was 23,004 at March 31, 2023, compared with 17,457 and 22,509 at March 31, 2022 and December 31, 2022, respectively. The increase in staffing levels since March 31, 2022 was predominantly the result of the acquisition of People's United.</w:t>
      </w:r>
    </w:p>
    <w:p>
      <w:pPr>
        <w:spacing w:after="0" w:line="74" w:lineRule="exact"/>
        <w:rPr>
          <w:sz w:val="20"/>
          <w:szCs w:val="20"/>
          <w:color w:val="auto"/>
        </w:rPr>
      </w:pPr>
    </w:p>
    <w:p>
      <w:pPr>
        <w:ind w:right="100" w:firstLine="468"/>
        <w:spacing w:after="0" w:line="255" w:lineRule="auto"/>
        <w:rPr>
          <w:sz w:val="20"/>
          <w:szCs w:val="20"/>
          <w:color w:val="auto"/>
        </w:rPr>
      </w:pPr>
      <w:r>
        <w:rPr>
          <w:rFonts w:ascii="Arial" w:cs="Arial" w:eastAsia="Arial" w:hAnsi="Arial"/>
          <w:sz w:val="18"/>
          <w:szCs w:val="18"/>
          <w:color w:val="auto"/>
        </w:rPr>
        <w:t>Excluding the nonoperating expense items described earlier from each quarter, nonpersonnel operating expenses were $534 million, $364 million and $652 million in the quarters ended March 31, 2023, March 31, 2022 and December 31, 2022, respectively. The majority of the increase in the recent quarter as compared to the first quarter of 2022 can be attributed to People's United-related nonpersonnel operating expenses. Other factors contributing to the year-over-year increase were higher costs for professional services, outside data processing and software, advertising and marketing expenses, FDIC assessments applicable to the banking industry, and check fraud losses. The decline in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839" w:right="720" w:bottom="1440" w:gutter="0" w:footer="0" w:header="0"/>
        </w:sectPr>
      </w:pPr>
    </w:p>
    <w:bookmarkStart w:id="69" w:name="page70"/>
    <w:bookmarkEnd w:id="69"/>
    <w:p>
      <w:pPr>
        <w:ind w:right="400"/>
        <w:spacing w:after="0" w:line="275" w:lineRule="auto"/>
        <w:rPr>
          <w:sz w:val="20"/>
          <w:szCs w:val="20"/>
          <w:color w:val="auto"/>
        </w:rPr>
      </w:pPr>
      <w:r>
        <w:rPr>
          <w:rFonts w:ascii="Arial" w:cs="Arial" w:eastAsia="Arial" w:hAnsi="Arial"/>
          <w:sz w:val="18"/>
          <w:szCs w:val="18"/>
          <w:color w:val="auto"/>
        </w:rPr>
        <w:t>non-personnel operating expenses in 2023’s first quarter as compared with 2022’s fourth quarter primarily reflects a $135 million contribution to The M&amp;T Charitable Foundation recorded in the final quarter of 2022.</w:t>
      </w:r>
    </w:p>
    <w:p>
      <w:pPr>
        <w:spacing w:after="0" w:line="54" w:lineRule="exact"/>
        <w:rPr>
          <w:sz w:val="20"/>
          <w:szCs w:val="20"/>
          <w:color w:val="auto"/>
        </w:rPr>
      </w:pPr>
    </w:p>
    <w:p>
      <w:pPr>
        <w:ind w:right="340" w:firstLine="468"/>
        <w:spacing w:after="0" w:line="259" w:lineRule="auto"/>
        <w:rPr>
          <w:sz w:val="20"/>
          <w:szCs w:val="20"/>
          <w:color w:val="auto"/>
        </w:rPr>
      </w:pPr>
      <w:r>
        <w:rPr>
          <w:rFonts w:ascii="Arial" w:cs="Arial" w:eastAsia="Arial" w:hAnsi="Arial"/>
          <w:sz w:val="18"/>
          <w:szCs w:val="18"/>
          <w:color w:val="auto"/>
        </w:rPr>
        <w:t>The efficiency ratio, or noninterest operating expenses divided by the sum of taxable-equivalent net interest income and noninterest income (exclusive of gains and losses from bank investment securities), measures the relationship of noninterest operating expenses to revenues. The Company’s efficiency ratio was 55.5% during the recent quarter, compared with 64.9% and 53.3% in the first and fourth quarters of 2022,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Income tax expense was $ 225 million in the first quarter of 2023, compared with $113 million in the year-earlier quarter and $245 million in the fourth quarter of 2022. The effective tax rates were 24.2%, 23.8% and 24.3% for the quarters ended March 31, 2023, March 31, 2022 and December 31, 2022, respectively.</w:t>
      </w:r>
    </w:p>
    <w:p>
      <w:pPr>
        <w:spacing w:after="0" w:line="64"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color w:val="auto"/>
        </w:rPr>
        <w:t>The effective tax rate is affected by the level of income earned that is exempt from tax relative to the overall level of pre-tax income, the amount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1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Shareholders’ equity was $25.4 billion at March 31, 2023, representing 12.50% of total assets, compared with $17.9 billion or 11.93% a year earlier and $25.3 billion or 12.61% at December 31, 2022. The increase in shareholders' equity at the two most recent quarter ends as compared with March 31, 2022 reflects the issuance of 50,325,004 M&amp;T common shares and other common equity consideration totaling $8.4 billion for the acquisition of People's United and the conversion of People's United preferred stock into 10,000,000 shares of Series H Perpetual Fixed-to-Floating Rate Non-cumulative Preferred Stock of M&amp;T ("Series H Preferred Stock") amounting to $261 million. Included in shareholders’ equity was preferred stock with financial statement carrying values of $2.01 billion at March 31, 2023 and December 31, 2022, compared with $1.75 billion at March 31, 2022.</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Common shareholders’ equity was $23.4 billion, or $140.88 per share, at March 31, 2023, compared with $16.1 billion,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$124.93 per share, a year earlier and $23.3 billion, or $137.68 per share, at December 31, 2022. Tangible equity per common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excludes goodwill and core deposit and other intangible assets and applicable deferred tax balances, was $88.81 at the end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recent quarter, compared with $89.33 at March 31, 2022 and $86.59 at December 31, 2022. The Company’s ratio of tangible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equity to tangible assets was 7.58% at March 31, 2023, compared with 7.94% a year earlier and 7.63% at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Reconciliations of total common shareholders’ equity and tangible common equity and total assets and tangible assets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of those dates are presented in table 2.</w:t>
      </w:r>
    </w:p>
    <w:p>
      <w:pPr>
        <w:spacing w:after="0" w:line="93" w:lineRule="exact"/>
        <w:rPr>
          <w:sz w:val="20"/>
          <w:szCs w:val="20"/>
          <w:color w:val="auto"/>
        </w:rPr>
      </w:pPr>
    </w:p>
    <w:p>
      <w:pPr>
        <w:ind w:right="60" w:firstLine="468"/>
        <w:spacing w:after="0" w:line="253" w:lineRule="auto"/>
        <w:rPr>
          <w:sz w:val="20"/>
          <w:szCs w:val="20"/>
          <w:color w:val="auto"/>
        </w:rPr>
      </w:pPr>
      <w:r>
        <w:rPr>
          <w:rFonts w:ascii="Arial" w:cs="Arial" w:eastAsia="Arial" w:hAnsi="Arial"/>
          <w:sz w:val="18"/>
          <w:szCs w:val="18"/>
          <w:color w:val="auto"/>
        </w:rPr>
        <w:t>Shareholders’ equity reflects accumulated other comprehensive income or loss, which includes the net after- 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$264 million or $1.59 per common share at March 31, 2023, $59 million or $.46 per common share at March 31, 2022 and $329 million, or $1.94 per common share, at December 31, 2022. Changes in unrealized gains and losses on investment securities are predominantly reflective of the impact of changes in interest rates on the values of such securities. Information about unrealized gains and losses as of March 31, 2023 and December 31, 2022 is included in note 3 of Notes to Financial Statements.</w:t>
      </w:r>
    </w:p>
    <w:p>
      <w:pPr>
        <w:spacing w:after="0" w:line="75" w:lineRule="exact"/>
        <w:rPr>
          <w:sz w:val="20"/>
          <w:szCs w:val="20"/>
          <w:color w:val="auto"/>
        </w:rPr>
      </w:pPr>
    </w:p>
    <w:p>
      <w:pPr>
        <w:ind w:right="260" w:firstLine="468"/>
        <w:spacing w:after="0" w:line="275" w:lineRule="auto"/>
        <w:rPr>
          <w:sz w:val="20"/>
          <w:szCs w:val="20"/>
          <w:color w:val="auto"/>
        </w:rPr>
      </w:pPr>
      <w:r>
        <w:rPr>
          <w:rFonts w:ascii="Arial" w:cs="Arial" w:eastAsia="Arial" w:hAnsi="Arial"/>
          <w:sz w:val="18"/>
          <w:szCs w:val="18"/>
          <w:color w:val="auto"/>
        </w:rPr>
        <w:t>Reflected in the carrying amount of available-for- sale investment securities at March 31, 2023 were pre-tax effect unrealized gains of $3 million on securities with an amortized cost of $386 million and pre-tax effect unrealized losses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70" w:name="page71"/>
    <w:bookmarkEnd w:id="70"/>
    <w:p>
      <w:pPr>
        <w:ind w:right="760"/>
        <w:spacing w:after="0" w:line="275" w:lineRule="auto"/>
        <w:rPr>
          <w:sz w:val="20"/>
          <w:szCs w:val="20"/>
          <w:color w:val="auto"/>
        </w:rPr>
      </w:pPr>
      <w:r>
        <w:rPr>
          <w:rFonts w:ascii="Arial" w:cs="Arial" w:eastAsia="Arial" w:hAnsi="Arial"/>
          <w:sz w:val="18"/>
          <w:szCs w:val="18"/>
          <w:color w:val="auto"/>
        </w:rPr>
        <w:t>of $358 million on securities with an amortized cost of $11.0 billion. Information concerning the Company’s fair valuations of investment securities is provided in notes 3 and 12 of Notes to Financial Statements.</w:t>
      </w:r>
    </w:p>
    <w:p>
      <w:pPr>
        <w:spacing w:after="0" w:line="54" w:lineRule="exact"/>
        <w:rPr>
          <w:sz w:val="20"/>
          <w:szCs w:val="20"/>
          <w:color w:val="auto"/>
        </w:rPr>
      </w:pPr>
    </w:p>
    <w:p>
      <w:pPr>
        <w:ind w:right="20" w:firstLine="468"/>
        <w:spacing w:after="0" w:line="253" w:lineRule="auto"/>
        <w:rPr>
          <w:sz w:val="20"/>
          <w:szCs w:val="20"/>
          <w:color w:val="auto"/>
        </w:rPr>
      </w:pPr>
      <w:r>
        <w:rPr>
          <w:rFonts w:ascii="Arial" w:cs="Arial" w:eastAsia="Arial" w:hAnsi="Arial"/>
          <w:sz w:val="18"/>
          <w:szCs w:val="18"/>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 As of March 31, 2023, based on a review of each of the securities in the available- for- sale investment securities portfolio, the Company concluded that it expected to realize the amortized cost basis of each security. As of March 31, 2023,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p>
    <w:p>
      <w:pPr>
        <w:spacing w:after="0" w:line="75"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Accounting guidance requires investment securities held to maturity to be presented at their net carrying value that is expected to be collected over their contractual term. The Company estimated no material credit losses for its investment securities classified as held-to-maturity at March 31, 2023 and December 31, 2022. The amortized cost basis of obligations of states and political subdivisions in the held-to-maturity portfolio totaled $2.6 billion at each of the two most recent quarters. At March 31, 2023 and December 31, 2022, the Company had in its held-to-maturity portfolio privately issued mortgage-backed securities with an amortized cost basis of $48 million and $50 million, respectively, and a fair value of $50 million and $51 million, respectively. At March 31, 2023, 81% of those mortgage-backed securities were in the most senior tranche of the securitization structure. The mortgage-backed securities are generally collateralized by residential and small-balance commercial real estate loans originated between 2004 and 2008. After considering the repayment structure and estimated future collateral cash flows of each individual bond, the Company concluded that as of March 31, 2023,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81" w:lineRule="exact"/>
        <w:rPr>
          <w:sz w:val="20"/>
          <w:szCs w:val="20"/>
          <w:color w:val="auto"/>
        </w:rPr>
      </w:pPr>
    </w:p>
    <w:p>
      <w:pPr>
        <w:jc w:val="both"/>
        <w:ind w:right="100" w:firstLine="468"/>
        <w:spacing w:after="0" w:line="263"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$204 million, or $1.23 per common share, at March 31, 2023, $265 million or $2.05 per common share, at March 31, 2022 and $202 million or $1.19 per common share, at December 31, 2022.</w:t>
      </w:r>
    </w:p>
    <w:p>
      <w:pPr>
        <w:spacing w:after="0" w:line="64" w:lineRule="exact"/>
        <w:rPr>
          <w:sz w:val="20"/>
          <w:szCs w:val="20"/>
          <w:color w:val="auto"/>
        </w:rPr>
      </w:pPr>
    </w:p>
    <w:p>
      <w:pPr>
        <w:ind w:right="140" w:firstLine="468"/>
        <w:spacing w:after="0" w:line="259" w:lineRule="auto"/>
        <w:rPr>
          <w:sz w:val="20"/>
          <w:szCs w:val="20"/>
          <w:color w:val="auto"/>
        </w:rPr>
      </w:pPr>
      <w:r>
        <w:rPr>
          <w:rFonts w:ascii="Arial" w:cs="Arial" w:eastAsia="Arial" w:hAnsi="Arial"/>
          <w:sz w:val="18"/>
          <w:szCs w:val="18"/>
          <w:color w:val="auto"/>
        </w:rPr>
        <w:t>On July 19, 2022, M&amp;T's Board of Directors authorized a stock purchase program to repurchase up to $3.0 billion of common shares subject to all applicable regulatory reporting limitations. M&amp;T repurchased 3,838,157 shares of its common stock for a total cost of $ 600 million, including the share repurchase excise tax, under the program in the first quarter of 2023 and 3,664,887 shares for $600 million in the fourth quarter of 2022. No share repurchases occurred in the first quarter of 2022.</w:t>
      </w:r>
    </w:p>
    <w:p>
      <w:pPr>
        <w:spacing w:after="0" w:line="67"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Cash dividends declared on M&amp;T's common stock totaled $219 million in the recent quarter, compared with $206 million and $156 million in the quarters ended December 31, 2022 and March 31, 2022, respectively. During the first quarter of 2023, M&amp;T's Board of Directors authorized an increase in the quarterly common stock dividend to $1.30 per common share from the previous rate of $1.20 per common share. Cash dividends declared on preferred stock aggregated $25 million in each of the two most recent quarters and $22 million in the first quarter of 2022.</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71" w:name="page72"/>
    <w:bookmarkEnd w:id="71"/>
    <w:p>
      <w:pPr>
        <w:ind w:right="280" w:firstLine="528"/>
        <w:spacing w:after="0" w:line="275" w:lineRule="auto"/>
        <w:rPr>
          <w:sz w:val="20"/>
          <w:szCs w:val="20"/>
          <w:color w:val="auto"/>
        </w:rPr>
      </w:pPr>
      <w:r>
        <w:rPr>
          <w:rFonts w:ascii="Arial" w:cs="Arial" w:eastAsia="Arial" w:hAnsi="Arial"/>
          <w:sz w:val="18"/>
          <w:szCs w:val="18"/>
          <w:color w:val="auto"/>
        </w:rPr>
        <w:t>M&amp;T and its subsidiary banks are required to comply with applicable capital adequacy standards established by the federal banking agencies. Pursuant to those regulations, the minimum capital ratios are as follows: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•4.5% Common equity Tier 1 (“CET1”) to risk-weighted assets (each as defined in the capital regulations);</w:t>
      </w:r>
    </w:p>
    <w:p>
      <w:pPr>
        <w:spacing w:after="0" w:line="105" w:lineRule="exact"/>
        <w:rPr>
          <w:sz w:val="20"/>
          <w:szCs w:val="20"/>
          <w:color w:val="auto"/>
        </w:rPr>
      </w:pPr>
    </w:p>
    <w:p>
      <w:pPr>
        <w:ind w:left="360" w:right="860"/>
        <w:spacing w:after="0" w:line="275" w:lineRule="auto"/>
        <w:rPr>
          <w:sz w:val="20"/>
          <w:szCs w:val="20"/>
          <w:color w:val="auto"/>
        </w:rPr>
      </w:pPr>
      <w:r>
        <w:rPr>
          <w:rFonts w:ascii="Arial" w:cs="Arial" w:eastAsia="Arial" w:hAnsi="Arial"/>
          <w:sz w:val="18"/>
          <w:szCs w:val="18"/>
          <w:color w:val="auto"/>
        </w:rPr>
        <w:t>•6.0% Tier 1 capital (that is, CET1 plus additional Tier 1 capital) to risk-weighted assets (each as defined in the capital regulations);</w:t>
      </w:r>
    </w:p>
    <w:p>
      <w:pPr>
        <w:spacing w:after="0" w:line="54" w:lineRule="exact"/>
        <w:rPr>
          <w:sz w:val="20"/>
          <w:szCs w:val="20"/>
          <w:color w:val="auto"/>
        </w:rPr>
      </w:pPr>
    </w:p>
    <w:p>
      <w:pPr>
        <w:ind w:left="360" w:right="120"/>
        <w:spacing w:after="0" w:line="275" w:lineRule="auto"/>
        <w:rPr>
          <w:sz w:val="20"/>
          <w:szCs w:val="20"/>
          <w:color w:val="auto"/>
        </w:rPr>
      </w:pPr>
      <w:r>
        <w:rPr>
          <w:rFonts w:ascii="Arial" w:cs="Arial" w:eastAsia="Arial" w:hAnsi="Arial"/>
          <w:sz w:val="18"/>
          <w:szCs w:val="18"/>
          <w:color w:val="auto"/>
        </w:rPr>
        <w:t>•8.0% Total capital (that is, Tier 1 capital plus Tier 2 capital) to risk-weighted assets (each as defined in the capital regulations); and</w:t>
      </w:r>
    </w:p>
    <w:p>
      <w:pPr>
        <w:spacing w:after="0" w:line="54" w:lineRule="exact"/>
        <w:rPr>
          <w:sz w:val="20"/>
          <w:szCs w:val="20"/>
          <w:color w:val="auto"/>
        </w:rPr>
      </w:pPr>
    </w:p>
    <w:p>
      <w:pPr>
        <w:ind w:left="360" w:right="260"/>
        <w:spacing w:after="0" w:line="275" w:lineRule="auto"/>
        <w:rPr>
          <w:sz w:val="20"/>
          <w:szCs w:val="20"/>
          <w:color w:val="auto"/>
        </w:rPr>
      </w:pPr>
      <w:r>
        <w:rPr>
          <w:rFonts w:ascii="Arial" w:cs="Arial" w:eastAsia="Arial" w:hAnsi="Arial"/>
          <w:sz w:val="18"/>
          <w:szCs w:val="18"/>
          <w:color w:val="auto"/>
        </w:rPr>
        <w:t>•4.0% Tier 1 capital to average consolidated assets as reported on consolidated financial statements (known as the “leverage ratio”), as defined in the capital regulations.</w:t>
      </w:r>
    </w:p>
    <w:p>
      <w:pPr>
        <w:spacing w:after="0" w:line="54"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Capital regulations require buffers in addition to the minimum risk-based capital ratios noted above. M&amp;T is subject to a stress capital buffer requirement that is determined through the Federal Reserve’s supervisory stress tests and M&amp;T’s bank subsidiaries are subject to a 2.5% capital conservation buffer requirement. The buffer requirement must be composed entirely of CET1. Based on the Federal Reserve's most recent supervisory stress tests M&amp;T's stress capital buffer is 4.7%.</w:t>
      </w:r>
    </w:p>
    <w:p>
      <w:pPr>
        <w:spacing w:after="0" w:line="67" w:lineRule="exact"/>
        <w:rPr>
          <w:sz w:val="20"/>
          <w:szCs w:val="20"/>
          <w:color w:val="auto"/>
        </w:rPr>
      </w:pPr>
    </w:p>
    <w:p>
      <w:pPr>
        <w:ind w:right="60" w:firstLine="468"/>
        <w:spacing w:after="0" w:line="275" w:lineRule="auto"/>
        <w:rPr>
          <w:sz w:val="20"/>
          <w:szCs w:val="20"/>
          <w:color w:val="auto"/>
        </w:rPr>
      </w:pPr>
      <w:r>
        <w:rPr>
          <w:rFonts w:ascii="Arial" w:cs="Arial" w:eastAsia="Arial" w:hAnsi="Arial"/>
          <w:sz w:val="18"/>
          <w:szCs w:val="18"/>
          <w:color w:val="auto"/>
        </w:rPr>
        <w:t>The regulatory capital ratios of the Company and its bank subsidiaries, M&amp;T Bank and Wilmington Trust, N.A., as of March 31, 2023 are presented in the accompanying table.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3820" w:type="dxa"/>
            <w:vAlign w:val="bottom"/>
          </w:tcPr>
          <w:p>
            <w:pPr>
              <w:jc w:val="right"/>
              <w:ind w:right="922"/>
              <w:spacing w:after="0"/>
              <w:rPr>
                <w:sz w:val="20"/>
                <w:szCs w:val="20"/>
                <w:color w:val="auto"/>
              </w:rPr>
            </w:pPr>
            <w:r>
              <w:rPr>
                <w:rFonts w:ascii="Arial" w:cs="Arial" w:eastAsia="Arial" w:hAnsi="Arial"/>
                <w:sz w:val="16"/>
                <w:szCs w:val="16"/>
                <w:b w:val="1"/>
                <w:bCs w:val="1"/>
                <w:color w:val="auto"/>
              </w:rPr>
              <w:t>M&amp;T</w:t>
            </w:r>
          </w:p>
        </w:tc>
        <w:tc>
          <w:tcPr>
            <w:tcW w:w="1560" w:type="dxa"/>
            <w:vAlign w:val="bottom"/>
          </w:tcPr>
          <w:p>
            <w:pPr>
              <w:jc w:val="right"/>
              <w:ind w:right="822"/>
              <w:spacing w:after="0"/>
              <w:rPr>
                <w:sz w:val="20"/>
                <w:szCs w:val="20"/>
                <w:color w:val="auto"/>
              </w:rPr>
            </w:pPr>
            <w:r>
              <w:rPr>
                <w:rFonts w:ascii="Arial" w:cs="Arial" w:eastAsia="Arial" w:hAnsi="Arial"/>
                <w:sz w:val="16"/>
                <w:szCs w:val="16"/>
                <w:b w:val="1"/>
                <w:bCs w:val="1"/>
                <w:color w:val="auto"/>
              </w:rPr>
              <w:t>M&amp;T</w:t>
            </w:r>
          </w:p>
        </w:tc>
        <w:tc>
          <w:tcPr>
            <w:tcW w:w="1540" w:type="dxa"/>
            <w:vAlign w:val="bottom"/>
          </w:tcPr>
          <w:p>
            <w:pPr>
              <w:jc w:val="right"/>
              <w:ind w:right="442"/>
              <w:spacing w:after="0"/>
              <w:rPr>
                <w:sz w:val="20"/>
                <w:szCs w:val="20"/>
                <w:color w:val="auto"/>
              </w:rPr>
            </w:pPr>
            <w:r>
              <w:rPr>
                <w:rFonts w:ascii="Arial" w:cs="Arial" w:eastAsia="Arial" w:hAnsi="Arial"/>
                <w:sz w:val="16"/>
                <w:szCs w:val="16"/>
                <w:b w:val="1"/>
                <w:bCs w:val="1"/>
                <w:color w:val="auto"/>
              </w:rPr>
              <w:t>Wilmington</w:t>
            </w:r>
          </w:p>
        </w:tc>
      </w:tr>
      <w:tr>
        <w:trPr>
          <w:trHeight w:val="217"/>
        </w:trPr>
        <w:tc>
          <w:tcPr>
            <w:tcW w:w="3640" w:type="dxa"/>
            <w:vAlign w:val="bottom"/>
          </w:tcPr>
          <w:p>
            <w:pPr>
              <w:spacing w:after="0"/>
              <w:rPr>
                <w:sz w:val="18"/>
                <w:szCs w:val="18"/>
                <w:color w:val="auto"/>
              </w:rPr>
            </w:pPr>
          </w:p>
        </w:tc>
        <w:tc>
          <w:tcPr>
            <w:tcW w:w="3820" w:type="dxa"/>
            <w:vAlign w:val="bottom"/>
          </w:tcPr>
          <w:p>
            <w:pPr>
              <w:jc w:val="right"/>
              <w:ind w:right="562"/>
              <w:spacing w:after="0"/>
              <w:rPr>
                <w:sz w:val="20"/>
                <w:szCs w:val="20"/>
                <w:color w:val="auto"/>
              </w:rPr>
            </w:pPr>
            <w:r>
              <w:rPr>
                <w:rFonts w:ascii="Arial" w:cs="Arial" w:eastAsia="Arial" w:hAnsi="Arial"/>
                <w:sz w:val="16"/>
                <w:szCs w:val="16"/>
                <w:b w:val="1"/>
                <w:bCs w:val="1"/>
                <w:color w:val="auto"/>
              </w:rPr>
              <w:t>(Consolidated)</w:t>
            </w:r>
          </w:p>
        </w:tc>
        <w:tc>
          <w:tcPr>
            <w:tcW w:w="1560" w:type="dxa"/>
            <w:vAlign w:val="bottom"/>
          </w:tcPr>
          <w:p>
            <w:pPr>
              <w:jc w:val="right"/>
              <w:ind w:right="802"/>
              <w:spacing w:after="0"/>
              <w:rPr>
                <w:sz w:val="20"/>
                <w:szCs w:val="20"/>
                <w:color w:val="auto"/>
              </w:rPr>
            </w:pPr>
            <w:r>
              <w:rPr>
                <w:rFonts w:ascii="Arial" w:cs="Arial" w:eastAsia="Arial" w:hAnsi="Arial"/>
                <w:sz w:val="16"/>
                <w:szCs w:val="16"/>
                <w:b w:val="1"/>
                <w:bCs w:val="1"/>
                <w:color w:val="auto"/>
              </w:rPr>
              <w:t>Bank</w:t>
            </w:r>
          </w:p>
        </w:tc>
        <w:tc>
          <w:tcPr>
            <w:tcW w:w="1540" w:type="dxa"/>
            <w:vAlign w:val="bottom"/>
          </w:tcPr>
          <w:p>
            <w:pPr>
              <w:jc w:val="right"/>
              <w:ind w:right="462"/>
              <w:spacing w:after="0"/>
              <w:rPr>
                <w:sz w:val="20"/>
                <w:szCs w:val="20"/>
                <w:color w:val="auto"/>
              </w:rPr>
            </w:pPr>
            <w:r>
              <w:rPr>
                <w:rFonts w:ascii="Arial" w:cs="Arial" w:eastAsia="Arial" w:hAnsi="Arial"/>
                <w:sz w:val="16"/>
                <w:szCs w:val="16"/>
                <w:b w:val="1"/>
                <w:bCs w:val="1"/>
                <w:color w:val="auto"/>
              </w:rPr>
              <w:t>Trust, N.A.</w:t>
            </w:r>
          </w:p>
        </w:tc>
      </w:tr>
      <w:tr>
        <w:trPr>
          <w:trHeight w:val="194"/>
        </w:trPr>
        <w:tc>
          <w:tcPr>
            <w:tcW w:w="36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4"/>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equity Tier 1</w:t>
            </w:r>
          </w:p>
        </w:tc>
        <w:tc>
          <w:tcPr>
            <w:tcW w:w="382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10.16%</w:t>
            </w:r>
          </w:p>
        </w:tc>
        <w:tc>
          <w:tcPr>
            <w:tcW w:w="15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11.50%</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228.02 %</w:t>
            </w:r>
          </w:p>
        </w:tc>
      </w:tr>
      <w:tr>
        <w:trPr>
          <w:trHeight w:val="203"/>
        </w:trPr>
        <w:tc>
          <w:tcPr>
            <w:tcW w:w="364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3820" w:type="dxa"/>
            <w:vAlign w:val="bottom"/>
          </w:tcPr>
          <w:p>
            <w:pPr>
              <w:jc w:val="right"/>
              <w:ind w:right="222"/>
              <w:spacing w:after="0"/>
              <w:rPr>
                <w:sz w:val="20"/>
                <w:szCs w:val="20"/>
                <w:color w:val="auto"/>
              </w:rPr>
            </w:pPr>
            <w:r>
              <w:rPr>
                <w:rFonts w:ascii="Arial" w:cs="Arial" w:eastAsia="Arial" w:hAnsi="Arial"/>
                <w:sz w:val="16"/>
                <w:szCs w:val="16"/>
                <w:color w:val="auto"/>
              </w:rPr>
              <w:t>11.48%</w:t>
            </w:r>
          </w:p>
        </w:tc>
        <w:tc>
          <w:tcPr>
            <w:tcW w:w="1560" w:type="dxa"/>
            <w:vAlign w:val="bottom"/>
          </w:tcPr>
          <w:p>
            <w:pPr>
              <w:jc w:val="right"/>
              <w:ind w:right="102"/>
              <w:spacing w:after="0"/>
              <w:rPr>
                <w:sz w:val="20"/>
                <w:szCs w:val="20"/>
                <w:color w:val="auto"/>
              </w:rPr>
            </w:pPr>
            <w:r>
              <w:rPr>
                <w:rFonts w:ascii="Arial" w:cs="Arial" w:eastAsia="Arial" w:hAnsi="Arial"/>
                <w:sz w:val="16"/>
                <w:szCs w:val="16"/>
                <w:color w:val="auto"/>
              </w:rPr>
              <w:t>11.50%</w:t>
            </w:r>
          </w:p>
        </w:tc>
        <w:tc>
          <w:tcPr>
            <w:tcW w:w="1540" w:type="dxa"/>
            <w:vAlign w:val="bottom"/>
          </w:tcPr>
          <w:p>
            <w:pPr>
              <w:jc w:val="right"/>
              <w:spacing w:after="0"/>
              <w:rPr>
                <w:sz w:val="20"/>
                <w:szCs w:val="20"/>
                <w:color w:val="auto"/>
              </w:rPr>
            </w:pPr>
            <w:r>
              <w:rPr>
                <w:rFonts w:ascii="Arial" w:cs="Arial" w:eastAsia="Arial" w:hAnsi="Arial"/>
                <w:sz w:val="16"/>
                <w:szCs w:val="16"/>
                <w:color w:val="auto"/>
              </w:rPr>
              <w:t>228.02 %</w:t>
            </w:r>
          </w:p>
        </w:tc>
      </w:tr>
      <w:tr>
        <w:trPr>
          <w:trHeight w:val="325"/>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capital</w:t>
            </w:r>
          </w:p>
        </w:tc>
        <w:tc>
          <w:tcPr>
            <w:tcW w:w="382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13.28%</w:t>
            </w:r>
          </w:p>
        </w:tc>
        <w:tc>
          <w:tcPr>
            <w:tcW w:w="15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13.04%</w:t>
            </w:r>
          </w:p>
        </w:tc>
        <w:tc>
          <w:tcPr>
            <w:tcW w:w="1540" w:type="dxa"/>
            <w:vAlign w:val="bottom"/>
            <w:shd w:val="clear" w:color="auto" w:fill="CFF0FC"/>
          </w:tcPr>
          <w:p>
            <w:pPr>
              <w:jc w:val="right"/>
              <w:spacing w:after="0" w:line="324" w:lineRule="exact"/>
              <w:rPr>
                <w:sz w:val="20"/>
                <w:szCs w:val="20"/>
                <w:color w:val="auto"/>
              </w:rPr>
            </w:pPr>
            <w:r>
              <w:rPr>
                <w:rFonts w:ascii="Arial" w:cs="Arial" w:eastAsia="Arial" w:hAnsi="Arial"/>
                <w:sz w:val="16"/>
                <w:szCs w:val="16"/>
                <w:color w:val="auto"/>
              </w:rPr>
              <w:t xml:space="preserve">228.39 </w:t>
            </w:r>
            <w:r>
              <w:rPr>
                <w:rFonts w:ascii="Arial" w:cs="Arial" w:eastAsia="Arial" w:hAnsi="Arial"/>
                <w:sz w:val="31"/>
                <w:szCs w:val="31"/>
                <w:color w:val="auto"/>
                <w:vertAlign w:val="subscript"/>
              </w:rPr>
              <w:t>%</w:t>
            </w:r>
          </w:p>
        </w:tc>
      </w:tr>
      <w:tr>
        <w:trPr>
          <w:trHeight w:val="202"/>
        </w:trPr>
        <w:tc>
          <w:tcPr>
            <w:tcW w:w="3640" w:type="dxa"/>
            <w:vAlign w:val="bottom"/>
          </w:tcPr>
          <w:p>
            <w:pPr>
              <w:ind w:left="20"/>
              <w:spacing w:after="0"/>
              <w:rPr>
                <w:sz w:val="20"/>
                <w:szCs w:val="20"/>
                <w:color w:val="auto"/>
              </w:rPr>
            </w:pPr>
            <w:r>
              <w:rPr>
                <w:rFonts w:ascii="Arial" w:cs="Arial" w:eastAsia="Arial" w:hAnsi="Arial"/>
                <w:sz w:val="16"/>
                <w:szCs w:val="16"/>
                <w:color w:val="auto"/>
              </w:rPr>
              <w:t>Tier 1 leverage</w:t>
            </w:r>
          </w:p>
        </w:tc>
        <w:tc>
          <w:tcPr>
            <w:tcW w:w="3820" w:type="dxa"/>
            <w:vAlign w:val="bottom"/>
          </w:tcPr>
          <w:p>
            <w:pPr>
              <w:jc w:val="right"/>
              <w:ind w:right="222"/>
              <w:spacing w:after="0"/>
              <w:rPr>
                <w:sz w:val="20"/>
                <w:szCs w:val="20"/>
                <w:color w:val="auto"/>
              </w:rPr>
            </w:pPr>
            <w:r>
              <w:rPr>
                <w:rFonts w:ascii="Arial" w:cs="Arial" w:eastAsia="Arial" w:hAnsi="Arial"/>
                <w:sz w:val="16"/>
                <w:szCs w:val="16"/>
                <w:color w:val="auto"/>
              </w:rPr>
              <w:t>8.98 %</w:t>
            </w:r>
          </w:p>
        </w:tc>
        <w:tc>
          <w:tcPr>
            <w:tcW w:w="1560" w:type="dxa"/>
            <w:vAlign w:val="bottom"/>
          </w:tcPr>
          <w:p>
            <w:pPr>
              <w:jc w:val="right"/>
              <w:ind w:right="102"/>
              <w:spacing w:after="0"/>
              <w:rPr>
                <w:sz w:val="20"/>
                <w:szCs w:val="20"/>
                <w:color w:val="auto"/>
              </w:rPr>
            </w:pPr>
            <w:r>
              <w:rPr>
                <w:rFonts w:ascii="Arial" w:cs="Arial" w:eastAsia="Arial" w:hAnsi="Arial"/>
                <w:sz w:val="16"/>
                <w:szCs w:val="16"/>
                <w:color w:val="auto"/>
              </w:rPr>
              <w:t>8.98 %</w:t>
            </w:r>
          </w:p>
        </w:tc>
        <w:tc>
          <w:tcPr>
            <w:tcW w:w="1540" w:type="dxa"/>
            <w:vAlign w:val="bottom"/>
          </w:tcPr>
          <w:p>
            <w:pPr>
              <w:jc w:val="right"/>
              <w:spacing w:after="0"/>
              <w:rPr>
                <w:sz w:val="20"/>
                <w:szCs w:val="20"/>
                <w:color w:val="auto"/>
              </w:rPr>
            </w:pPr>
            <w:r>
              <w:rPr>
                <w:rFonts w:ascii="Arial" w:cs="Arial" w:eastAsia="Arial" w:hAnsi="Arial"/>
                <w:sz w:val="16"/>
                <w:szCs w:val="16"/>
                <w:color w:val="auto"/>
              </w:rPr>
              <w:t>83.52%</w:t>
            </w:r>
          </w:p>
        </w:tc>
      </w:tr>
    </w:tbl>
    <w:p>
      <w:pPr>
        <w:spacing w:after="0" w:line="9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reportable segments have been determined based upon its internal profitability reporting system, which is organized by strategic business unit. Financial information about the Company's segments is presented in note 14 of Notes to Financial Statements. The reportable segments are Business Banking, Commercial Banking, Commercial Real Estate, Discretionary Portfolio, Residential Mortgage Banking and Retail Banking. As described in the Company’s Form 10-K for the year ended December 31, 2022, certain expenses were reallocated from the All Other segment to various reportable segments in the fourth quarter of 2022. Additionally, certain lending relationships within the hospitality sector were realigned from the Commercial Banking segment to the Commercial Real Estate segment. The financial information provided herein reflects those changes.</w:t>
      </w:r>
    </w:p>
    <w:p>
      <w:pPr>
        <w:spacing w:after="0" w:line="75"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The Business Banking segment contributed net income of $113 million in each of the three -month periods ended March 31, 2023 and December 31, 2022, compared with $40 million in the first quarter of 2022. The rise in net income in the current quarter as compared with the year-earlier quarter, reflecting the impact of the People’s United acquisition,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72" w:name="page73"/>
    <w:bookmarkEnd w:id="72"/>
    <w:p>
      <w:pPr>
        <w:ind w:right="40"/>
        <w:spacing w:after="0" w:line="254" w:lineRule="auto"/>
        <w:rPr>
          <w:sz w:val="20"/>
          <w:szCs w:val="20"/>
          <w:color w:val="auto"/>
        </w:rPr>
      </w:pPr>
      <w:r>
        <w:rPr>
          <w:rFonts w:ascii="Arial" w:cs="Arial" w:eastAsia="Arial" w:hAnsi="Arial"/>
          <w:sz w:val="18"/>
          <w:szCs w:val="18"/>
          <w:color w:val="auto"/>
        </w:rPr>
        <w:t>was predominantly due to a $126 million increase in net interest income. The higher net interest income reflected higher average outstanding balances of deposits and loans of $3.1 billion and $1.3 billion, respectively, and a 127 basis point widening of the segment’s net interest margin. Factors partially offsetting those increases included $16 million of additional centrally-allocated costs associated with data processing, risk management and other support services provided to the Business Banking segment, higher personnel -related costs of $7 million and a $6 million increase in the provision for credit losses, due to higher net charge-offs. Net income in the initial 2023 quarter as compared with the immediately preceding quarter reflected lower net interest income resulting from fewer days in the recent quarter and a decline in deposits, largely offset by a decline in centrally-allocated costs associated with data processing, risk management and other support services provided to the Business Banking segment.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 of the Commercial Banking segment was $220 million in the recent quarter, compared with $128 million in the initial</w:t>
      </w:r>
    </w:p>
    <w:p>
      <w:pPr>
        <w:spacing w:after="0" w:line="2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2022 quarter. Reflecting the impact of the People’s United acquisition, the recent quarter’s rise in net income as compared with the first quarter of 2022 was the result of an increase in net interest income of $177 million, higher credit-related fees of $25 million and a $20 million increase in other revenues from operations, including gains on sales of previously leased equipment. The growth in net interest income resulted from higher average outstanding loan balances of $21.3 billion and a 186 basis point widening of the net interest margin on deposits, partially offset by a 42 basis point tightening of the net interest margin on loans. Those factors were offset, in part, by a $40 million increase in centrally-allocated costs associated with data processing, risk management and other support services provided to the Commercial Banking segment, higher personnel-related costs of $37 million, a $10 million rise in other costs of operations reflecting higher professional services and other expenses, and an $8 million increase in the provision for credit losses. The Commercial Banking segment recorded net income of $228 million in the final 2022 quarter. The comparative $8 million decrease in net income in the recent quarter was primarily due to lower net interest income of $11 million reflecting two fewer days in the first quarter of 2023, a $6 million rise in the provision for credit losses and $4 million decline in merchant discount and credit card fees, partially offset by $9 million of higher gains recognized on the sale of previously leased equipment.</w:t>
      </w:r>
    </w:p>
    <w:p>
      <w:pPr>
        <w:spacing w:after="0" w:line="7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Net income earned by the Commercial Real Estate segment was $81 million in the first quarter of 2023, compared with $ 111 million in the year-earlier quarter and $107 million in the fourth quarter of 2022. The decline in net income in the recent quarter as compared with the first quarter of 2022 reflected an increase in the provision for credit losses of $38 million, resulting from higher net charge-offs, and $ 19 million in higher centrally-allocated costs associated with data processing, risk management and other support services provided to the Commercial Real Estate segment, partially offset by higher net interest income of $10 million. The rise in net interest income was attributable to higher average outstanding loan balances of $6.6 billion reflecting loans obtained in the acquisition of People’s United and a 191 basis point widening of the net interest margin on deposits, partially offset by a 73 basis point narrowing of the net interest margin on loans. The decrease in net income in the recent quarter as compared with the immediately preceding quarter reflected a $26 million increase in the provision for credit losses and an $11 million decrease in net interest income. The lower net interest income reflected a decline in average balances of deposits of $1.0 billion, as well as the impact of two fewer days in the recent quarter.</w:t>
      </w:r>
    </w:p>
    <w:p>
      <w:pPr>
        <w:spacing w:after="0" w:line="7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Discretionary Portfolio segment recorded net losses totaling $40 million and $56 million during the three-month periods ended March 31, 2023 and December 31, 2022, respectively, compared with net income of $35 million in the three-month period ended March 31, 2022. As compared with the initial 2022 quarter’s net income, the net loss in the first quarter of 2023 was predominantly due to a decrease in net interest income of $109 million driven by reduced income from interest rate swap agreements utilized as part of the Company’s management of interest rate risk, partially offset by an increase in average balances of investment securities, loans and deposits of $19.8 billion, $8.7 billion and $5.6 billion, respectively, reflecting the purchase of investment securities, the retention of newly originated residential mortgages throughout 2022, and additions of brokered deposits. Also offsetting the unfavorable decline in net interest income was a $13 million decrease in intersegment fees paid to the Residential Mortgage Banking segment reflecting the Company’s return in the first quarter of 2023 to originating for sale the majority of its newly originated residential mortgage loans. The reduction in net loss in the initial 2023 quarter as compared with the immediately preceding quarter reflected an increase in net interest income of $9 million, a $5 million rise in bank owned life insurance revenue and a $5 million decrease in intersegment fees paid to the Residential Mortgage Banking segment.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73" w:name="page74"/>
    <w:bookmarkEnd w:id="73"/>
    <w:p>
      <w:pPr>
        <w:ind w:firstLine="432"/>
        <w:spacing w:after="0" w:line="253" w:lineRule="auto"/>
        <w:rPr>
          <w:sz w:val="20"/>
          <w:szCs w:val="20"/>
          <w:color w:val="auto"/>
        </w:rPr>
      </w:pPr>
      <w:r>
        <w:rPr>
          <w:rFonts w:ascii="Arial" w:cs="Arial" w:eastAsia="Arial" w:hAnsi="Arial"/>
          <w:sz w:val="18"/>
          <w:szCs w:val="18"/>
          <w:color w:val="auto"/>
        </w:rPr>
        <w:t>The Residential Mortgage Banking segment recorded a net loss of $12 million in each of the two most recent quarters, compared with net income of $27 million in the first quarter of 2022. The decline in the recent quarter as compared with the year-earlier period reflected lower revenues associated with mortgage origination and sales activities (including intersegment revenues) of $28 million, a decline in net interest income of $19 million and lower revenues associated with servicing and sub-servicing residential real estate loans (including intersegment revenues) of $8 million. These factors were offset, in part, by decreases of $4 million in personnel-related costs and $3 million in centrally-allocated costs associated with data processing, risk management and other support services provided to the Residential Mortgage Banking segment. As compared with the final quarter of 2022, the little changed performance in the recent quarter reflected lower revenues associated with mortgage origination and sales activities (including intersegment revenues) of $ 5 million and a $2 million decline in revenues associated with servicing and sub-servicing residential real estate loans (including intersegment revenues), offset by declines of $3 million in personnel-related costs and $2 million in each of professional services and outside data processing and software expenses.</w:t>
      </w:r>
    </w:p>
    <w:p>
      <w:pPr>
        <w:spacing w:after="0" w:line="7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Net income earned by the Retail Banking segment totaled $ 317 million in the first quarter of 2023, compared with $79 million in the year-earlier quarter and $264 million in the final 2022 quarter. The rise in net income in the recent quarter as compared with the first quarter of 2022 resulted predominantly from a $471 million increase in net interest income, due largely to a 240 basis point widening of the net interest margin on deposits and higher average outstanding balances in deposits and loans of $20.2 billion and $2.4 billion, respectively. Those beneficial results for the segment were partially offset by an increase in personnel-related costs of $63 million, higher equipment and net occupancy costs of $26 million, a $20 million increase in the provision for credit losses, a $16 million rise in centrally-allocated expenses associated with support services provided to the Retail Banking segment and increases in other costs of operations. Each of these factors include the impact of the acquired operations of People’s United. The higher net income recorded in the recent quarter as compared with the fourth quarter of 2022 was due to a $50 million increase in net interest income driven by a 40 basis point expansion of the net interest margin on deposits, which was partially offset by the impact of two less days in 2023’s first quarter. Also contributing to the growth in net income were declines of $10 million in equipment and net occupancy costs as well as centrally -allocated expenses associated with support services provided to the Retail Banking segment, and lower advertising and marketing expenses of $4 million.</w:t>
      </w:r>
    </w:p>
    <w:p>
      <w:pPr>
        <w:spacing w:after="0" w:line="79"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distributions from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income of $24 million in the first quarter of 2023 and $121 million in the fourth quarter of 2022, compared with a net loss totaling $58 million in the first quarter of 2022. The net income recorded in the recent quarter as compared with the net loss in the initial 2022 quarter was largely due to: higher net interest income of $257 million reflecting the Company’s allocation methodologies for internal transfers for funding charges and credits associated with earning assets and interest-bearing liabilities of the Company’s reportable segments and a $25 million increase in trust income, offset by higher costs associated with the acquired operations of People’s United, including higher personnel costs and an increase in amortization of core deposits and other intangible assets; an increase in provision for credit losses of $39 million reflecting the Company’s most recent estimate of expected credit losses; lower insurance revenues of $12 million reflecting the sale of MTIA in the fourth quarter of 2022; and lower income received from BLG of $10 million. As compared with the immediately preceding quarter, factors contributing to the decline in net income in the recent quarter included: a $136 million gain on sale of MTIA recorded in the fourth quarter of 2022; a $110 million rise in personnel-related costs, reflecting seasonally higher stock-based compensation and employee benefits expenses and merit increases; and lower net interest income of $46 million reflecting the Company’s allocation methodologies for internal transfers for funding charges and credits associated with earning assets and interest-bearing liabilities of the Company’s reportable segments. Partially offsetting those unfavorable factors was the impact of the $135 million contribution to The M&amp;T Charitable Foundation recorded in the fourth quarter of 2022, a $20 million distribution received from BLG in the first quarter of 2023 and a reduction in professional services expenses.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9" w:right="700"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recent accounting developments is included in note 16 of Notes to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the Company’s business, management's beliefs and assumptions made by management.</w:t>
      </w:r>
    </w:p>
    <w:p>
      <w:pPr>
        <w:spacing w:after="0" w:line="72"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Statements regarding the potential effects of events or factors specific to the Company and/or the financial industry as a whole, as well as national and global events generally, including economic conditions, on the Company's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the Company's control. As described further below, statements regarding the Company's expectations or predictions regarding the acquisition of People's United are also forward-looking statements, including statements regarding the expected financial results, prospects, targets, goals and outlook.</w:t>
      </w:r>
    </w:p>
    <w:p>
      <w:pPr>
        <w:spacing w:after="0" w:line="75"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72"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Examples of Future Factors include: the impact of the People's United transaction (as described in the next paragraph); economic conditions, including inflation and market volatility; events and developments in the financial services industry, including legislation, regulations and other governmental actions affecting the industry and/or M&amp;T or its subsidiaries individually or collectively; domestic or international political developments and other geopolitical events, including international conflicts; the impact of the COVID-19 pandemic;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regulatory supervision and oversight, including monetary policy and capital requirements; governmental and public policy changes, including tax policy; the outcome of pending and future litigation and governmental proceedings, including tax-related examinations and other matters; changes in accounting policies or procedures as may be required by the Financial Accounting Standards Board, regulatory agencies or legislation; increasing price, product and service competition by competitors, including new entrants; rapid technological developments and changes; the ability to continue to introduce competitive new products and services on a timely, cost-effective basis; the mix of products and services; containing costs and expenses;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73"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In addition, Future Factors related to the acquisition of People's United include, among others: the possibility that the anticipated benefits of the transaction will not be realized when expected or at all; potential adverse reactions or changes to business, customer or employee relationships; the Company's success in executing its business plans and strategies and managing the risks involved in the foregoing; the results and costs of integration efforts; the business, economic and political conditions in the markets in which the Company operates; the outcome of any legal proceedings</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29" w:right="660" w:bottom="1440" w:gutter="0" w:footer="0" w:header="0"/>
        </w:sectPr>
      </w:pPr>
    </w:p>
    <w:bookmarkStart w:id="75" w:name="page76"/>
    <w:bookmarkEnd w:id="75"/>
    <w:p>
      <w:pPr>
        <w:spacing w:after="0" w:line="275" w:lineRule="auto"/>
        <w:rPr>
          <w:sz w:val="20"/>
          <w:szCs w:val="20"/>
          <w:color w:val="auto"/>
        </w:rPr>
      </w:pPr>
      <w:r>
        <w:rPr>
          <w:rFonts w:ascii="Arial" w:cs="Arial" w:eastAsia="Arial" w:hAnsi="Arial"/>
          <w:sz w:val="18"/>
          <w:szCs w:val="18"/>
          <w:color w:val="auto"/>
        </w:rPr>
        <w:t>that may be instituted against M&amp;T or its subsidiaries; and other factors related to the acquisition that may affect future results of the Company.</w:t>
      </w:r>
    </w:p>
    <w:p>
      <w:pPr>
        <w:spacing w:after="0" w:line="54"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6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M&amp;T provides further detail regarding these risks and uncertainties in its Form 10-K for the year ended December 31, 2022, including in the Risk Factors section of such report, as well as in other SEC filings. Forward-looking statements speak only as of the date made, and M&amp;T does not assume any duty and does not undertake to update forward-looking statements.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839" w:right="76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M&amp;T BANK CORPORATION AND SUBSIDIARIES</w:t>
      </w:r>
    </w:p>
    <w:p>
      <w:pPr>
        <w:spacing w:after="0" w:line="21" w:lineRule="exact"/>
        <w:rPr>
          <w:sz w:val="20"/>
          <w:szCs w:val="20"/>
          <w:color w:val="auto"/>
        </w:rPr>
      </w:pPr>
    </w:p>
    <w:p>
      <w:pPr>
        <w:ind w:left="9960"/>
        <w:spacing w:after="0"/>
        <w:rPr>
          <w:sz w:val="20"/>
          <w:szCs w:val="20"/>
          <w:color w:val="auto"/>
        </w:rPr>
      </w:pPr>
      <w:r>
        <w:rPr>
          <w:rFonts w:ascii="Arial" w:cs="Arial" w:eastAsia="Arial" w:hAnsi="Arial"/>
          <w:sz w:val="17"/>
          <w:szCs w:val="17"/>
          <w:color w:val="auto"/>
        </w:rPr>
        <w:t>Table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QUARTERLY TRENDS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5"/>
          </w:tcPr>
          <w:p>
            <w:pPr>
              <w:jc w:val="right"/>
              <w:ind w:right="1060"/>
              <w:spacing w:after="0"/>
              <w:rPr>
                <w:sz w:val="20"/>
                <w:szCs w:val="20"/>
                <w:color w:val="auto"/>
              </w:rPr>
            </w:pPr>
            <w:r>
              <w:rPr>
                <w:rFonts w:ascii="Arial" w:cs="Arial" w:eastAsia="Arial" w:hAnsi="Arial"/>
                <w:sz w:val="13"/>
                <w:szCs w:val="13"/>
                <w:b w:val="1"/>
                <w:bCs w:val="1"/>
                <w:color w:val="auto"/>
              </w:rPr>
              <w:t>2022 Quarters</w:t>
            </w: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ind w:left="160"/>
              <w:spacing w:after="0"/>
              <w:rPr>
                <w:sz w:val="20"/>
                <w:szCs w:val="20"/>
                <w:color w:val="auto"/>
              </w:rPr>
            </w:pPr>
            <w:r>
              <w:rPr>
                <w:rFonts w:ascii="Arial" w:cs="Arial" w:eastAsia="Arial" w:hAnsi="Arial"/>
                <w:sz w:val="13"/>
                <w:szCs w:val="13"/>
                <w:b w:val="1"/>
                <w:bCs w:val="1"/>
                <w:color w:val="auto"/>
              </w:rPr>
              <w:t>First</w:t>
            </w:r>
          </w:p>
        </w:tc>
        <w:tc>
          <w:tcPr>
            <w:tcW w:w="138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Fourth</w:t>
            </w:r>
          </w:p>
        </w:tc>
        <w:tc>
          <w:tcPr>
            <w:tcW w:w="1380" w:type="dxa"/>
            <w:vAlign w:val="bottom"/>
            <w:gridSpan w:val="3"/>
          </w:tcPr>
          <w:p>
            <w:pPr>
              <w:jc w:val="right"/>
              <w:ind w:right="700"/>
              <w:spacing w:after="0"/>
              <w:rPr>
                <w:sz w:val="20"/>
                <w:szCs w:val="20"/>
                <w:color w:val="auto"/>
              </w:rPr>
            </w:pPr>
            <w:r>
              <w:rPr>
                <w:rFonts w:ascii="Arial" w:cs="Arial" w:eastAsia="Arial" w:hAnsi="Arial"/>
                <w:sz w:val="13"/>
                <w:szCs w:val="13"/>
                <w:b w:val="1"/>
                <w:bCs w:val="1"/>
                <w:color w:val="auto"/>
              </w:rPr>
              <w:t>Third</w:t>
            </w:r>
          </w:p>
        </w:tc>
        <w:tc>
          <w:tcPr>
            <w:tcW w:w="13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Second</w:t>
            </w:r>
          </w:p>
        </w:tc>
        <w:tc>
          <w:tcPr>
            <w:tcW w:w="144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First</w:t>
            </w:r>
          </w:p>
        </w:tc>
        <w:tc>
          <w:tcPr>
            <w:tcW w:w="0" w:type="dxa"/>
            <w:vAlign w:val="bottom"/>
          </w:tcPr>
          <w:p>
            <w:pPr>
              <w:spacing w:after="0"/>
              <w:rPr>
                <w:sz w:val="1"/>
                <w:szCs w:val="1"/>
                <w:color w:val="auto"/>
              </w:rPr>
            </w:pPr>
          </w:p>
        </w:tc>
      </w:tr>
      <w:tr>
        <w:trPr>
          <w:trHeight w:val="180"/>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Earnings and dividends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Arial" w:cs="Arial" w:eastAsia="Arial" w:hAnsi="Arial"/>
                <w:sz w:val="13"/>
                <w:szCs w:val="13"/>
                <w:i w:val="1"/>
                <w:iCs w:val="1"/>
                <w:color w:val="auto"/>
              </w:rPr>
              <w:t>Amounts in thousands, except per share</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 income (taxable-equivalent basis)</w:t>
            </w: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2,340,447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2,085,594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1,793,340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1,475,868</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931,490</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508,721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244,835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102,822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53,425</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24,082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interest income</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1,831,726</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1,840,759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1,690,518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1,422,443</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907,408</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Less: provision for credit losses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302,000</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income</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587,133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681,537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563,079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571,100</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540,887</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Less: other expense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1,359,230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1,408,288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1,279,253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1,403,154</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959,741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Income before income taxes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939,629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1,024,008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859,344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288,389</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478,554</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Applicable income taxes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224,543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245,252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200,921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60,141</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113,146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Taxable-equivalent adjustment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13,462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13,385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10,726</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3,234</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701,624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765,371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646,596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217,522</w:t>
            </w:r>
          </w:p>
        </w:tc>
        <w:tc>
          <w:tcPr>
            <w:tcW w:w="3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362,174</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Net income available to common</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shareholders-diluted</w:t>
            </w: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675,511</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739,126</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620,554</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192,236</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339,590</w:t>
            </w: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Per common share data</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Basic earnings</w:t>
            </w: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Diluted earnings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1.08</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Cash dividends</w:t>
            </w: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Average common shares outstanding</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167,732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171,187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174,609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177,367</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128,945</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Diluted</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168,410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172,149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175,682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178,277</w:t>
            </w:r>
          </w:p>
        </w:tc>
        <w:tc>
          <w:tcPr>
            <w:tcW w:w="3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129,416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Performance ratios, annualized</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Return on</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Average assets</w:t>
            </w:r>
          </w:p>
        </w:tc>
        <w:tc>
          <w:tcPr>
            <w:tcW w:w="24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1.40 %</w:t>
            </w: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1.53 %</w:t>
            </w: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1.28 %</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.42 %</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.97 %</w:t>
            </w: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Average common shareholders’ equity</w:t>
            </w:r>
          </w:p>
        </w:tc>
        <w:tc>
          <w:tcPr>
            <w:tcW w:w="24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3"/>
                <w:szCs w:val="13"/>
                <w:color w:val="auto"/>
              </w:rPr>
              <w:t>11.74 %</w:t>
            </w:r>
          </w:p>
        </w:tc>
        <w:tc>
          <w:tcPr>
            <w:tcW w:w="1380" w:type="dxa"/>
            <w:vAlign w:val="bottom"/>
            <w:gridSpan w:val="3"/>
          </w:tcPr>
          <w:p>
            <w:pPr>
              <w:jc w:val="right"/>
              <w:ind w:right="220"/>
              <w:spacing w:after="0"/>
              <w:rPr>
                <w:sz w:val="20"/>
                <w:szCs w:val="20"/>
                <w:color w:val="auto"/>
              </w:rPr>
            </w:pPr>
            <w:r>
              <w:rPr>
                <w:rFonts w:ascii="Arial" w:cs="Arial" w:eastAsia="Arial" w:hAnsi="Arial"/>
                <w:sz w:val="13"/>
                <w:szCs w:val="13"/>
                <w:color w:val="auto"/>
              </w:rPr>
              <w:t>12.59 %</w:t>
            </w:r>
          </w:p>
        </w:tc>
        <w:tc>
          <w:tcPr>
            <w:tcW w:w="1380" w:type="dxa"/>
            <w:vAlign w:val="bottom"/>
            <w:gridSpan w:val="3"/>
          </w:tcPr>
          <w:p>
            <w:pPr>
              <w:jc w:val="right"/>
              <w:ind w:right="220"/>
              <w:spacing w:after="0"/>
              <w:rPr>
                <w:sz w:val="20"/>
                <w:szCs w:val="20"/>
                <w:color w:val="auto"/>
              </w:rPr>
            </w:pPr>
            <w:r>
              <w:rPr>
                <w:rFonts w:ascii="Arial" w:cs="Arial" w:eastAsia="Arial" w:hAnsi="Arial"/>
                <w:sz w:val="13"/>
                <w:szCs w:val="13"/>
                <w:color w:val="auto"/>
              </w:rPr>
              <w:t>10.43 %</w:t>
            </w:r>
          </w:p>
        </w:tc>
        <w:tc>
          <w:tcPr>
            <w:tcW w:w="1340" w:type="dxa"/>
            <w:vAlign w:val="bottom"/>
            <w:gridSpan w:val="2"/>
          </w:tcPr>
          <w:p>
            <w:pPr>
              <w:jc w:val="right"/>
              <w:ind w:right="180"/>
              <w:spacing w:after="0"/>
              <w:rPr>
                <w:sz w:val="20"/>
                <w:szCs w:val="20"/>
                <w:color w:val="auto"/>
              </w:rPr>
            </w:pPr>
            <w:r>
              <w:rPr>
                <w:rFonts w:ascii="Arial" w:cs="Arial" w:eastAsia="Arial" w:hAnsi="Arial"/>
                <w:sz w:val="13"/>
                <w:szCs w:val="13"/>
                <w:color w:val="auto"/>
              </w:rPr>
              <w:t>3.21 %</w:t>
            </w: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8.55 %</w:t>
            </w:r>
          </w:p>
        </w:tc>
        <w:tc>
          <w:tcPr>
            <w:tcW w:w="0" w:type="dxa"/>
            <w:vAlign w:val="bottom"/>
          </w:tcPr>
          <w:p>
            <w:pPr>
              <w:spacing w:after="0"/>
              <w:rPr>
                <w:sz w:val="1"/>
                <w:szCs w:val="1"/>
                <w:color w:val="auto"/>
              </w:rPr>
            </w:pPr>
          </w:p>
        </w:tc>
      </w:tr>
      <w:tr>
        <w:trPr>
          <w:trHeight w:val="166"/>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interest margin on average earning</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assets (taxable-equivalent basis)</w:t>
            </w:r>
          </w:p>
        </w:tc>
        <w:tc>
          <w:tcPr>
            <w:tcW w:w="24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4.04 %</w:t>
            </w: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4.06 %</w:t>
            </w: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3.68 %</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3.01 %</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2.65 %</w:t>
            </w:r>
          </w:p>
        </w:tc>
        <w:tc>
          <w:tcPr>
            <w:tcW w:w="0" w:type="dxa"/>
            <w:vAlign w:val="bottom"/>
          </w:tcPr>
          <w:p>
            <w:pPr>
              <w:spacing w:after="0"/>
              <w:rPr>
                <w:sz w:val="1"/>
                <w:szCs w:val="1"/>
                <w:color w:val="auto"/>
              </w:rPr>
            </w:pPr>
          </w:p>
        </w:tc>
      </w:tr>
      <w:tr>
        <w:trPr>
          <w:trHeight w:val="161"/>
        </w:trPr>
        <w:tc>
          <w:tcPr>
            <w:tcW w:w="3600" w:type="dxa"/>
            <w:vAlign w:val="bottom"/>
          </w:tcPr>
          <w:p>
            <w:pPr>
              <w:ind w:left="20"/>
              <w:spacing w:after="0"/>
              <w:rPr>
                <w:sz w:val="20"/>
                <w:szCs w:val="20"/>
                <w:color w:val="auto"/>
              </w:rPr>
            </w:pPr>
            <w:r>
              <w:rPr>
                <w:rFonts w:ascii="Arial" w:cs="Arial" w:eastAsia="Arial" w:hAnsi="Arial"/>
                <w:sz w:val="13"/>
                <w:szCs w:val="13"/>
                <w:color w:val="auto"/>
              </w:rPr>
              <w:t>Nonaccrual loans to total loans and</w:t>
            </w:r>
          </w:p>
        </w:tc>
        <w:tc>
          <w:tcPr>
            <w:tcW w:w="24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1.92 %</w:t>
            </w:r>
          </w:p>
        </w:tc>
        <w:tc>
          <w:tcPr>
            <w:tcW w:w="24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3"/>
                <w:szCs w:val="13"/>
                <w:color w:val="auto"/>
              </w:rPr>
              <w:t>1.85 %</w:t>
            </w:r>
          </w:p>
        </w:tc>
        <w:tc>
          <w:tcPr>
            <w:tcW w:w="24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3"/>
                <w:szCs w:val="13"/>
                <w:color w:val="auto"/>
              </w:rPr>
              <w:t>1.89 %</w:t>
            </w:r>
          </w:p>
        </w:tc>
        <w:tc>
          <w:tcPr>
            <w:tcW w:w="24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2.05 %</w:t>
            </w: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2.32 %</w:t>
            </w:r>
          </w:p>
        </w:tc>
        <w:tc>
          <w:tcPr>
            <w:tcW w:w="0" w:type="dxa"/>
            <w:vAlign w:val="bottom"/>
          </w:tcPr>
          <w:p>
            <w:pPr>
              <w:spacing w:after="0"/>
              <w:rPr>
                <w:sz w:val="1"/>
                <w:szCs w:val="1"/>
                <w:color w:val="auto"/>
              </w:rPr>
            </w:pPr>
          </w:p>
        </w:tc>
      </w:tr>
      <w:tr>
        <w:trPr>
          <w:trHeight w:val="139"/>
        </w:trPr>
        <w:tc>
          <w:tcPr>
            <w:tcW w:w="3600" w:type="dxa"/>
            <w:vAlign w:val="bottom"/>
          </w:tcPr>
          <w:p>
            <w:pPr>
              <w:ind w:left="200"/>
              <w:spacing w:after="0" w:line="139" w:lineRule="exact"/>
              <w:rPr>
                <w:sz w:val="20"/>
                <w:szCs w:val="20"/>
                <w:color w:val="auto"/>
              </w:rPr>
            </w:pPr>
            <w:r>
              <w:rPr>
                <w:rFonts w:ascii="Arial" w:cs="Arial" w:eastAsia="Arial" w:hAnsi="Arial"/>
                <w:sz w:val="13"/>
                <w:szCs w:val="13"/>
                <w:color w:val="auto"/>
              </w:rPr>
              <w:t>leases, net of unearned discount</w:t>
            </w: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operating (tangible) results (a)</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Net operating income (in thousands)</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714,935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812,359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700,030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577,622</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375,999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Diluted net operating income per common share</w:t>
            </w: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Annualized return on</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Average tangible assets</w:t>
            </w:r>
          </w:p>
        </w:tc>
        <w:tc>
          <w:tcPr>
            <w:tcW w:w="24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1.49 %</w:t>
            </w: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1.70 %</w:t>
            </w:r>
          </w:p>
        </w:tc>
        <w:tc>
          <w:tcPr>
            <w:tcW w:w="13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1.44 %</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1.16 %</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Arial" w:cs="Arial" w:eastAsia="Arial" w:hAnsi="Arial"/>
                <w:sz w:val="13"/>
                <w:szCs w:val="13"/>
                <w:color w:val="auto"/>
              </w:rPr>
              <w:t>Average tangible common shareholders’ equity</w:t>
            </w:r>
          </w:p>
        </w:tc>
        <w:tc>
          <w:tcPr>
            <w:tcW w:w="24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3"/>
                <w:szCs w:val="13"/>
                <w:color w:val="auto"/>
              </w:rPr>
              <w:t>19.00 %</w:t>
            </w:r>
          </w:p>
        </w:tc>
        <w:tc>
          <w:tcPr>
            <w:tcW w:w="1380" w:type="dxa"/>
            <w:vAlign w:val="bottom"/>
            <w:gridSpan w:val="3"/>
          </w:tcPr>
          <w:p>
            <w:pPr>
              <w:jc w:val="right"/>
              <w:ind w:right="220"/>
              <w:spacing w:after="0"/>
              <w:rPr>
                <w:sz w:val="20"/>
                <w:szCs w:val="20"/>
                <w:color w:val="auto"/>
              </w:rPr>
            </w:pPr>
            <w:r>
              <w:rPr>
                <w:rFonts w:ascii="Arial" w:cs="Arial" w:eastAsia="Arial" w:hAnsi="Arial"/>
                <w:sz w:val="13"/>
                <w:szCs w:val="13"/>
                <w:color w:val="auto"/>
              </w:rPr>
              <w:t>21.29 %</w:t>
            </w:r>
          </w:p>
        </w:tc>
        <w:tc>
          <w:tcPr>
            <w:tcW w:w="1380" w:type="dxa"/>
            <w:vAlign w:val="bottom"/>
            <w:gridSpan w:val="3"/>
          </w:tcPr>
          <w:p>
            <w:pPr>
              <w:jc w:val="right"/>
              <w:ind w:right="220"/>
              <w:spacing w:after="0"/>
              <w:rPr>
                <w:sz w:val="20"/>
                <w:szCs w:val="20"/>
                <w:color w:val="auto"/>
              </w:rPr>
            </w:pPr>
            <w:r>
              <w:rPr>
                <w:rFonts w:ascii="Arial" w:cs="Arial" w:eastAsia="Arial" w:hAnsi="Arial"/>
                <w:sz w:val="13"/>
                <w:szCs w:val="13"/>
                <w:color w:val="auto"/>
              </w:rPr>
              <w:t>17.89 %</w:t>
            </w:r>
          </w:p>
        </w:tc>
        <w:tc>
          <w:tcPr>
            <w:tcW w:w="1340" w:type="dxa"/>
            <w:vAlign w:val="bottom"/>
            <w:gridSpan w:val="2"/>
          </w:tcPr>
          <w:p>
            <w:pPr>
              <w:jc w:val="right"/>
              <w:ind w:right="180"/>
              <w:spacing w:after="0"/>
              <w:rPr>
                <w:sz w:val="20"/>
                <w:szCs w:val="20"/>
                <w:color w:val="auto"/>
              </w:rPr>
            </w:pPr>
            <w:r>
              <w:rPr>
                <w:rFonts w:ascii="Arial" w:cs="Arial" w:eastAsia="Arial" w:hAnsi="Arial"/>
                <w:sz w:val="13"/>
                <w:szCs w:val="13"/>
                <w:color w:val="auto"/>
              </w:rPr>
              <w:t>14.41 %</w:t>
            </w: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12.44 %</w:t>
            </w:r>
          </w:p>
        </w:tc>
        <w:tc>
          <w:tcPr>
            <w:tcW w:w="0" w:type="dxa"/>
            <w:vAlign w:val="bottom"/>
          </w:tcPr>
          <w:p>
            <w:pPr>
              <w:spacing w:after="0"/>
              <w:rPr>
                <w:sz w:val="1"/>
                <w:szCs w:val="1"/>
                <w:color w:val="auto"/>
              </w:rPr>
            </w:pPr>
          </w:p>
        </w:tc>
      </w:tr>
      <w:tr>
        <w:trPr>
          <w:trHeight w:val="215"/>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Efficiency ratio (b)</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55.5 %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53.3 %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53.6 %</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3"/>
                <w:szCs w:val="13"/>
                <w:color w:val="auto"/>
              </w:rPr>
              <w:t>58.3 %</w:t>
            </w:r>
          </w:p>
        </w:tc>
        <w:tc>
          <w:tcPr>
            <w:tcW w:w="1440" w:type="dxa"/>
            <w:vAlign w:val="bottom"/>
            <w:gridSpan w:val="2"/>
          </w:tcPr>
          <w:p>
            <w:pPr>
              <w:jc w:val="right"/>
              <w:ind w:right="220"/>
              <w:spacing w:after="0"/>
              <w:rPr>
                <w:sz w:val="20"/>
                <w:szCs w:val="20"/>
                <w:color w:val="auto"/>
              </w:rPr>
            </w:pPr>
            <w:r>
              <w:rPr>
                <w:rFonts w:ascii="Arial" w:cs="Arial" w:eastAsia="Arial" w:hAnsi="Arial"/>
                <w:sz w:val="13"/>
                <w:szCs w:val="13"/>
                <w:color w:val="auto"/>
              </w:rPr>
              <w:t>64.9 %</w:t>
            </w:r>
          </w:p>
        </w:tc>
        <w:tc>
          <w:tcPr>
            <w:tcW w:w="0" w:type="dxa"/>
            <w:vAlign w:val="bottom"/>
          </w:tcPr>
          <w:p>
            <w:pPr>
              <w:spacing w:after="0"/>
              <w:rPr>
                <w:sz w:val="1"/>
                <w:szCs w:val="1"/>
                <w:color w:val="auto"/>
              </w:rPr>
            </w:pPr>
          </w:p>
        </w:tc>
      </w:tr>
      <w:tr>
        <w:trPr>
          <w:trHeight w:val="161"/>
        </w:trPr>
        <w:tc>
          <w:tcPr>
            <w:tcW w:w="36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Balance sheet data</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i w:val="1"/>
                <w:iCs w:val="1"/>
                <w:color w:val="auto"/>
              </w:rPr>
              <w:t>In millions, except per share</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rPr>
                <w:sz w:val="20"/>
                <w:szCs w:val="20"/>
                <w:color w:val="auto"/>
              </w:rPr>
            </w:pPr>
            <w:r>
              <w:rPr>
                <w:rFonts w:ascii="Arial" w:cs="Arial" w:eastAsia="Arial" w:hAnsi="Arial"/>
                <w:sz w:val="13"/>
                <w:szCs w:val="13"/>
                <w:color w:val="auto"/>
              </w:rPr>
              <w:t>Average balances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assets (c)</w:t>
            </w: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202,599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198,592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201,131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208,865</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151,648</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Total tangible assets (c)</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193,957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189,934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192,450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200,170</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147,053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Earning assets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184,069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179,914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182,382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189,755</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138,624</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Investment securities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27,622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25,297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23,945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22,384</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7,724</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Loans and leases, net of unearned discount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132,012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129,406</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127,525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127,599</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92,159</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Deposits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161,537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163,468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167,271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174,683</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128,055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Common shareholders’ equity (c)</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23,366</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23,335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23,654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24,079</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16,144</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Tangible common shareholders’ equity (c)</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14,724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14,677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14,973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15,384</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11,549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At end of quarter</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600" w:type="dxa"/>
            <w:vAlign w:val="bottom"/>
          </w:tcPr>
          <w:p>
            <w:pPr>
              <w:ind w:left="180"/>
              <w:spacing w:after="0"/>
              <w:rPr>
                <w:sz w:val="20"/>
                <w:szCs w:val="20"/>
                <w:color w:val="auto"/>
              </w:rPr>
            </w:pPr>
            <w:r>
              <w:rPr>
                <w:rFonts w:ascii="Arial" w:cs="Arial" w:eastAsia="Arial" w:hAnsi="Arial"/>
                <w:sz w:val="13"/>
                <w:szCs w:val="13"/>
                <w:color w:val="auto"/>
              </w:rPr>
              <w:t>Total assets (c)</w:t>
            </w:r>
          </w:p>
        </w:tc>
        <w:tc>
          <w:tcPr>
            <w:tcW w:w="240" w:type="dxa"/>
            <w:vAlign w:val="bottom"/>
            <w:vMerge w:val="restart"/>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202,956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200,730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197,955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204,033</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149,864</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6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tangible assets (c)</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194,321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192,082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189,281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195,344</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145,269</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Earning assets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183,853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181,855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178,351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185,109</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137,237</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Investment securities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28,443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25,211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24,604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22,802</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9,357</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Loans and leases, net of unearned discount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132,938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131,564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128,226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128,486</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91,808</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Deposits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159,075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163,515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163,845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170,358</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126,319</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Common shareholders’ equity (c)</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23,366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23,307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23,245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23,784</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16,126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Tangible common shareholders’ equity (c)</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14,659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14,571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15,095</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11,531</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180"/>
              <w:spacing w:after="0"/>
              <w:rPr>
                <w:sz w:val="20"/>
                <w:szCs w:val="20"/>
                <w:color w:val="auto"/>
              </w:rPr>
            </w:pPr>
            <w:r>
              <w:rPr>
                <w:rFonts w:ascii="Arial" w:cs="Arial" w:eastAsia="Arial" w:hAnsi="Arial"/>
                <w:sz w:val="13"/>
                <w:szCs w:val="13"/>
                <w:color w:val="auto"/>
              </w:rPr>
              <w:t>Equity per common share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140.88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137.68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134.45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135.16</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124.93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Tangible equity per common share</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84.28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85.78</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89.33</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120"/>
        <w:spacing w:after="0" w:line="303" w:lineRule="auto"/>
        <w:rPr>
          <w:sz w:val="20"/>
          <w:szCs w:val="20"/>
          <w:color w:val="auto"/>
        </w:rPr>
      </w:pPr>
      <w:r>
        <w:rPr>
          <w:rFonts w:ascii="Arial" w:cs="Arial" w:eastAsia="Arial" w:hAnsi="Arial"/>
          <w:sz w:val="12"/>
          <w:szCs w:val="12"/>
          <w:i w:val="1"/>
          <w:iCs w:val="1"/>
          <w:color w:val="auto"/>
        </w:rPr>
        <w:t>(a)Excludes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 (b)Excludes impact of merger-related expenses and net securities transactions.</w:t>
      </w:r>
    </w:p>
    <w:p>
      <w:pPr>
        <w:spacing w:after="0" w:line="120"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i w:val="1"/>
          <w:iCs w:val="1"/>
          <w:color w:val="auto"/>
        </w:rPr>
        <w:t>(c)The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jc w:val="center"/>
        <w:spacing w:after="0"/>
        <w:rPr>
          <w:sz w:val="20"/>
          <w:szCs w:val="20"/>
          <w:color w:val="auto"/>
        </w:rPr>
      </w:pPr>
      <w:r>
        <w:rPr>
          <w:rFonts w:ascii="Arial" w:cs="Arial" w:eastAsia="Arial" w:hAnsi="Arial"/>
          <w:sz w:val="16"/>
          <w:szCs w:val="16"/>
          <w:color w:val="auto"/>
        </w:rPr>
        <w:t>- 76 -</w:t>
      </w:r>
    </w:p>
    <w:p>
      <w:pPr>
        <w:sectPr>
          <w:pgSz w:w="11900" w:h="16840" w:orient="portrait"/>
          <w:cols w:equalWidth="0" w:num="1">
            <w:col w:w="10560"/>
          </w:cols>
          <w:pgMar w:left="660" w:top="743" w:right="680"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M&amp;T BANK CORPORATION AND SUBSIDIARIES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ind w:left="540"/>
              <w:spacing w:after="0"/>
              <w:rPr>
                <w:sz w:val="20"/>
                <w:szCs w:val="20"/>
                <w:color w:val="auto"/>
              </w:rPr>
            </w:pPr>
            <w:r>
              <w:rPr>
                <w:rFonts w:ascii="Arial" w:cs="Arial" w:eastAsia="Arial" w:hAnsi="Arial"/>
                <w:sz w:val="18"/>
                <w:szCs w:val="18"/>
                <w:color w:val="auto"/>
                <w:w w:val="99"/>
              </w:rPr>
              <w:t>Table 2</w:t>
            </w:r>
          </w:p>
        </w:tc>
        <w:tc>
          <w:tcPr>
            <w:tcW w:w="0" w:type="dxa"/>
            <w:vAlign w:val="bottom"/>
          </w:tcPr>
          <w:p>
            <w:pPr>
              <w:spacing w:after="0"/>
              <w:rPr>
                <w:sz w:val="1"/>
                <w:szCs w:val="1"/>
                <w:color w:val="auto"/>
              </w:rPr>
            </w:pPr>
          </w:p>
        </w:tc>
      </w:tr>
      <w:tr>
        <w:trPr>
          <w:trHeight w:val="300"/>
        </w:trPr>
        <w:tc>
          <w:tcPr>
            <w:tcW w:w="6420" w:type="dxa"/>
            <w:vAlign w:val="bottom"/>
            <w:gridSpan w:val="7"/>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66"/>
              <w:spacing w:after="0"/>
              <w:rPr>
                <w:sz w:val="20"/>
                <w:szCs w:val="20"/>
                <w:color w:val="auto"/>
              </w:rPr>
            </w:pPr>
            <w:r>
              <w:rPr>
                <w:rFonts w:ascii="Arial" w:cs="Arial" w:eastAsia="Arial" w:hAnsi="Arial"/>
                <w:sz w:val="11"/>
                <w:szCs w:val="11"/>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3"/>
          </w:tcPr>
          <w:p>
            <w:pPr>
              <w:ind w:left="880"/>
              <w:spacing w:after="0"/>
              <w:rPr>
                <w:sz w:val="20"/>
                <w:szCs w:val="20"/>
                <w:color w:val="auto"/>
              </w:rPr>
            </w:pPr>
            <w:r>
              <w:rPr>
                <w:rFonts w:ascii="Arial" w:cs="Arial" w:eastAsia="Arial" w:hAnsi="Arial"/>
                <w:sz w:val="11"/>
                <w:szCs w:val="11"/>
                <w:b w:val="1"/>
                <w:bCs w:val="1"/>
                <w:color w:val="auto"/>
              </w:rPr>
              <w:t>2022 Quarters</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First Quarter</w:t>
            </w:r>
          </w:p>
        </w:tc>
        <w:tc>
          <w:tcPr>
            <w:tcW w:w="240" w:type="dxa"/>
            <w:vAlign w:val="bottom"/>
          </w:tcPr>
          <w:p>
            <w:pPr>
              <w:spacing w:after="0"/>
              <w:rPr>
                <w:sz w:val="13"/>
                <w:szCs w:val="13"/>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Fourth</w:t>
            </w:r>
          </w:p>
        </w:tc>
        <w:tc>
          <w:tcPr>
            <w:tcW w:w="240" w:type="dxa"/>
            <w:vAlign w:val="bottom"/>
          </w:tcPr>
          <w:p>
            <w:pPr>
              <w:spacing w:after="0"/>
              <w:rPr>
                <w:sz w:val="13"/>
                <w:szCs w:val="13"/>
                <w:color w:val="auto"/>
              </w:rPr>
            </w:pPr>
          </w:p>
        </w:tc>
        <w:tc>
          <w:tcPr>
            <w:tcW w:w="1660" w:type="dxa"/>
            <w:vAlign w:val="bottom"/>
            <w:gridSpan w:val="3"/>
          </w:tcPr>
          <w:p>
            <w:pPr>
              <w:ind w:left="400"/>
              <w:spacing w:after="0"/>
              <w:rPr>
                <w:sz w:val="20"/>
                <w:szCs w:val="20"/>
                <w:color w:val="auto"/>
              </w:rPr>
            </w:pPr>
            <w:r>
              <w:rPr>
                <w:rFonts w:ascii="Arial" w:cs="Arial" w:eastAsia="Arial" w:hAnsi="Arial"/>
                <w:sz w:val="11"/>
                <w:szCs w:val="11"/>
                <w:b w:val="1"/>
                <w:bCs w:val="1"/>
                <w:color w:val="auto"/>
              </w:rPr>
              <w:t>Third</w:t>
            </w:r>
          </w:p>
        </w:tc>
        <w:tc>
          <w:tcPr>
            <w:tcW w:w="1100" w:type="dxa"/>
            <w:vAlign w:val="bottom"/>
            <w:gridSpan w:val="2"/>
          </w:tcPr>
          <w:p>
            <w:pPr>
              <w:jc w:val="right"/>
              <w:ind w:right="660"/>
              <w:spacing w:after="0"/>
              <w:rPr>
                <w:sz w:val="20"/>
                <w:szCs w:val="20"/>
                <w:color w:val="auto"/>
              </w:rPr>
            </w:pPr>
            <w:r>
              <w:rPr>
                <w:rFonts w:ascii="Arial" w:cs="Arial" w:eastAsia="Arial" w:hAnsi="Arial"/>
                <w:sz w:val="11"/>
                <w:szCs w:val="11"/>
                <w:b w:val="1"/>
                <w:bCs w:val="1"/>
                <w:color w:val="auto"/>
              </w:rPr>
              <w:t>Second</w:t>
            </w:r>
          </w:p>
        </w:tc>
        <w:tc>
          <w:tcPr>
            <w:tcW w:w="1160" w:type="dxa"/>
            <w:vAlign w:val="bottom"/>
            <w:gridSpan w:val="3"/>
          </w:tcPr>
          <w:p>
            <w:pPr>
              <w:ind w:left="420"/>
              <w:spacing w:after="0"/>
              <w:rPr>
                <w:sz w:val="20"/>
                <w:szCs w:val="20"/>
                <w:color w:val="auto"/>
              </w:rPr>
            </w:pPr>
            <w:r>
              <w:rPr>
                <w:rFonts w:ascii="Arial" w:cs="Arial" w:eastAsia="Arial" w:hAnsi="Arial"/>
                <w:sz w:val="11"/>
                <w:szCs w:val="11"/>
                <w:b w:val="1"/>
                <w:bCs w:val="1"/>
                <w:color w:val="auto"/>
              </w:rPr>
              <w:t>First</w:t>
            </w:r>
          </w:p>
        </w:tc>
        <w:tc>
          <w:tcPr>
            <w:tcW w:w="0" w:type="dxa"/>
            <w:vAlign w:val="bottom"/>
          </w:tcPr>
          <w:p>
            <w:pPr>
              <w:spacing w:after="0"/>
              <w:rPr>
                <w:sz w:val="1"/>
                <w:szCs w:val="1"/>
                <w:color w:val="auto"/>
              </w:rPr>
            </w:pPr>
          </w:p>
        </w:tc>
      </w:tr>
      <w:tr>
        <w:trPr>
          <w:trHeight w:val="142"/>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Income statement data (in thousands,</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8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except per share)</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tcPr>
          <w:p>
            <w:pPr>
              <w:ind w:left="2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701,624</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765,371</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646,596</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217,522</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362,174</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20"/>
              <w:spacing w:after="0"/>
              <w:rPr>
                <w:sz w:val="20"/>
                <w:szCs w:val="20"/>
                <w:color w:val="auto"/>
              </w:rPr>
            </w:pPr>
            <w:r>
              <w:rPr>
                <w:rFonts w:ascii="Arial" w:cs="Arial" w:eastAsia="Arial" w:hAnsi="Arial"/>
                <w:sz w:val="11"/>
                <w:szCs w:val="11"/>
                <w:color w:val="auto"/>
              </w:rPr>
              <w:t>Amortization of core deposit and other</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80" w:type="dxa"/>
            <w:vAlign w:val="bottom"/>
          </w:tcPr>
          <w:p>
            <w:pPr>
              <w:ind w:left="100"/>
              <w:spacing w:after="0"/>
              <w:rPr>
                <w:sz w:val="20"/>
                <w:szCs w:val="20"/>
                <w:color w:val="auto"/>
              </w:rPr>
            </w:pPr>
            <w:r>
              <w:rPr>
                <w:rFonts w:ascii="Arial" w:cs="Arial" w:eastAsia="Arial" w:hAnsi="Arial"/>
                <w:sz w:val="11"/>
                <w:szCs w:val="11"/>
                <w:color w:val="auto"/>
              </w:rPr>
              <w:t>intangible assets (a)</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13,311</w:t>
            </w:r>
          </w:p>
        </w:tc>
        <w:tc>
          <w:tcPr>
            <w:tcW w:w="1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13,559</w:t>
            </w:r>
          </w:p>
        </w:tc>
        <w:tc>
          <w:tcPr>
            <w:tcW w:w="12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14,141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14,138</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933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Merger-related expenses (a)</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33,429</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39,293</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345,962</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12,892</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140"/>
              <w:spacing w:after="0"/>
              <w:rPr>
                <w:sz w:val="20"/>
                <w:szCs w:val="20"/>
                <w:color w:val="auto"/>
              </w:rPr>
            </w:pPr>
            <w:r>
              <w:rPr>
                <w:rFonts w:ascii="Arial" w:cs="Arial" w:eastAsia="Arial" w:hAnsi="Arial"/>
                <w:sz w:val="11"/>
                <w:szCs w:val="11"/>
                <w:color w:val="auto"/>
              </w:rPr>
              <w:t>Net operating income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714,935</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812,359</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700,030</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577,622</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375,999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Earnings per common share</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Diluted earnings per common share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4.01</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4.29</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3.53</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1.08</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2.62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Amortization of core deposit and other</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intangible assets (a)</w:t>
            </w: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0.08</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.08</w:t>
            </w: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.08</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.08</w:t>
            </w:r>
          </w:p>
        </w:tc>
        <w:tc>
          <w:tcPr>
            <w:tcW w:w="3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Merger-related expenses (a)</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.22</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1.94</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Diluted net operating earnings per</w:t>
            </w:r>
          </w:p>
        </w:tc>
        <w:tc>
          <w:tcPr>
            <w:tcW w:w="14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4.09</w:t>
            </w:r>
          </w:p>
        </w:tc>
        <w:tc>
          <w:tcPr>
            <w:tcW w:w="12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4.57</w:t>
            </w:r>
          </w:p>
        </w:tc>
        <w:tc>
          <w:tcPr>
            <w:tcW w:w="12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3.83</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3.10</w:t>
            </w:r>
          </w:p>
        </w:tc>
        <w:tc>
          <w:tcPr>
            <w:tcW w:w="3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2.73</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80" w:type="dxa"/>
            <w:vAlign w:val="bottom"/>
            <w:shd w:val="clear" w:color="auto" w:fill="CFF0FC"/>
          </w:tcPr>
          <w:p>
            <w:pPr>
              <w:ind w:left="200"/>
              <w:spacing w:after="0" w:line="86" w:lineRule="exact"/>
              <w:rPr>
                <w:sz w:val="20"/>
                <w:szCs w:val="20"/>
                <w:color w:val="auto"/>
              </w:rPr>
            </w:pPr>
            <w:r>
              <w:rPr>
                <w:rFonts w:ascii="Arial" w:cs="Arial" w:eastAsia="Arial" w:hAnsi="Arial"/>
                <w:sz w:val="9"/>
                <w:szCs w:val="9"/>
                <w:color w:val="auto"/>
              </w:rPr>
              <w:t>common share</w:t>
            </w:r>
          </w:p>
        </w:tc>
        <w:tc>
          <w:tcPr>
            <w:tcW w:w="140" w:type="dxa"/>
            <w:vAlign w:val="bottom"/>
            <w:vMerge w:val="continue"/>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8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Other expense</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6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expense</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1,359,230</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1,408,288</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1,279,253</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1,403,154</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959,741</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80" w:type="dxa"/>
            <w:vAlign w:val="bottom"/>
          </w:tcPr>
          <w:p>
            <w:pPr>
              <w:ind w:left="20"/>
              <w:spacing w:after="0"/>
              <w:rPr>
                <w:sz w:val="20"/>
                <w:szCs w:val="20"/>
                <w:color w:val="auto"/>
              </w:rPr>
            </w:pPr>
            <w:r>
              <w:rPr>
                <w:rFonts w:ascii="Arial" w:cs="Arial" w:eastAsia="Arial" w:hAnsi="Arial"/>
                <w:sz w:val="11"/>
                <w:szCs w:val="11"/>
                <w:color w:val="auto"/>
              </w:rPr>
              <w:t>Amortization of core deposit and other</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80" w:type="dxa"/>
            <w:vAlign w:val="bottom"/>
          </w:tcPr>
          <w:p>
            <w:pPr>
              <w:ind w:left="100"/>
              <w:spacing w:after="0"/>
              <w:rPr>
                <w:sz w:val="20"/>
                <w:szCs w:val="20"/>
                <w:color w:val="auto"/>
              </w:rPr>
            </w:pPr>
            <w:r>
              <w:rPr>
                <w:rFonts w:ascii="Arial" w:cs="Arial" w:eastAsia="Arial" w:hAnsi="Arial"/>
                <w:sz w:val="11"/>
                <w:szCs w:val="11"/>
                <w:color w:val="auto"/>
              </w:rPr>
              <w:t>intangible assets</w:t>
            </w:r>
          </w:p>
        </w:tc>
        <w:tc>
          <w:tcPr>
            <w:tcW w:w="14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(17,208 )</w:t>
            </w:r>
          </w:p>
        </w:tc>
        <w:tc>
          <w:tcPr>
            <w:tcW w:w="1340" w:type="dxa"/>
            <w:vAlign w:val="bottom"/>
            <w:gridSpan w:val="3"/>
          </w:tcPr>
          <w:p>
            <w:pPr>
              <w:jc w:val="right"/>
              <w:ind w:right="60"/>
              <w:spacing w:after="0"/>
              <w:rPr>
                <w:sz w:val="20"/>
                <w:szCs w:val="20"/>
                <w:color w:val="auto"/>
              </w:rPr>
            </w:pPr>
            <w:r>
              <w:rPr>
                <w:rFonts w:ascii="Arial" w:cs="Arial" w:eastAsia="Arial" w:hAnsi="Arial"/>
                <w:sz w:val="11"/>
                <w:szCs w:val="11"/>
                <w:color w:val="auto"/>
              </w:rPr>
              <w:t>(17,600 )</w:t>
            </w:r>
          </w:p>
        </w:tc>
        <w:tc>
          <w:tcPr>
            <w:tcW w:w="1640" w:type="dxa"/>
            <w:vAlign w:val="bottom"/>
            <w:gridSpan w:val="3"/>
          </w:tcPr>
          <w:p>
            <w:pPr>
              <w:jc w:val="right"/>
              <w:ind w:right="320"/>
              <w:spacing w:after="0"/>
              <w:rPr>
                <w:sz w:val="20"/>
                <w:szCs w:val="20"/>
                <w:color w:val="auto"/>
              </w:rPr>
            </w:pPr>
            <w:r>
              <w:rPr>
                <w:rFonts w:ascii="Arial" w:cs="Arial" w:eastAsia="Arial" w:hAnsi="Arial"/>
                <w:sz w:val="11"/>
                <w:szCs w:val="11"/>
                <w:color w:val="auto"/>
              </w:rPr>
              <w:t>(18,384 )</w:t>
            </w:r>
          </w:p>
        </w:tc>
        <w:tc>
          <w:tcPr>
            <w:tcW w:w="26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1"/>
                <w:szCs w:val="11"/>
                <w:color w:val="auto"/>
              </w:rPr>
              <w:t>(18,384 )</w:t>
            </w: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(1,256 )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Merger-related expenses</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(45,113 )</w:t>
            </w:r>
          </w:p>
        </w:tc>
        <w:tc>
          <w:tcPr>
            <w:tcW w:w="1640" w:type="dxa"/>
            <w:vAlign w:val="bottom"/>
            <w:gridSpan w:val="3"/>
            <w:shd w:val="clear" w:color="auto" w:fill="CFF0FC"/>
          </w:tcPr>
          <w:p>
            <w:pPr>
              <w:jc w:val="right"/>
              <w:ind w:right="320"/>
              <w:spacing w:after="0"/>
              <w:rPr>
                <w:sz w:val="20"/>
                <w:szCs w:val="20"/>
                <w:color w:val="auto"/>
              </w:rPr>
            </w:pPr>
            <w:r>
              <w:rPr>
                <w:rFonts w:ascii="Arial" w:cs="Arial" w:eastAsia="Arial" w:hAnsi="Arial"/>
                <w:sz w:val="11"/>
                <w:szCs w:val="11"/>
                <w:color w:val="auto"/>
              </w:rPr>
              <w:t>(53,027 )</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(222,809 )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(17,372 )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140"/>
              <w:spacing w:after="0"/>
              <w:rPr>
                <w:sz w:val="20"/>
                <w:szCs w:val="20"/>
                <w:color w:val="auto"/>
              </w:rPr>
            </w:pPr>
            <w:r>
              <w:rPr>
                <w:rFonts w:ascii="Arial" w:cs="Arial" w:eastAsia="Arial" w:hAnsi="Arial"/>
                <w:sz w:val="11"/>
                <w:szCs w:val="11"/>
                <w:color w:val="auto"/>
              </w:rPr>
              <w:t>Noninterest operating expense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1,342,022</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1,345,575</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1,207,842</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1,161,961</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941,113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Merger-related expenses</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Salaries and employee benefits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3,670</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13,094</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85,299</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Equipment and net occupancy</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2,294</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2,106</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502</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1,807</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Outside data processing and software</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2,193</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2,277</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716</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252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Advertising and marketing</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5,258</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2,177</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1,199</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Printing, postage and supplies</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2,953</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651</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2,460</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costs of operations</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28,745</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32,722</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132,633</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13,876</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140"/>
              <w:spacing w:after="0"/>
              <w:rPr>
                <w:sz w:val="20"/>
                <w:szCs w:val="20"/>
                <w:color w:val="auto"/>
              </w:rPr>
            </w:pPr>
            <w:r>
              <w:rPr>
                <w:rFonts w:ascii="Arial" w:cs="Arial" w:eastAsia="Arial" w:hAnsi="Arial"/>
                <w:sz w:val="11"/>
                <w:szCs w:val="11"/>
                <w:color w:val="auto"/>
              </w:rPr>
              <w:t>Other expense</w:t>
            </w:r>
          </w:p>
        </w:tc>
        <w:tc>
          <w:tcPr>
            <w:tcW w:w="1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45,113</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53,027</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222,809</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17,372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Provision for credit losses</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1660" w:type="dxa"/>
            <w:vAlign w:val="bottom"/>
            <w:gridSpan w:val="3"/>
            <w:shd w:val="clear" w:color="auto" w:fill="CFF0FC"/>
          </w:tcPr>
          <w:p>
            <w:pPr>
              <w:jc w:val="right"/>
              <w:ind w:right="64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242,000</w:t>
            </w:r>
          </w:p>
        </w:tc>
        <w:tc>
          <w:tcPr>
            <w:tcW w:w="3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38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140"/>
              <w:spacing w:after="0"/>
              <w:rPr>
                <w:sz w:val="20"/>
                <w:szCs w:val="20"/>
                <w:color w:val="auto"/>
              </w:rPr>
            </w:pPr>
            <w:r>
              <w:rPr>
                <w:rFonts w:ascii="Arial" w:cs="Arial" w:eastAsia="Arial" w:hAnsi="Arial"/>
                <w:sz w:val="11"/>
                <w:szCs w:val="11"/>
                <w:color w:val="auto"/>
              </w:rPr>
              <w:t>Total</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45,113</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53,027</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464,809</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17,372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Efficiency ratio</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Noninterest operating expense (numerator)</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1,342,022</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1,345,575</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1,207,842</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1,161,961</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941,113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Taxable-equivalent net interest income</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1,831,726</w:t>
            </w:r>
          </w:p>
        </w:tc>
        <w:tc>
          <w:tcPr>
            <w:tcW w:w="12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1,840,759</w:t>
            </w:r>
          </w:p>
        </w:tc>
        <w:tc>
          <w:tcPr>
            <w:tcW w:w="1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1,690,518</w:t>
            </w: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1,422,443</w:t>
            </w:r>
          </w:p>
        </w:tc>
        <w:tc>
          <w:tcPr>
            <w:tcW w:w="34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907,408</w:t>
            </w: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587,133</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681,537</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563,079</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571,100</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540,887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Less: Gain (loss) on bank investment securities</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(416 )</w:t>
            </w: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(3,773 )</w:t>
            </w:r>
          </w:p>
        </w:tc>
        <w:tc>
          <w:tcPr>
            <w:tcW w:w="1640" w:type="dxa"/>
            <w:vAlign w:val="bottom"/>
            <w:gridSpan w:val="3"/>
            <w:shd w:val="clear" w:color="auto" w:fill="CFF0FC"/>
          </w:tcPr>
          <w:p>
            <w:pPr>
              <w:jc w:val="right"/>
              <w:ind w:right="320"/>
              <w:spacing w:after="0"/>
              <w:rPr>
                <w:sz w:val="20"/>
                <w:szCs w:val="20"/>
                <w:color w:val="auto"/>
              </w:rPr>
            </w:pPr>
            <w:r>
              <w:rPr>
                <w:rFonts w:ascii="Arial" w:cs="Arial" w:eastAsia="Arial" w:hAnsi="Arial"/>
                <w:sz w:val="11"/>
                <w:szCs w:val="11"/>
                <w:color w:val="auto"/>
              </w:rPr>
              <w:t>(1,108 )</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(62 )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(743 )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140"/>
              <w:spacing w:after="0"/>
              <w:rPr>
                <w:sz w:val="20"/>
                <w:szCs w:val="20"/>
                <w:color w:val="auto"/>
              </w:rPr>
            </w:pPr>
            <w:r>
              <w:rPr>
                <w:rFonts w:ascii="Arial" w:cs="Arial" w:eastAsia="Arial" w:hAnsi="Arial"/>
                <w:sz w:val="11"/>
                <w:szCs w:val="11"/>
                <w:color w:val="auto"/>
              </w:rPr>
              <w:t>Denominator</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2,419,275</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2,526,069</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2,254,705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1,993,605</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1,449,038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Efficiency ratio</w:t>
            </w: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55.5 %</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53.3 %</w:t>
            </w:r>
          </w:p>
        </w:tc>
        <w:tc>
          <w:tcPr>
            <w:tcW w:w="1640" w:type="dxa"/>
            <w:vAlign w:val="bottom"/>
            <w:gridSpan w:val="3"/>
            <w:shd w:val="clear" w:color="auto" w:fill="CFF0FC"/>
          </w:tcPr>
          <w:p>
            <w:pPr>
              <w:jc w:val="right"/>
              <w:ind w:right="260"/>
              <w:spacing w:after="0"/>
              <w:rPr>
                <w:sz w:val="20"/>
                <w:szCs w:val="20"/>
                <w:color w:val="auto"/>
              </w:rPr>
            </w:pPr>
            <w:r>
              <w:rPr>
                <w:rFonts w:ascii="Arial" w:cs="Arial" w:eastAsia="Arial" w:hAnsi="Arial"/>
                <w:sz w:val="11"/>
                <w:szCs w:val="11"/>
                <w:color w:val="auto"/>
              </w:rPr>
              <w:t>53.6 %</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58.3 %</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64.9 %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88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Balance sheet data (in millions)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6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Average assets</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Average assets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202,599</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198,592</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201,131</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208,865</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151,648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880" w:type="dxa"/>
            <w:vAlign w:val="bottom"/>
            <w:shd w:val="clear" w:color="auto" w:fill="CFF0FC"/>
          </w:tcPr>
          <w:p>
            <w:pPr>
              <w:ind w:left="20"/>
              <w:spacing w:after="0" w:line="124" w:lineRule="exact"/>
              <w:rPr>
                <w:sz w:val="20"/>
                <w:szCs w:val="20"/>
                <w:color w:val="auto"/>
              </w:rPr>
            </w:pPr>
            <w:r>
              <w:rPr>
                <w:rFonts w:ascii="Arial" w:cs="Arial" w:eastAsia="Arial" w:hAnsi="Arial"/>
                <w:sz w:val="11"/>
                <w:szCs w:val="11"/>
                <w:color w:val="auto"/>
              </w:rPr>
              <w:t>Goodwill</w:t>
            </w:r>
          </w:p>
        </w:tc>
        <w:tc>
          <w:tcPr>
            <w:tcW w:w="14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60"/>
              <w:spacing w:after="0" w:line="124" w:lineRule="exact"/>
              <w:rPr>
                <w:sz w:val="20"/>
                <w:szCs w:val="20"/>
                <w:color w:val="auto"/>
              </w:rPr>
            </w:pPr>
            <w:r>
              <w:rPr>
                <w:rFonts w:ascii="Arial" w:cs="Arial" w:eastAsia="Arial" w:hAnsi="Arial"/>
                <w:sz w:val="11"/>
                <w:szCs w:val="11"/>
                <w:color w:val="auto"/>
              </w:rPr>
              <w:t>)</w:t>
            </w:r>
          </w:p>
        </w:tc>
        <w:tc>
          <w:tcPr>
            <w:tcW w:w="1340" w:type="dxa"/>
            <w:vAlign w:val="bottom"/>
            <w:gridSpan w:val="3"/>
            <w:shd w:val="clear" w:color="auto" w:fill="CFF0FC"/>
          </w:tcPr>
          <w:p>
            <w:pPr>
              <w:jc w:val="right"/>
              <w:ind w:right="60"/>
              <w:spacing w:after="0" w:line="124" w:lineRule="exact"/>
              <w:rPr>
                <w:sz w:val="20"/>
                <w:szCs w:val="20"/>
                <w:color w:val="auto"/>
              </w:rPr>
            </w:pPr>
            <w:r>
              <w:rPr>
                <w:rFonts w:ascii="Arial" w:cs="Arial" w:eastAsia="Arial" w:hAnsi="Arial"/>
                <w:sz w:val="11"/>
                <w:szCs w:val="11"/>
                <w:color w:val="auto"/>
              </w:rPr>
              <w:t>)</w:t>
            </w:r>
          </w:p>
        </w:tc>
        <w:tc>
          <w:tcPr>
            <w:tcW w:w="1640" w:type="dxa"/>
            <w:vAlign w:val="bottom"/>
            <w:gridSpan w:val="3"/>
            <w:shd w:val="clear" w:color="auto" w:fill="CFF0FC"/>
          </w:tcPr>
          <w:p>
            <w:pPr>
              <w:jc w:val="right"/>
              <w:ind w:right="320"/>
              <w:spacing w:after="0" w:line="124" w:lineRule="exact"/>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300"/>
              <w:spacing w:after="0" w:line="124"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(8,490</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(8,494</w:t>
            </w: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(8,501</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(8,501</w:t>
            </w:r>
          </w:p>
        </w:tc>
        <w:tc>
          <w:tcPr>
            <w:tcW w:w="3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(4,593</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Core deposit and other intangible assets</w:t>
            </w:r>
          </w:p>
        </w:tc>
        <w:tc>
          <w:tcPr>
            <w:tcW w:w="14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(201 )</w:t>
            </w:r>
          </w:p>
        </w:tc>
        <w:tc>
          <w:tcPr>
            <w:tcW w:w="1340" w:type="dxa"/>
            <w:vAlign w:val="bottom"/>
            <w:gridSpan w:val="3"/>
          </w:tcPr>
          <w:p>
            <w:pPr>
              <w:jc w:val="right"/>
              <w:ind w:right="60"/>
              <w:spacing w:after="0"/>
              <w:rPr>
                <w:sz w:val="20"/>
                <w:szCs w:val="20"/>
                <w:color w:val="auto"/>
              </w:rPr>
            </w:pPr>
            <w:r>
              <w:rPr>
                <w:rFonts w:ascii="Arial" w:cs="Arial" w:eastAsia="Arial" w:hAnsi="Arial"/>
                <w:sz w:val="11"/>
                <w:szCs w:val="11"/>
                <w:color w:val="auto"/>
              </w:rPr>
              <w:t>(218 )</w:t>
            </w:r>
          </w:p>
        </w:tc>
        <w:tc>
          <w:tcPr>
            <w:tcW w:w="1640" w:type="dxa"/>
            <w:vAlign w:val="bottom"/>
            <w:gridSpan w:val="3"/>
          </w:tcPr>
          <w:p>
            <w:pPr>
              <w:jc w:val="right"/>
              <w:ind w:right="320"/>
              <w:spacing w:after="0"/>
              <w:rPr>
                <w:sz w:val="20"/>
                <w:szCs w:val="20"/>
                <w:color w:val="auto"/>
              </w:rPr>
            </w:pPr>
            <w:r>
              <w:rPr>
                <w:rFonts w:ascii="Arial" w:cs="Arial" w:eastAsia="Arial" w:hAnsi="Arial"/>
                <w:sz w:val="11"/>
                <w:szCs w:val="11"/>
                <w:color w:val="auto"/>
              </w:rPr>
              <w:t>(236 )</w:t>
            </w:r>
          </w:p>
        </w:tc>
        <w:tc>
          <w:tcPr>
            <w:tcW w:w="26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1"/>
                <w:szCs w:val="11"/>
                <w:color w:val="auto"/>
              </w:rPr>
              <w:t>(254 )</w:t>
            </w: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Deferred taxes</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140"/>
              <w:spacing w:after="0"/>
              <w:rPr>
                <w:sz w:val="20"/>
                <w:szCs w:val="20"/>
                <w:color w:val="auto"/>
              </w:rPr>
            </w:pPr>
            <w:r>
              <w:rPr>
                <w:rFonts w:ascii="Arial" w:cs="Arial" w:eastAsia="Arial" w:hAnsi="Arial"/>
                <w:sz w:val="11"/>
                <w:szCs w:val="11"/>
                <w:color w:val="auto"/>
              </w:rPr>
              <w:t>Average tangible assets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193,957</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189,934</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192,450</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200,170</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147,053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Average common equity</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Average total equity</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25,377</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25,346</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25,665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26,090</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17,894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Preferred stock</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(2,011 )</w:t>
            </w: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(2,011 )</w:t>
            </w:r>
          </w:p>
        </w:tc>
        <w:tc>
          <w:tcPr>
            <w:tcW w:w="1640" w:type="dxa"/>
            <w:vAlign w:val="bottom"/>
            <w:gridSpan w:val="3"/>
            <w:shd w:val="clear" w:color="auto" w:fill="CFF0FC"/>
          </w:tcPr>
          <w:p>
            <w:pPr>
              <w:jc w:val="right"/>
              <w:ind w:right="320"/>
              <w:spacing w:after="0"/>
              <w:rPr>
                <w:sz w:val="20"/>
                <w:szCs w:val="20"/>
                <w:color w:val="auto"/>
              </w:rPr>
            </w:pPr>
            <w:r>
              <w:rPr>
                <w:rFonts w:ascii="Arial" w:cs="Arial" w:eastAsia="Arial" w:hAnsi="Arial"/>
                <w:sz w:val="11"/>
                <w:szCs w:val="11"/>
                <w:color w:val="auto"/>
              </w:rPr>
              <w:t>(2,011 )</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(2,011 )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(1,750 )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140"/>
              <w:spacing w:after="0"/>
              <w:rPr>
                <w:sz w:val="20"/>
                <w:szCs w:val="20"/>
                <w:color w:val="auto"/>
              </w:rPr>
            </w:pPr>
            <w:r>
              <w:rPr>
                <w:rFonts w:ascii="Arial" w:cs="Arial" w:eastAsia="Arial" w:hAnsi="Arial"/>
                <w:sz w:val="11"/>
                <w:szCs w:val="11"/>
                <w:color w:val="auto"/>
              </w:rPr>
              <w:t>Average common equity</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23,366</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23,335</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23,654</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24,079</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16,144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Goodwill</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(8,490 )</w:t>
            </w: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(8,494 )</w:t>
            </w:r>
          </w:p>
        </w:tc>
        <w:tc>
          <w:tcPr>
            <w:tcW w:w="1640" w:type="dxa"/>
            <w:vAlign w:val="bottom"/>
            <w:gridSpan w:val="3"/>
            <w:shd w:val="clear" w:color="auto" w:fill="CFF0FC"/>
          </w:tcPr>
          <w:p>
            <w:pPr>
              <w:jc w:val="right"/>
              <w:ind w:right="320"/>
              <w:spacing w:after="0"/>
              <w:rPr>
                <w:sz w:val="20"/>
                <w:szCs w:val="20"/>
                <w:color w:val="auto"/>
              </w:rPr>
            </w:pPr>
            <w:r>
              <w:rPr>
                <w:rFonts w:ascii="Arial" w:cs="Arial" w:eastAsia="Arial" w:hAnsi="Arial"/>
                <w:sz w:val="11"/>
                <w:szCs w:val="11"/>
                <w:color w:val="auto"/>
              </w:rPr>
              <w:t>(8,501 )</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(8,501 )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(4,593 )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Core deposit and other intangible assets</w:t>
            </w:r>
          </w:p>
        </w:tc>
        <w:tc>
          <w:tcPr>
            <w:tcW w:w="14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(201 )</w:t>
            </w:r>
          </w:p>
        </w:tc>
        <w:tc>
          <w:tcPr>
            <w:tcW w:w="1340" w:type="dxa"/>
            <w:vAlign w:val="bottom"/>
            <w:gridSpan w:val="3"/>
          </w:tcPr>
          <w:p>
            <w:pPr>
              <w:jc w:val="right"/>
              <w:ind w:right="60"/>
              <w:spacing w:after="0"/>
              <w:rPr>
                <w:sz w:val="20"/>
                <w:szCs w:val="20"/>
                <w:color w:val="auto"/>
              </w:rPr>
            </w:pPr>
            <w:r>
              <w:rPr>
                <w:rFonts w:ascii="Arial" w:cs="Arial" w:eastAsia="Arial" w:hAnsi="Arial"/>
                <w:sz w:val="11"/>
                <w:szCs w:val="11"/>
                <w:color w:val="auto"/>
              </w:rPr>
              <w:t>(218 )</w:t>
            </w:r>
          </w:p>
        </w:tc>
        <w:tc>
          <w:tcPr>
            <w:tcW w:w="1640" w:type="dxa"/>
            <w:vAlign w:val="bottom"/>
            <w:gridSpan w:val="3"/>
          </w:tcPr>
          <w:p>
            <w:pPr>
              <w:jc w:val="right"/>
              <w:ind w:right="320"/>
              <w:spacing w:after="0"/>
              <w:rPr>
                <w:sz w:val="20"/>
                <w:szCs w:val="20"/>
                <w:color w:val="auto"/>
              </w:rPr>
            </w:pPr>
            <w:r>
              <w:rPr>
                <w:rFonts w:ascii="Arial" w:cs="Arial" w:eastAsia="Arial" w:hAnsi="Arial"/>
                <w:sz w:val="11"/>
                <w:szCs w:val="11"/>
                <w:color w:val="auto"/>
              </w:rPr>
              <w:t>(236 )</w:t>
            </w:r>
          </w:p>
        </w:tc>
        <w:tc>
          <w:tcPr>
            <w:tcW w:w="26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1"/>
                <w:szCs w:val="11"/>
                <w:color w:val="auto"/>
              </w:rPr>
              <w:t>(254 )</w:t>
            </w: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Deferred taxes</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140"/>
              <w:spacing w:after="0"/>
              <w:rPr>
                <w:sz w:val="20"/>
                <w:szCs w:val="20"/>
                <w:color w:val="auto"/>
              </w:rPr>
            </w:pPr>
            <w:r>
              <w:rPr>
                <w:rFonts w:ascii="Arial" w:cs="Arial" w:eastAsia="Arial" w:hAnsi="Arial"/>
                <w:sz w:val="11"/>
                <w:szCs w:val="11"/>
                <w:color w:val="auto"/>
              </w:rPr>
              <w:t>Average tangible common equity</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14,724</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14,677</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14,973</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15,384</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11,549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At end of quarter</w:t>
            </w:r>
          </w:p>
        </w:tc>
        <w:tc>
          <w:tcPr>
            <w:tcW w:w="1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8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assets</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202,956</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200,730</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197,955</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204,033</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149,864</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Goodwill</w:t>
            </w:r>
          </w:p>
        </w:tc>
        <w:tc>
          <w:tcPr>
            <w:tcW w:w="14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(8,490 )</w:t>
            </w:r>
          </w:p>
        </w:tc>
        <w:tc>
          <w:tcPr>
            <w:tcW w:w="1340" w:type="dxa"/>
            <w:vAlign w:val="bottom"/>
            <w:gridSpan w:val="3"/>
          </w:tcPr>
          <w:p>
            <w:pPr>
              <w:jc w:val="right"/>
              <w:ind w:right="60"/>
              <w:spacing w:after="0"/>
              <w:rPr>
                <w:sz w:val="20"/>
                <w:szCs w:val="20"/>
                <w:color w:val="auto"/>
              </w:rPr>
            </w:pPr>
            <w:r>
              <w:rPr>
                <w:rFonts w:ascii="Arial" w:cs="Arial" w:eastAsia="Arial" w:hAnsi="Arial"/>
                <w:sz w:val="11"/>
                <w:szCs w:val="11"/>
                <w:color w:val="auto"/>
              </w:rPr>
              <w:t>(8,490 )</w:t>
            </w:r>
          </w:p>
        </w:tc>
        <w:tc>
          <w:tcPr>
            <w:tcW w:w="1640" w:type="dxa"/>
            <w:vAlign w:val="bottom"/>
            <w:gridSpan w:val="3"/>
          </w:tcPr>
          <w:p>
            <w:pPr>
              <w:jc w:val="right"/>
              <w:ind w:right="320"/>
              <w:spacing w:after="0"/>
              <w:rPr>
                <w:sz w:val="20"/>
                <w:szCs w:val="20"/>
                <w:color w:val="auto"/>
              </w:rPr>
            </w:pPr>
            <w:r>
              <w:rPr>
                <w:rFonts w:ascii="Arial" w:cs="Arial" w:eastAsia="Arial" w:hAnsi="Arial"/>
                <w:sz w:val="11"/>
                <w:szCs w:val="11"/>
                <w:color w:val="auto"/>
              </w:rPr>
              <w:t>(8,501 )</w:t>
            </w:r>
          </w:p>
        </w:tc>
        <w:tc>
          <w:tcPr>
            <w:tcW w:w="26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1"/>
                <w:szCs w:val="11"/>
                <w:color w:val="auto"/>
              </w:rPr>
              <w:t>(8,501 )</w:t>
            </w: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(4,593 )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Core deposit and other intangible assets</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(192 )</w:t>
            </w: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(209 )</w:t>
            </w:r>
          </w:p>
        </w:tc>
        <w:tc>
          <w:tcPr>
            <w:tcW w:w="1640" w:type="dxa"/>
            <w:vAlign w:val="bottom"/>
            <w:gridSpan w:val="3"/>
            <w:shd w:val="clear" w:color="auto" w:fill="CFF0FC"/>
          </w:tcPr>
          <w:p>
            <w:pPr>
              <w:jc w:val="right"/>
              <w:ind w:right="320"/>
              <w:spacing w:after="0"/>
              <w:rPr>
                <w:sz w:val="20"/>
                <w:szCs w:val="20"/>
                <w:color w:val="auto"/>
              </w:rPr>
            </w:pPr>
            <w:r>
              <w:rPr>
                <w:rFonts w:ascii="Arial" w:cs="Arial" w:eastAsia="Arial" w:hAnsi="Arial"/>
                <w:sz w:val="11"/>
                <w:szCs w:val="11"/>
                <w:color w:val="auto"/>
              </w:rPr>
              <w:t>(227 )</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(245 )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Deferred taxes</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54</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57</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Total tangible assets</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194,321</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192,082</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189,281</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195,344</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145,269</w:t>
            </w: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88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Total common equity</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6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equity</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25,377</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25,318</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25,256</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25,795</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17,876</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Preferred stock</w:t>
            </w:r>
          </w:p>
        </w:tc>
        <w:tc>
          <w:tcPr>
            <w:tcW w:w="14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(2,011 )</w:t>
            </w:r>
          </w:p>
        </w:tc>
        <w:tc>
          <w:tcPr>
            <w:tcW w:w="1340" w:type="dxa"/>
            <w:vAlign w:val="bottom"/>
            <w:gridSpan w:val="3"/>
          </w:tcPr>
          <w:p>
            <w:pPr>
              <w:jc w:val="right"/>
              <w:ind w:right="60"/>
              <w:spacing w:after="0"/>
              <w:rPr>
                <w:sz w:val="20"/>
                <w:szCs w:val="20"/>
                <w:color w:val="auto"/>
              </w:rPr>
            </w:pPr>
            <w:r>
              <w:rPr>
                <w:rFonts w:ascii="Arial" w:cs="Arial" w:eastAsia="Arial" w:hAnsi="Arial"/>
                <w:sz w:val="11"/>
                <w:szCs w:val="11"/>
                <w:color w:val="auto"/>
              </w:rPr>
              <w:t>(2,011 )</w:t>
            </w:r>
          </w:p>
        </w:tc>
        <w:tc>
          <w:tcPr>
            <w:tcW w:w="1640" w:type="dxa"/>
            <w:vAlign w:val="bottom"/>
            <w:gridSpan w:val="3"/>
          </w:tcPr>
          <w:p>
            <w:pPr>
              <w:jc w:val="right"/>
              <w:ind w:right="320"/>
              <w:spacing w:after="0"/>
              <w:rPr>
                <w:sz w:val="20"/>
                <w:szCs w:val="20"/>
                <w:color w:val="auto"/>
              </w:rPr>
            </w:pPr>
            <w:r>
              <w:rPr>
                <w:rFonts w:ascii="Arial" w:cs="Arial" w:eastAsia="Arial" w:hAnsi="Arial"/>
                <w:sz w:val="11"/>
                <w:szCs w:val="11"/>
                <w:color w:val="auto"/>
              </w:rPr>
              <w:t>(2,011 )</w:t>
            </w:r>
          </w:p>
        </w:tc>
        <w:tc>
          <w:tcPr>
            <w:tcW w:w="26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1"/>
                <w:szCs w:val="11"/>
                <w:color w:val="auto"/>
              </w:rPr>
              <w:t>(2,011 )</w:t>
            </w: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(1,750 )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Common equity</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23,366</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23,307</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23,245</w:t>
            </w: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23,784</w:t>
            </w: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16,126</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Goodwill</w:t>
            </w:r>
          </w:p>
        </w:tc>
        <w:tc>
          <w:tcPr>
            <w:tcW w:w="14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(8,490 )</w:t>
            </w:r>
          </w:p>
        </w:tc>
        <w:tc>
          <w:tcPr>
            <w:tcW w:w="1340" w:type="dxa"/>
            <w:vAlign w:val="bottom"/>
            <w:gridSpan w:val="3"/>
          </w:tcPr>
          <w:p>
            <w:pPr>
              <w:jc w:val="right"/>
              <w:ind w:right="60"/>
              <w:spacing w:after="0"/>
              <w:rPr>
                <w:sz w:val="20"/>
                <w:szCs w:val="20"/>
                <w:color w:val="auto"/>
              </w:rPr>
            </w:pPr>
            <w:r>
              <w:rPr>
                <w:rFonts w:ascii="Arial" w:cs="Arial" w:eastAsia="Arial" w:hAnsi="Arial"/>
                <w:sz w:val="11"/>
                <w:szCs w:val="11"/>
                <w:color w:val="auto"/>
              </w:rPr>
              <w:t>(8,490 )</w:t>
            </w:r>
          </w:p>
        </w:tc>
        <w:tc>
          <w:tcPr>
            <w:tcW w:w="1640" w:type="dxa"/>
            <w:vAlign w:val="bottom"/>
            <w:gridSpan w:val="3"/>
          </w:tcPr>
          <w:p>
            <w:pPr>
              <w:jc w:val="right"/>
              <w:ind w:right="320"/>
              <w:spacing w:after="0"/>
              <w:rPr>
                <w:sz w:val="20"/>
                <w:szCs w:val="20"/>
                <w:color w:val="auto"/>
              </w:rPr>
            </w:pPr>
            <w:r>
              <w:rPr>
                <w:rFonts w:ascii="Arial" w:cs="Arial" w:eastAsia="Arial" w:hAnsi="Arial"/>
                <w:sz w:val="11"/>
                <w:szCs w:val="11"/>
                <w:color w:val="auto"/>
              </w:rPr>
              <w:t>(8,501 )</w:t>
            </w:r>
          </w:p>
        </w:tc>
        <w:tc>
          <w:tcPr>
            <w:tcW w:w="26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1"/>
                <w:szCs w:val="11"/>
                <w:color w:val="auto"/>
              </w:rPr>
              <w:t>(8,501 )</w:t>
            </w: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(4,593 )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Core deposit and other intangible assets</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(192 )</w:t>
            </w: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(209 )</w:t>
            </w:r>
          </w:p>
        </w:tc>
        <w:tc>
          <w:tcPr>
            <w:tcW w:w="1640" w:type="dxa"/>
            <w:vAlign w:val="bottom"/>
            <w:gridSpan w:val="3"/>
            <w:shd w:val="clear" w:color="auto" w:fill="CFF0FC"/>
          </w:tcPr>
          <w:p>
            <w:pPr>
              <w:jc w:val="right"/>
              <w:ind w:right="320"/>
              <w:spacing w:after="0"/>
              <w:rPr>
                <w:sz w:val="20"/>
                <w:szCs w:val="20"/>
                <w:color w:val="auto"/>
              </w:rPr>
            </w:pPr>
            <w:r>
              <w:rPr>
                <w:rFonts w:ascii="Arial" w:cs="Arial" w:eastAsia="Arial" w:hAnsi="Arial"/>
                <w:sz w:val="11"/>
                <w:szCs w:val="11"/>
                <w:color w:val="auto"/>
              </w:rPr>
              <w:t>(227 )</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(245 )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tcPr>
          <w:p>
            <w:pPr>
              <w:ind w:left="20"/>
              <w:spacing w:after="0"/>
              <w:rPr>
                <w:sz w:val="20"/>
                <w:szCs w:val="20"/>
                <w:color w:val="auto"/>
              </w:rPr>
            </w:pPr>
            <w:r>
              <w:rPr>
                <w:rFonts w:ascii="Arial" w:cs="Arial" w:eastAsia="Arial" w:hAnsi="Arial"/>
                <w:sz w:val="11"/>
                <w:szCs w:val="11"/>
                <w:color w:val="auto"/>
              </w:rPr>
              <w:t>Deferred taxes</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54</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57</w:t>
            </w: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Total tangible common equity</w:t>
            </w: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14,731</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14,659</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14,571</w:t>
            </w: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15,095</w:t>
            </w:r>
          </w:p>
        </w:tc>
        <w:tc>
          <w:tcPr>
            <w:tcW w:w="3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11,531</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(a)After any related tax effect.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- 77 -</w:t>
      </w:r>
    </w:p>
    <w:p>
      <w:pPr>
        <w:sectPr>
          <w:pgSz w:w="11900" w:h="16840" w:orient="portrait"/>
          <w:cols w:equalWidth="0" w:num="1">
            <w:col w:w="10580"/>
          </w:cols>
          <w:pgMar w:left="660" w:top="743" w:right="66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M&amp;T BANK CORPORATION AND SUBSIDIARIES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300"/>
        </w:trPr>
        <w:tc>
          <w:tcPr>
            <w:tcW w:w="6880" w:type="dxa"/>
            <w:vAlign w:val="bottom"/>
            <w:gridSpan w:val="14"/>
          </w:tcPr>
          <w:p>
            <w:pPr>
              <w:spacing w:after="0"/>
              <w:rPr>
                <w:sz w:val="20"/>
                <w:szCs w:val="20"/>
                <w:color w:val="auto"/>
              </w:rPr>
            </w:pPr>
            <w:r>
              <w:rPr>
                <w:rFonts w:ascii="Arial" w:cs="Arial" w:eastAsia="Arial" w:hAnsi="Arial"/>
                <w:sz w:val="18"/>
                <w:szCs w:val="18"/>
                <w:color w:val="auto"/>
                <w:w w:val="99"/>
              </w:rPr>
              <w:t>AVERAGE BALANCE SHEETS AND ANNUALIZED TAXABLE-EQUIVALENT RATES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6"/>
          </w:tcPr>
          <w:p>
            <w:pPr>
              <w:ind w:left="20"/>
              <w:spacing w:after="0"/>
              <w:rPr>
                <w:sz w:val="20"/>
                <w:szCs w:val="20"/>
                <w:color w:val="auto"/>
              </w:rPr>
            </w:pPr>
            <w:r>
              <w:rPr>
                <w:rFonts w:ascii="Arial" w:cs="Arial" w:eastAsia="Arial" w:hAnsi="Arial"/>
                <w:sz w:val="11"/>
                <w:szCs w:val="11"/>
                <w:b w:val="1"/>
                <w:bCs w:val="1"/>
                <w:color w:val="auto"/>
                <w:w w:val="97"/>
              </w:rPr>
              <w:t>2023 First Quarter</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9"/>
          </w:tcPr>
          <w:p>
            <w:pPr>
              <w:jc w:val="right"/>
              <w:ind w:right="680"/>
              <w:spacing w:after="0"/>
              <w:rPr>
                <w:sz w:val="20"/>
                <w:szCs w:val="20"/>
                <w:color w:val="auto"/>
              </w:rPr>
            </w:pPr>
            <w:r>
              <w:rPr>
                <w:rFonts w:ascii="Arial" w:cs="Arial" w:eastAsia="Arial" w:hAnsi="Arial"/>
                <w:sz w:val="11"/>
                <w:szCs w:val="11"/>
                <w:b w:val="1"/>
                <w:bCs w:val="1"/>
                <w:color w:val="auto"/>
              </w:rPr>
              <w:t>2022 Fourth Quarter</w:t>
            </w:r>
          </w:p>
        </w:tc>
        <w:tc>
          <w:tcPr>
            <w:tcW w:w="120" w:type="dxa"/>
            <w:vAlign w:val="bottom"/>
          </w:tcPr>
          <w:p>
            <w:pPr>
              <w:spacing w:after="0"/>
              <w:rPr>
                <w:sz w:val="15"/>
                <w:szCs w:val="15"/>
                <w:color w:val="auto"/>
              </w:rPr>
            </w:pPr>
          </w:p>
        </w:tc>
        <w:tc>
          <w:tcPr>
            <w:tcW w:w="1980" w:type="dxa"/>
            <w:vAlign w:val="bottom"/>
            <w:gridSpan w:val="9"/>
          </w:tcPr>
          <w:p>
            <w:pPr>
              <w:jc w:val="right"/>
              <w:ind w:right="680"/>
              <w:spacing w:after="0"/>
              <w:rPr>
                <w:sz w:val="20"/>
                <w:szCs w:val="20"/>
                <w:color w:val="auto"/>
              </w:rPr>
            </w:pPr>
            <w:r>
              <w:rPr>
                <w:rFonts w:ascii="Arial" w:cs="Arial" w:eastAsia="Arial" w:hAnsi="Arial"/>
                <w:sz w:val="11"/>
                <w:szCs w:val="11"/>
                <w:b w:val="1"/>
                <w:bCs w:val="1"/>
                <w:color w:val="auto"/>
              </w:rPr>
              <w:t>2022 Third Quarter</w:t>
            </w: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6"/>
              </w:rPr>
              <w:t>Average</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Average</w:t>
            </w:r>
          </w:p>
        </w:tc>
        <w:tc>
          <w:tcPr>
            <w:tcW w:w="58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52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4"/>
          </w:tcPr>
          <w:p>
            <w:pPr>
              <w:ind w:left="40"/>
              <w:spacing w:after="0"/>
              <w:rPr>
                <w:sz w:val="20"/>
                <w:szCs w:val="20"/>
                <w:color w:val="auto"/>
              </w:rPr>
            </w:pPr>
            <w:r>
              <w:rPr>
                <w:rFonts w:ascii="Arial" w:cs="Arial" w:eastAsia="Arial" w:hAnsi="Arial"/>
                <w:sz w:val="11"/>
                <w:szCs w:val="11"/>
                <w:b w:val="1"/>
                <w:bCs w:val="1"/>
                <w:color w:val="auto"/>
              </w:rPr>
              <w:t>Interest</w:t>
            </w:r>
          </w:p>
        </w:tc>
        <w:tc>
          <w:tcPr>
            <w:tcW w:w="7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Rate</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3"/>
                <w:szCs w:val="13"/>
                <w:color w:val="auto"/>
              </w:rPr>
            </w:pPr>
          </w:p>
        </w:tc>
        <w:tc>
          <w:tcPr>
            <w:tcW w:w="560" w:type="dxa"/>
            <w:vAlign w:val="bottom"/>
            <w:gridSpan w:val="3"/>
          </w:tcPr>
          <w:p>
            <w:pPr>
              <w:ind w:left="40"/>
              <w:spacing w:after="0"/>
              <w:rPr>
                <w:sz w:val="20"/>
                <w:szCs w:val="20"/>
                <w:color w:val="auto"/>
              </w:rPr>
            </w:pPr>
            <w:r>
              <w:rPr>
                <w:rFonts w:ascii="Arial" w:cs="Arial" w:eastAsia="Arial" w:hAnsi="Arial"/>
                <w:sz w:val="11"/>
                <w:szCs w:val="11"/>
                <w:b w:val="1"/>
                <w:bCs w:val="1"/>
                <w:color w:val="auto"/>
              </w:rPr>
              <w:t>Interest</w:t>
            </w:r>
          </w:p>
        </w:tc>
        <w:tc>
          <w:tcPr>
            <w:tcW w:w="12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Rate</w:t>
            </w:r>
          </w:p>
        </w:tc>
        <w:tc>
          <w:tcPr>
            <w:tcW w:w="58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3"/>
                <w:szCs w:val="13"/>
                <w:color w:val="auto"/>
              </w:rPr>
            </w:pP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56"/>
        </w:trPr>
        <w:tc>
          <w:tcPr>
            <w:tcW w:w="414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Average balance in millions; interest in thousands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40" w:type="dxa"/>
            <w:vAlign w:val="bottom"/>
            <w:gridSpan w:val="2"/>
          </w:tcPr>
          <w:p>
            <w:pPr>
              <w:ind w:left="20"/>
              <w:spacing w:after="0"/>
              <w:rPr>
                <w:sz w:val="20"/>
                <w:szCs w:val="20"/>
                <w:color w:val="auto"/>
              </w:rPr>
            </w:pPr>
            <w:r>
              <w:rPr>
                <w:rFonts w:ascii="Arial" w:cs="Arial" w:eastAsia="Arial" w:hAnsi="Arial"/>
                <w:sz w:val="11"/>
                <w:szCs w:val="11"/>
                <w:b w:val="1"/>
                <w:bCs w:val="1"/>
                <w:color w:val="auto"/>
              </w:rPr>
              <w:t>Assets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Earning assets</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Loans and leases, net of unearned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discount (a)</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Commercial, financial, etc.</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676,1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581,1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470,7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FF0FC"/>
          </w:tcPr>
          <w:p>
            <w:pPr>
              <w:ind w:left="40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42,428</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6.46 %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40,038</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w:t>
            </w:r>
          </w:p>
        </w:tc>
        <w:tc>
          <w:tcPr>
            <w:tcW w:w="1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5.76 %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38,321</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w:t>
            </w:r>
          </w:p>
        </w:tc>
        <w:tc>
          <w:tcPr>
            <w:tcW w:w="8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4.87 %</w:t>
            </w: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Real estate – commercial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659,0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591,2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531,2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45,327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45,690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46,282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4.49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Real estate – consumer</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23,770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23,334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22,962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3.84</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Consumer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286,5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239,4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20,487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20,344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5.28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19,960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4.76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Total loans and leases, net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132,01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129,40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127,52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1,461,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432</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5.12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898</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4.55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Interest-bearing deposits at banks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237,0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172,9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24,312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25,089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3.75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30,752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Federal funds sold and agreements</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to resell securities</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4.32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Trading account</w:t>
            </w:r>
          </w:p>
        </w:tc>
        <w:tc>
          <w:tcPr>
            <w:tcW w:w="400" w:type="dxa"/>
            <w:vAlign w:val="bottom"/>
          </w:tcPr>
          <w:p>
            <w:pPr>
              <w:jc w:val="right"/>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652</w:t>
            </w: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583</w:t>
            </w:r>
          </w:p>
        </w:tc>
        <w:tc>
          <w:tcPr>
            <w:tcW w:w="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1.78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Investment securities (b)</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U.S. Treasury and federal agencies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166,9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140,3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124,0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23,795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21,590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20,227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2.43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Obligations of states and political subdivisions</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23,62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3.49</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Other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13,55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11,94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1,100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3.91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Total investment securities</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157,8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27,622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25,297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23,945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2.62</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b w:val="1"/>
                <w:bCs w:val="1"/>
                <w:color w:val="auto"/>
              </w:rPr>
              <w:t>Total earning assets</w:t>
            </w: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184,06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2,340,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179,91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182,38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7"/>
              </w:rPr>
              <w:t>1,793,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447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0" w:lineRule="exact"/>
              <w:rPr>
                <w:sz w:val="20"/>
                <w:szCs w:val="20"/>
                <w:color w:val="auto"/>
              </w:rPr>
            </w:pPr>
            <w:r>
              <w:rPr>
                <w:rFonts w:ascii="Arial" w:cs="Arial" w:eastAsia="Arial" w:hAnsi="Arial"/>
                <w:sz w:val="11"/>
                <w:szCs w:val="11"/>
                <w:color w:val="auto"/>
              </w:rPr>
              <w:t>594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340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4.60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3.90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Allowance for credit losses</w:t>
            </w:r>
          </w:p>
        </w:tc>
        <w:tc>
          <w:tcPr>
            <w:tcW w:w="50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(1,938 )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(1,888 )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(1,822 )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Cash and due from banks</w:t>
            </w:r>
          </w:p>
        </w:tc>
        <w:tc>
          <w:tcPr>
            <w:tcW w:w="400" w:type="dxa"/>
            <w:vAlign w:val="bottom"/>
          </w:tcPr>
          <w:p>
            <w:pPr>
              <w:jc w:val="right"/>
              <w:spacing w:after="0"/>
              <w:rPr>
                <w:sz w:val="20"/>
                <w:szCs w:val="20"/>
                <w:color w:val="auto"/>
              </w:rPr>
            </w:pPr>
            <w:r>
              <w:rPr>
                <w:rFonts w:ascii="Arial" w:cs="Arial" w:eastAsia="Arial" w:hAnsi="Arial"/>
                <w:sz w:val="11"/>
                <w:szCs w:val="11"/>
                <w:color w:val="auto"/>
              </w:rPr>
              <w:t>1,952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1,989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1,962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Other assets</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18,516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18,577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18,609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color w:val="auto"/>
              </w:rPr>
              <w:t>Total assets</w:t>
            </w:r>
          </w:p>
        </w:tc>
        <w:tc>
          <w:tcPr>
            <w:tcW w:w="400" w:type="dxa"/>
            <w:vAlign w:val="bottom"/>
          </w:tcPr>
          <w:p>
            <w:pPr>
              <w:jc w:val="right"/>
              <w:spacing w:after="0"/>
              <w:rPr>
                <w:sz w:val="20"/>
                <w:szCs w:val="20"/>
                <w:color w:val="auto"/>
              </w:rPr>
            </w:pPr>
            <w:r>
              <w:rPr>
                <w:rFonts w:ascii="Arial" w:cs="Arial" w:eastAsia="Arial" w:hAnsi="Arial"/>
                <w:sz w:val="11"/>
                <w:szCs w:val="11"/>
                <w:color w:val="auto"/>
              </w:rPr>
              <w:t>202,59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198,59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201,13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Liabilities and shareholders’ equity</w:t>
            </w: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Interest-bearing liabilities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Interest-bearing deposits</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Savings and interest-checking deposits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277,0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167,4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68,69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gridSpan w:val="2"/>
          </w:tcPr>
          <w:p>
            <w:pPr>
              <w:ind w:left="40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88,053</w:t>
            </w:r>
          </w:p>
        </w:tc>
        <w:tc>
          <w:tcPr>
            <w:tcW w:w="3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68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1.28</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87,068</w:t>
            </w:r>
          </w:p>
        </w:tc>
        <w:tc>
          <w:tcPr>
            <w:tcW w:w="12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.76</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89,360</w:t>
            </w:r>
          </w:p>
        </w:tc>
        <w:tc>
          <w:tcPr>
            <w:tcW w:w="10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Time deposits</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89,19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11,630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6,182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1,124</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.09</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color w:val="auto"/>
              </w:rPr>
              <w:t>Total interest-bearing deposits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366,2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187,5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69,81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99,683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93,250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94,410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Short-term borrowings</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57,77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4,994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2,670</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1.16</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Long-term borrowings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84,68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43,95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30,33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6,511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3,753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3,281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3.67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80"/>
              <w:spacing w:after="0"/>
              <w:rPr>
                <w:sz w:val="20"/>
                <w:szCs w:val="20"/>
                <w:color w:val="auto"/>
              </w:rPr>
            </w:pPr>
            <w:r>
              <w:rPr>
                <w:rFonts w:ascii="Arial" w:cs="Arial" w:eastAsia="Arial" w:hAnsi="Arial"/>
                <w:sz w:val="11"/>
                <w:szCs w:val="11"/>
                <w:b w:val="1"/>
                <w:bCs w:val="1"/>
                <w:color w:val="auto"/>
              </w:rPr>
              <w:t>Total interest-bearing liabilities</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111,18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508,7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244,8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98,635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98,604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Noninterest-bearing deposits</w:t>
            </w:r>
          </w:p>
        </w:tc>
        <w:tc>
          <w:tcPr>
            <w:tcW w:w="400" w:type="dxa"/>
            <w:vAlign w:val="bottom"/>
          </w:tcPr>
          <w:p>
            <w:pPr>
              <w:jc w:val="right"/>
              <w:spacing w:after="0"/>
              <w:rPr>
                <w:sz w:val="20"/>
                <w:szCs w:val="20"/>
                <w:color w:val="auto"/>
              </w:rPr>
            </w:pPr>
            <w:r>
              <w:rPr>
                <w:rFonts w:ascii="Arial" w:cs="Arial" w:eastAsia="Arial" w:hAnsi="Arial"/>
                <w:sz w:val="11"/>
                <w:szCs w:val="11"/>
                <w:color w:val="auto"/>
              </w:rPr>
              <w:t>61,854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70,218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72,861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Other liabilities</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4,180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4,393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4,001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color w:val="auto"/>
              </w:rPr>
              <w:t>Total liabilities</w:t>
            </w:r>
          </w:p>
        </w:tc>
        <w:tc>
          <w:tcPr>
            <w:tcW w:w="400" w:type="dxa"/>
            <w:vAlign w:val="bottom"/>
          </w:tcPr>
          <w:p>
            <w:pPr>
              <w:jc w:val="right"/>
              <w:spacing w:after="0"/>
              <w:rPr>
                <w:sz w:val="20"/>
                <w:szCs w:val="20"/>
                <w:color w:val="auto"/>
              </w:rPr>
            </w:pPr>
            <w:r>
              <w:rPr>
                <w:rFonts w:ascii="Arial" w:cs="Arial" w:eastAsia="Arial" w:hAnsi="Arial"/>
                <w:sz w:val="11"/>
                <w:szCs w:val="11"/>
                <w:color w:val="auto"/>
              </w:rPr>
              <w:t>177,22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173,24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175,46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Shareholders’ equity</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25,377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25,346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25,665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color w:val="auto"/>
              </w:rPr>
              <w:t>Total liabilities and shareholders’ equity</w:t>
            </w:r>
          </w:p>
        </w:tc>
        <w:tc>
          <w:tcPr>
            <w:tcW w:w="400" w:type="dxa"/>
            <w:vAlign w:val="bottom"/>
          </w:tcPr>
          <w:p>
            <w:pPr>
              <w:jc w:val="right"/>
              <w:spacing w:after="0"/>
              <w:rPr>
                <w:sz w:val="20"/>
                <w:szCs w:val="20"/>
                <w:color w:val="auto"/>
              </w:rPr>
            </w:pPr>
            <w:r>
              <w:rPr>
                <w:rFonts w:ascii="Arial" w:cs="Arial" w:eastAsia="Arial" w:hAnsi="Arial"/>
                <w:sz w:val="11"/>
                <w:szCs w:val="11"/>
                <w:color w:val="auto"/>
              </w:rPr>
              <w:t>202,59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198,59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201,13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gridSpan w:val="2"/>
          </w:tcPr>
          <w:p>
            <w:pPr>
              <w:ind w:left="40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interest spread</w:t>
            </w: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3.62</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3.49</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Contribution of interest-free funds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interest income/margin on earning assets</w:t>
            </w: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1,831,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1,690,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4.04 %</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759</w:t>
            </w:r>
          </w:p>
        </w:tc>
        <w:tc>
          <w:tcPr>
            <w:tcW w:w="10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4.06 %</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518</w:t>
            </w:r>
          </w:p>
        </w:tc>
        <w:tc>
          <w:tcPr>
            <w:tcW w:w="8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3.68 %</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(a)Includes nonaccrual loans.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(b)Includes available-for-sale securities at amortized cost.</w:t>
      </w:r>
    </w:p>
    <w:p>
      <w:pPr>
        <w:spacing w:after="0" w:line="95" w:lineRule="exact"/>
        <w:rPr>
          <w:sz w:val="20"/>
          <w:szCs w:val="20"/>
          <w:color w:val="auto"/>
        </w:rPr>
      </w:pPr>
    </w:p>
    <w:p>
      <w:pPr>
        <w:ind w:left="9660"/>
        <w:spacing w:after="0"/>
        <w:rPr>
          <w:sz w:val="20"/>
          <w:szCs w:val="20"/>
          <w:color w:val="auto"/>
        </w:rPr>
      </w:pPr>
      <w:r>
        <w:rPr>
          <w:rFonts w:ascii="Arial" w:cs="Arial" w:eastAsia="Arial" w:hAnsi="Arial"/>
          <w:sz w:val="17"/>
          <w:szCs w:val="17"/>
          <w:color w:val="auto"/>
        </w:rPr>
        <w:t>(continued)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- 78 -</w:t>
      </w:r>
    </w:p>
    <w:p>
      <w:pPr>
        <w:sectPr>
          <w:pgSz w:w="11900" w:h="16840" w:orient="portrait"/>
          <w:cols w:equalWidth="0" w:num="1">
            <w:col w:w="10560"/>
          </w:cols>
          <w:pgMar w:left="660" w:top="743" w:right="68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M&amp;T BANK CORPORATION AND SUBSIDIARIES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gridSpan w:val="4"/>
          </w:tcPr>
          <w:p>
            <w:pPr>
              <w:ind w:left="20"/>
              <w:spacing w:after="0"/>
              <w:rPr>
                <w:sz w:val="20"/>
                <w:szCs w:val="20"/>
                <w:color w:val="auto"/>
              </w:rPr>
            </w:pPr>
            <w:r>
              <w:rPr>
                <w:rFonts w:ascii="Arial" w:cs="Arial" w:eastAsia="Arial" w:hAnsi="Arial"/>
                <w:sz w:val="18"/>
                <w:szCs w:val="18"/>
                <w:color w:val="auto"/>
                <w:w w:val="97"/>
              </w:rPr>
              <w:t>Table 3 (continued)</w:t>
            </w:r>
          </w:p>
        </w:tc>
        <w:tc>
          <w:tcPr>
            <w:tcW w:w="0" w:type="dxa"/>
            <w:vAlign w:val="bottom"/>
          </w:tcPr>
          <w:p>
            <w:pPr>
              <w:spacing w:after="0"/>
              <w:rPr>
                <w:sz w:val="1"/>
                <w:szCs w:val="1"/>
                <w:color w:val="auto"/>
              </w:rPr>
            </w:pPr>
          </w:p>
        </w:tc>
      </w:tr>
      <w:tr>
        <w:trPr>
          <w:trHeight w:val="312"/>
        </w:trPr>
        <w:tc>
          <w:tcPr>
            <w:tcW w:w="7980" w:type="dxa"/>
            <w:vAlign w:val="bottom"/>
            <w:gridSpan w:val="15"/>
          </w:tcPr>
          <w:p>
            <w:pPr>
              <w:spacing w:after="0"/>
              <w:rPr>
                <w:sz w:val="20"/>
                <w:szCs w:val="20"/>
                <w:color w:val="auto"/>
              </w:rPr>
            </w:pPr>
            <w:r>
              <w:rPr>
                <w:rFonts w:ascii="Arial" w:cs="Arial" w:eastAsia="Arial" w:hAnsi="Arial"/>
                <w:sz w:val="18"/>
                <w:szCs w:val="18"/>
                <w:color w:val="auto"/>
              </w:rPr>
              <w:t>AVERAGE BALANCE SHEETS AND ANNUALIZED TAXABLE-EQUIVALENT RATES (continued)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6"/>
          </w:tcPr>
          <w:p>
            <w:pPr>
              <w:ind w:left="20"/>
              <w:spacing w:after="0"/>
              <w:rPr>
                <w:sz w:val="20"/>
                <w:szCs w:val="20"/>
                <w:color w:val="auto"/>
              </w:rPr>
            </w:pPr>
            <w:r>
              <w:rPr>
                <w:rFonts w:ascii="Arial" w:cs="Arial" w:eastAsia="Arial" w:hAnsi="Arial"/>
                <w:sz w:val="13"/>
                <w:szCs w:val="13"/>
                <w:b w:val="1"/>
                <w:bCs w:val="1"/>
                <w:color w:val="auto"/>
              </w:rPr>
              <w:t>2022 Second Quarter</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2022 First Quarter</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83"/>
        </w:trPr>
        <w:tc>
          <w:tcPr>
            <w:tcW w:w="318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Average balance in millions; interest in thousands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b w:val="1"/>
                <w:bCs w:val="1"/>
                <w:color w:val="auto"/>
              </w:rPr>
              <w:t>Interest</w:t>
            </w: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28"/>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176"/>
        </w:trPr>
        <w:tc>
          <w:tcPr>
            <w:tcW w:w="3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Earning assets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20"/>
              <w:spacing w:after="0"/>
              <w:rPr>
                <w:sz w:val="20"/>
                <w:szCs w:val="20"/>
                <w:color w:val="auto"/>
              </w:rPr>
            </w:pPr>
            <w:r>
              <w:rPr>
                <w:rFonts w:ascii="Arial" w:cs="Arial" w:eastAsia="Arial" w:hAnsi="Arial"/>
                <w:sz w:val="14"/>
                <w:szCs w:val="14"/>
                <w:color w:val="auto"/>
              </w:rPr>
              <w:t>Loans and leases, net of unearned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80" w:type="dxa"/>
            <w:vAlign w:val="bottom"/>
          </w:tcPr>
          <w:p>
            <w:pPr>
              <w:ind w:left="180"/>
              <w:spacing w:after="0"/>
              <w:rPr>
                <w:sz w:val="20"/>
                <w:szCs w:val="20"/>
                <w:color w:val="auto"/>
              </w:rPr>
            </w:pPr>
            <w:r>
              <w:rPr>
                <w:rFonts w:ascii="Arial" w:cs="Arial" w:eastAsia="Arial" w:hAnsi="Arial"/>
                <w:sz w:val="14"/>
                <w:szCs w:val="14"/>
                <w:color w:val="auto"/>
              </w:rPr>
              <w:t>discount (a)</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financial, etc.</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37,818</w:t>
            </w:r>
          </w:p>
        </w:tc>
        <w:tc>
          <w:tcPr>
            <w:tcW w:w="80" w:type="dxa"/>
            <w:vAlign w:val="bottom"/>
            <w:shd w:val="clear" w:color="auto" w:fill="CFF0FC"/>
          </w:tcPr>
          <w:p>
            <w:pPr>
              <w:spacing w:after="0"/>
              <w:rPr>
                <w:sz w:val="16"/>
                <w:szCs w:val="16"/>
                <w:color w:val="auto"/>
              </w:rPr>
            </w:pP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373,543</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3.96 %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23,305</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207,715</w:t>
            </w:r>
          </w:p>
        </w:tc>
        <w:tc>
          <w:tcPr>
            <w:tcW w:w="1560" w:type="dxa"/>
            <w:vAlign w:val="bottom"/>
            <w:gridSpan w:val="4"/>
            <w:shd w:val="clear" w:color="auto" w:fill="CFF0FC"/>
          </w:tcPr>
          <w:p>
            <w:pPr>
              <w:ind w:left="960"/>
              <w:spacing w:after="0"/>
              <w:rPr>
                <w:sz w:val="20"/>
                <w:szCs w:val="20"/>
                <w:color w:val="auto"/>
              </w:rPr>
            </w:pPr>
            <w:r>
              <w:rPr>
                <w:rFonts w:ascii="Arial" w:cs="Arial" w:eastAsia="Arial" w:hAnsi="Arial"/>
                <w:sz w:val="14"/>
                <w:szCs w:val="14"/>
                <w:color w:val="auto"/>
              </w:rPr>
              <w:t>3.61 %</w:t>
            </w:r>
          </w:p>
        </w:tc>
        <w:tc>
          <w:tcPr>
            <w:tcW w:w="0" w:type="dxa"/>
            <w:vAlign w:val="bottom"/>
          </w:tcPr>
          <w:p>
            <w:pPr>
              <w:spacing w:after="0"/>
              <w:rPr>
                <w:sz w:val="1"/>
                <w:szCs w:val="1"/>
                <w:color w:val="auto"/>
              </w:rPr>
            </w:pP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Real estate – commercial</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47,227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461,594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w w:val="95"/>
              </w:rPr>
              <w:t>3.87</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34,957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337,100</w:t>
            </w:r>
          </w:p>
        </w:tc>
        <w:tc>
          <w:tcPr>
            <w:tcW w:w="1260" w:type="dxa"/>
            <w:vAlign w:val="bottom"/>
            <w:gridSpan w:val="3"/>
          </w:tcPr>
          <w:p>
            <w:pPr>
              <w:ind w:left="960"/>
              <w:spacing w:after="0"/>
              <w:rPr>
                <w:sz w:val="20"/>
                <w:szCs w:val="20"/>
                <w:color w:val="auto"/>
              </w:rPr>
            </w:pPr>
            <w:r>
              <w:rPr>
                <w:rFonts w:ascii="Arial" w:cs="Arial" w:eastAsia="Arial" w:hAnsi="Arial"/>
                <w:sz w:val="14"/>
                <w:szCs w:val="14"/>
                <w:color w:val="auto"/>
              </w:rPr>
              <w:t>3.86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Real estate – consumer</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22,761</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207,080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5"/>
              </w:rPr>
              <w:t>3.64</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15,870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141,001</w:t>
            </w:r>
          </w:p>
        </w:tc>
        <w:tc>
          <w:tcPr>
            <w:tcW w:w="1260" w:type="dxa"/>
            <w:vAlign w:val="bottom"/>
            <w:gridSpan w:val="3"/>
            <w:shd w:val="clear" w:color="auto" w:fill="CFF0FC"/>
          </w:tcPr>
          <w:p>
            <w:pPr>
              <w:ind w:left="960"/>
              <w:spacing w:after="0"/>
              <w:rPr>
                <w:sz w:val="20"/>
                <w:szCs w:val="20"/>
                <w:color w:val="auto"/>
              </w:rPr>
            </w:pPr>
            <w:r>
              <w:rPr>
                <w:rFonts w:ascii="Arial" w:cs="Arial" w:eastAsia="Arial" w:hAnsi="Arial"/>
                <w:sz w:val="14"/>
                <w:szCs w:val="14"/>
                <w:color w:val="auto"/>
              </w:rPr>
              <w:t>3.55</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Consumer</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19,793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210,290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w w:val="95"/>
              </w:rPr>
              <w:t>4.26</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188,017</w:t>
            </w:r>
          </w:p>
        </w:tc>
        <w:tc>
          <w:tcPr>
            <w:tcW w:w="1260" w:type="dxa"/>
            <w:vAlign w:val="bottom"/>
            <w:gridSpan w:val="3"/>
          </w:tcPr>
          <w:p>
            <w:pPr>
              <w:ind w:left="960"/>
              <w:spacing w:after="0"/>
              <w:rPr>
                <w:sz w:val="20"/>
                <w:szCs w:val="20"/>
                <w:color w:val="auto"/>
              </w:rPr>
            </w:pPr>
            <w:r>
              <w:rPr>
                <w:rFonts w:ascii="Arial" w:cs="Arial" w:eastAsia="Arial" w:hAnsi="Arial"/>
                <w:sz w:val="14"/>
                <w:szCs w:val="14"/>
                <w:color w:val="auto"/>
              </w:rPr>
              <w:t>4.23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loans and leases, net</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127,599</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1,252,507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5"/>
              </w:rPr>
              <w:t>3.94</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92,159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873,833</w:t>
            </w:r>
          </w:p>
        </w:tc>
        <w:tc>
          <w:tcPr>
            <w:tcW w:w="1260" w:type="dxa"/>
            <w:vAlign w:val="bottom"/>
            <w:gridSpan w:val="3"/>
            <w:shd w:val="clear" w:color="auto" w:fill="CFF0FC"/>
          </w:tcPr>
          <w:p>
            <w:pPr>
              <w:ind w:left="960"/>
              <w:spacing w:after="0"/>
              <w:rPr>
                <w:sz w:val="20"/>
                <w:szCs w:val="20"/>
                <w:color w:val="auto"/>
              </w:rPr>
            </w:pPr>
            <w:r>
              <w:rPr>
                <w:rFonts w:ascii="Arial" w:cs="Arial" w:eastAsia="Arial" w:hAnsi="Arial"/>
                <w:sz w:val="14"/>
                <w:szCs w:val="14"/>
                <w:color w:val="auto"/>
              </w:rPr>
              <w:t>3.85</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auto"/>
              </w:rPr>
              <w:t>Interest-bearing deposits at banks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39,386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80,773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w w:val="92"/>
              </w:rPr>
              <w:t>.82</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38,693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18,280</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Federal funds sold and agreements</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to resell securities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4"/>
                <w:szCs w:val="14"/>
                <w:color w:val="auto"/>
                <w:w w:val="92"/>
              </w:rPr>
              <w:t>.41</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auto"/>
              </w:rPr>
              <w:t>Trading account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w w:val="92"/>
              </w:rPr>
              <w:t>.59</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w:t>
            </w:r>
          </w:p>
        </w:tc>
        <w:tc>
          <w:tcPr>
            <w:tcW w:w="1260" w:type="dxa"/>
            <w:vAlign w:val="bottom"/>
            <w:gridSpan w:val="3"/>
          </w:tcPr>
          <w:p>
            <w:pPr>
              <w:ind w:left="960"/>
              <w:spacing w:after="0"/>
              <w:rPr>
                <w:sz w:val="20"/>
                <w:szCs w:val="20"/>
                <w:color w:val="auto"/>
              </w:rPr>
            </w:pPr>
            <w:r>
              <w:rPr>
                <w:rFonts w:ascii="Arial" w:cs="Arial" w:eastAsia="Arial" w:hAnsi="Arial"/>
                <w:sz w:val="14"/>
                <w:szCs w:val="14"/>
                <w:color w:val="auto"/>
              </w:rPr>
              <w:t>1.61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(b)</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U.S. Treasury and federal agencies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109,755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w w:val="95"/>
              </w:rPr>
              <w:t>2.36</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35,911</w:t>
            </w:r>
          </w:p>
        </w:tc>
        <w:tc>
          <w:tcPr>
            <w:tcW w:w="1260" w:type="dxa"/>
            <w:vAlign w:val="bottom"/>
            <w:gridSpan w:val="3"/>
          </w:tcPr>
          <w:p>
            <w:pPr>
              <w:ind w:left="960"/>
              <w:spacing w:after="0"/>
              <w:rPr>
                <w:sz w:val="20"/>
                <w:szCs w:val="20"/>
                <w:color w:val="auto"/>
              </w:rPr>
            </w:pPr>
            <w:r>
              <w:rPr>
                <w:rFonts w:ascii="Arial" w:cs="Arial" w:eastAsia="Arial" w:hAnsi="Arial"/>
                <w:sz w:val="14"/>
                <w:szCs w:val="14"/>
                <w:color w:val="auto"/>
              </w:rPr>
              <w:t>2.06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Obligations of states and political</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subdivisions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23,344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5"/>
              </w:rPr>
              <w:t>3.38</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60" w:type="dxa"/>
            <w:vAlign w:val="bottom"/>
            <w:gridSpan w:val="3"/>
            <w:shd w:val="clear" w:color="auto" w:fill="CFF0FC"/>
          </w:tcPr>
          <w:p>
            <w:pPr>
              <w:ind w:left="960"/>
              <w:spacing w:after="0"/>
              <w:rPr>
                <w:sz w:val="20"/>
                <w:szCs w:val="20"/>
                <w:color w:val="auto"/>
              </w:rPr>
            </w:pPr>
            <w:r>
              <w:rPr>
                <w:rFonts w:ascii="Arial" w:cs="Arial" w:eastAsia="Arial" w:hAnsi="Arial"/>
                <w:sz w:val="14"/>
                <w:szCs w:val="14"/>
                <w:color w:val="auto"/>
              </w:rPr>
              <w:t>6.99</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9,037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w w:val="95"/>
              </w:rPr>
              <w:t>3.73</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3,269</w:t>
            </w:r>
          </w:p>
        </w:tc>
        <w:tc>
          <w:tcPr>
            <w:tcW w:w="1260" w:type="dxa"/>
            <w:vAlign w:val="bottom"/>
            <w:gridSpan w:val="3"/>
          </w:tcPr>
          <w:p>
            <w:pPr>
              <w:ind w:left="960"/>
              <w:spacing w:after="0"/>
              <w:rPr>
                <w:sz w:val="20"/>
                <w:szCs w:val="20"/>
                <w:color w:val="auto"/>
              </w:rPr>
            </w:pPr>
            <w:r>
              <w:rPr>
                <w:rFonts w:ascii="Arial" w:cs="Arial" w:eastAsia="Arial" w:hAnsi="Arial"/>
                <w:sz w:val="14"/>
                <w:szCs w:val="14"/>
                <w:color w:val="auto"/>
              </w:rPr>
              <w:t>2.05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investment securities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22,384</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142,136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5"/>
              </w:rPr>
              <w:t>2.55</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39,183</w:t>
            </w:r>
          </w:p>
        </w:tc>
        <w:tc>
          <w:tcPr>
            <w:tcW w:w="1260" w:type="dxa"/>
            <w:vAlign w:val="bottom"/>
            <w:gridSpan w:val="3"/>
            <w:shd w:val="clear" w:color="auto" w:fill="CFF0FC"/>
          </w:tcPr>
          <w:p>
            <w:pPr>
              <w:ind w:left="960"/>
              <w:spacing w:after="0"/>
              <w:rPr>
                <w:sz w:val="20"/>
                <w:szCs w:val="20"/>
                <w:color w:val="auto"/>
              </w:rPr>
            </w:pPr>
            <w:r>
              <w:rPr>
                <w:rFonts w:ascii="Arial" w:cs="Arial" w:eastAsia="Arial" w:hAnsi="Arial"/>
                <w:sz w:val="14"/>
                <w:szCs w:val="14"/>
                <w:color w:val="auto"/>
              </w:rPr>
              <w:t>2.06</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80" w:type="dxa"/>
            <w:vAlign w:val="bottom"/>
          </w:tcPr>
          <w:p>
            <w:pPr>
              <w:ind w:left="340"/>
              <w:spacing w:after="0"/>
              <w:rPr>
                <w:sz w:val="20"/>
                <w:szCs w:val="20"/>
                <w:color w:val="auto"/>
              </w:rPr>
            </w:pPr>
            <w:r>
              <w:rPr>
                <w:rFonts w:ascii="Arial" w:cs="Arial" w:eastAsia="Arial" w:hAnsi="Arial"/>
                <w:sz w:val="14"/>
                <w:szCs w:val="14"/>
                <w:b w:val="1"/>
                <w:bCs w:val="1"/>
                <w:color w:val="auto"/>
              </w:rPr>
              <w:t>Total earning assets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189,755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1,475,868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w w:val="95"/>
              </w:rPr>
              <w:t>3.12</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138,624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931,490</w:t>
            </w:r>
          </w:p>
        </w:tc>
        <w:tc>
          <w:tcPr>
            <w:tcW w:w="1260" w:type="dxa"/>
            <w:vAlign w:val="bottom"/>
            <w:gridSpan w:val="3"/>
          </w:tcPr>
          <w:p>
            <w:pPr>
              <w:ind w:left="960"/>
              <w:spacing w:after="0"/>
              <w:rPr>
                <w:sz w:val="20"/>
                <w:szCs w:val="20"/>
                <w:color w:val="auto"/>
              </w:rPr>
            </w:pPr>
            <w:r>
              <w:rPr>
                <w:rFonts w:ascii="Arial" w:cs="Arial" w:eastAsia="Arial" w:hAnsi="Arial"/>
                <w:sz w:val="14"/>
                <w:szCs w:val="14"/>
                <w:color w:val="auto"/>
              </w:rPr>
              <w:t>2.72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Allowance for credit losses</w:t>
            </w: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(1,814 )</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(1,475 )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19,234</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13,051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208,865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auto"/>
              </w:rPr>
              <w:t>Interest-bearing liabilities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Interest-bearing deposits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Savings and interest-checking deposits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95,149</w:t>
            </w:r>
          </w:p>
        </w:tc>
        <w:tc>
          <w:tcPr>
            <w:tcW w:w="8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27,907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w w:val="92"/>
              </w:rPr>
              <w:t>.12</w:t>
            </w:r>
          </w:p>
        </w:tc>
        <w:tc>
          <w:tcPr>
            <w:tcW w:w="3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67,267</w:t>
            </w:r>
          </w:p>
        </w:tc>
        <w:tc>
          <w:tcPr>
            <w:tcW w:w="100" w:type="dxa"/>
            <w:vAlign w:val="bottom"/>
          </w:tcPr>
          <w:p>
            <w:pPr>
              <w:spacing w:after="0"/>
              <w:rPr>
                <w:sz w:val="16"/>
                <w:szCs w:val="16"/>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6,747</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5,480</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4"/>
                <w:szCs w:val="14"/>
                <w:color w:val="auto"/>
                <w:w w:val="92"/>
              </w:rPr>
              <w:t>.09</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1,397</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340"/>
              <w:spacing w:after="0"/>
              <w:rPr>
                <w:sz w:val="20"/>
                <w:szCs w:val="20"/>
                <w:color w:val="auto"/>
              </w:rPr>
            </w:pPr>
            <w:r>
              <w:rPr>
                <w:rFonts w:ascii="Arial" w:cs="Arial" w:eastAsia="Arial" w:hAnsi="Arial"/>
                <w:sz w:val="14"/>
                <w:szCs w:val="14"/>
                <w:color w:val="auto"/>
              </w:rPr>
              <w:t>Total interest-bearing deposits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100,629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w w:val="92"/>
              </w:rPr>
              <w:t>.12</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69,914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8,144</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.05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Short-term borrowings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1,126</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5"/>
              </w:rPr>
              <w:t>1.22</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auto"/>
              </w:rPr>
              <w:t>Long-term borrowings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20,872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w w:val="95"/>
              </w:rPr>
              <w:t>2.55</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15,937</w:t>
            </w:r>
          </w:p>
        </w:tc>
        <w:tc>
          <w:tcPr>
            <w:tcW w:w="1260" w:type="dxa"/>
            <w:vAlign w:val="bottom"/>
            <w:gridSpan w:val="3"/>
          </w:tcPr>
          <w:p>
            <w:pPr>
              <w:ind w:left="960"/>
              <w:spacing w:after="0"/>
              <w:rPr>
                <w:sz w:val="20"/>
                <w:szCs w:val="20"/>
                <w:color w:val="auto"/>
              </w:rPr>
            </w:pPr>
            <w:r>
              <w:rPr>
                <w:rFonts w:ascii="Arial" w:cs="Arial" w:eastAsia="Arial" w:hAnsi="Arial"/>
                <w:sz w:val="14"/>
                <w:szCs w:val="14"/>
                <w:color w:val="auto"/>
              </w:rPr>
              <w:t>1.88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340"/>
              <w:spacing w:after="0"/>
              <w:rPr>
                <w:sz w:val="20"/>
                <w:szCs w:val="20"/>
                <w:color w:val="auto"/>
              </w:rPr>
            </w:pPr>
            <w:r>
              <w:rPr>
                <w:rFonts w:ascii="Arial" w:cs="Arial" w:eastAsia="Arial" w:hAnsi="Arial"/>
                <w:sz w:val="14"/>
                <w:szCs w:val="14"/>
                <w:b w:val="1"/>
                <w:bCs w:val="1"/>
                <w:color w:val="auto"/>
              </w:rPr>
              <w:t>Total interest-bearing liabilities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105,037</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53,425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4"/>
                <w:szCs w:val="14"/>
                <w:color w:val="auto"/>
                <w:w w:val="92"/>
              </w:rPr>
              <w:t>.20</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73,412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24,082</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74,054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58,141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3,684</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182,775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133,754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26,090</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208,865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ind w:left="640"/>
              <w:spacing w:after="0"/>
              <w:rPr>
                <w:sz w:val="20"/>
                <w:szCs w:val="20"/>
                <w:color w:val="auto"/>
              </w:rPr>
            </w:pPr>
            <w:r>
              <w:rPr>
                <w:rFonts w:ascii="Arial" w:cs="Arial" w:eastAsia="Arial" w:hAnsi="Arial"/>
                <w:sz w:val="14"/>
                <w:szCs w:val="14"/>
                <w:color w:val="auto"/>
                <w:w w:val="95"/>
              </w:rPr>
              <w:t>2.92</w:t>
            </w:r>
          </w:p>
        </w:tc>
        <w:tc>
          <w:tcPr>
            <w:tcW w:w="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ind w:left="960"/>
              <w:spacing w:after="0"/>
              <w:rPr>
                <w:sz w:val="20"/>
                <w:szCs w:val="20"/>
                <w:color w:val="auto"/>
              </w:rPr>
            </w:pPr>
            <w:r>
              <w:rPr>
                <w:rFonts w:ascii="Arial" w:cs="Arial" w:eastAsia="Arial" w:hAnsi="Arial"/>
                <w:sz w:val="14"/>
                <w:szCs w:val="14"/>
                <w:color w:val="auto"/>
              </w:rPr>
              <w:t>2.59</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Pr>
          <w:p>
            <w:pPr>
              <w:ind w:left="20"/>
              <w:spacing w:after="0"/>
              <w:rPr>
                <w:sz w:val="20"/>
                <w:szCs w:val="20"/>
                <w:color w:val="auto"/>
              </w:rPr>
            </w:pPr>
            <w:r>
              <w:rPr>
                <w:rFonts w:ascii="Arial" w:cs="Arial" w:eastAsia="Arial" w:hAnsi="Arial"/>
                <w:sz w:val="14"/>
                <w:szCs w:val="14"/>
                <w:color w:val="auto"/>
              </w:rPr>
              <w:t>Contribution of interest-free funds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w w:val="92"/>
              </w:rPr>
              <w:t>.09</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interest income/margin on earning assets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1,422,443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3.01 %</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907,408</w:t>
            </w:r>
          </w:p>
        </w:tc>
        <w:tc>
          <w:tcPr>
            <w:tcW w:w="100" w:type="dxa"/>
            <w:vAlign w:val="bottom"/>
            <w:shd w:val="clear" w:color="auto" w:fill="CFF0FC"/>
          </w:tcPr>
          <w:p>
            <w:pPr>
              <w:spacing w:after="0"/>
              <w:rPr>
                <w:sz w:val="19"/>
                <w:szCs w:val="19"/>
                <w:color w:val="auto"/>
              </w:rPr>
            </w:pPr>
          </w:p>
        </w:tc>
        <w:tc>
          <w:tcPr>
            <w:tcW w:w="1460" w:type="dxa"/>
            <w:vAlign w:val="bottom"/>
            <w:gridSpan w:val="3"/>
          </w:tcPr>
          <w:p>
            <w:pPr>
              <w:ind w:left="860"/>
              <w:spacing w:after="0"/>
              <w:rPr>
                <w:sz w:val="20"/>
                <w:szCs w:val="20"/>
                <w:color w:val="auto"/>
              </w:rPr>
            </w:pPr>
            <w:r>
              <w:rPr>
                <w:rFonts w:ascii="Arial" w:cs="Arial" w:eastAsia="Arial" w:hAnsi="Arial"/>
                <w:sz w:val="14"/>
                <w:szCs w:val="14"/>
                <w:color w:val="auto"/>
              </w:rPr>
              <w:t>2.65 %</w:t>
            </w:r>
          </w:p>
        </w:tc>
        <w:tc>
          <w:tcPr>
            <w:tcW w:w="0" w:type="dxa"/>
            <w:vAlign w:val="bottom"/>
          </w:tcPr>
          <w:p>
            <w:pPr>
              <w:spacing w:after="0"/>
              <w:rPr>
                <w:sz w:val="1"/>
                <w:szCs w:val="1"/>
                <w:color w:val="auto"/>
              </w:rPr>
            </w:pPr>
          </w:p>
        </w:tc>
      </w:tr>
      <w:tr>
        <w:trPr>
          <w:trHeight w:val="220"/>
        </w:trPr>
        <w:tc>
          <w:tcPr>
            <w:tcW w:w="3180" w:type="dxa"/>
            <w:vAlign w:val="bottom"/>
            <w:tcBorders>
              <w:top w:val="single" w:sz="8" w:color="CFF0FC"/>
            </w:tcBorders>
          </w:tcPr>
          <w:p>
            <w:pPr>
              <w:spacing w:after="0"/>
              <w:rPr>
                <w:sz w:val="20"/>
                <w:szCs w:val="20"/>
                <w:color w:val="auto"/>
              </w:rPr>
            </w:pPr>
            <w:r>
              <w:rPr>
                <w:rFonts w:ascii="Arial" w:cs="Arial" w:eastAsia="Arial" w:hAnsi="Arial"/>
                <w:sz w:val="13"/>
                <w:szCs w:val="13"/>
                <w:i w:val="1"/>
                <w:iCs w:val="1"/>
                <w:color w:val="auto"/>
              </w:rPr>
              <w:t>(a)Includes nonaccrual loans.</w:t>
            </w:r>
          </w:p>
        </w:tc>
        <w:tc>
          <w:tcPr>
            <w:tcW w:w="16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i w:val="1"/>
          <w:iCs w:val="1"/>
          <w:color w:val="auto"/>
        </w:rPr>
        <w:t>(b)Includes available-for-sale securities at amortized cost.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- 79 -</w:t>
      </w:r>
    </w:p>
    <w:p>
      <w:pPr>
        <w:sectPr>
          <w:pgSz w:w="11900" w:h="16840" w:orient="portrait"/>
          <w:cols w:equalWidth="0" w:num="1">
            <w:col w:w="10560"/>
          </w:cols>
          <w:pgMar w:left="660" w:top="743" w:right="680"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05" w:lineRule="exact"/>
        <w:rPr>
          <w:sz w:val="20"/>
          <w:szCs w:val="20"/>
          <w:color w:val="auto"/>
        </w:rPr>
      </w:pPr>
    </w:p>
    <w:p>
      <w:pPr>
        <w:ind w:left="80" w:firstLine="432"/>
        <w:spacing w:after="0" w:line="275"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05" w:lineRule="exact"/>
        <w:rPr>
          <w:sz w:val="20"/>
          <w:szCs w:val="20"/>
          <w:color w:val="auto"/>
        </w:rPr>
      </w:pPr>
    </w:p>
    <w:p>
      <w:pPr>
        <w:ind w:left="80" w:right="320" w:firstLine="438"/>
        <w:spacing w:after="0" w:line="259" w:lineRule="auto"/>
        <w:tabs>
          <w:tab w:leader="none" w:pos="782"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Senior Executive Vice President and Chief Financial Officer, concluded that M&amp;T’s disclosure controls and procedures were effective as of March 31, 2023.</w:t>
      </w:r>
    </w:p>
    <w:p>
      <w:pPr>
        <w:spacing w:after="0" w:line="66" w:lineRule="exact"/>
        <w:rPr>
          <w:rFonts w:ascii="Arial" w:cs="Arial" w:eastAsia="Arial" w:hAnsi="Arial"/>
          <w:sz w:val="18"/>
          <w:szCs w:val="18"/>
          <w:color w:val="auto"/>
        </w:rPr>
      </w:pPr>
    </w:p>
    <w:p>
      <w:pPr>
        <w:ind w:left="80" w:right="40" w:firstLine="438"/>
        <w:spacing w:after="0" w:line="251" w:lineRule="auto"/>
        <w:tabs>
          <w:tab w:leader="none" w:pos="782"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2023 that have materially affected, or are reasonably likely to materially affect, M&amp;T’s internal control over financial reporting. Management has excluded processes and controls of People’s United that have not yet been converted to M&amp;T's systems or processes from its assessment of internal control over financial reporting for the quarter ended March 31, 2023. Assets and liabilities associated with the People's United transaction that have not yet been converted to M&amp;T's systems or processes as of March 31, 2023 include loans and leases of $3.2 billion, other assets of $12 million and other liabilities of $59 million. Approximately $56 million of total revenues for the three months ended March 31, 2023 was contributed from business activities of People's United that have not yet been converted to M&amp;T's systems or processes.</w:t>
      </w:r>
    </w:p>
    <w:p>
      <w:pPr>
        <w:spacing w:after="0" w:line="5" w:lineRule="exact"/>
        <w:rPr>
          <w:rFonts w:ascii="Arial" w:cs="Arial" w:eastAsia="Arial" w:hAnsi="Arial"/>
          <w:sz w:val="18"/>
          <w:szCs w:val="18"/>
          <w:color w:val="auto"/>
        </w:rPr>
      </w:pPr>
    </w:p>
    <w:p>
      <w:pPr>
        <w:ind w:left="5280" w:hanging="93"/>
        <w:spacing w:after="0"/>
        <w:tabs>
          <w:tab w:leader="none" w:pos="5280" w:val="left"/>
        </w:tabs>
        <w:numPr>
          <w:ilvl w:val="1"/>
          <w:numId w:val="9"/>
        </w:numPr>
        <w:rPr>
          <w:rFonts w:ascii="Arial" w:cs="Arial" w:eastAsia="Arial" w:hAnsi="Arial"/>
          <w:sz w:val="16"/>
          <w:szCs w:val="16"/>
          <w:color w:val="auto"/>
        </w:rPr>
      </w:pPr>
      <w:r>
        <w:rPr>
          <w:rFonts w:ascii="Arial" w:cs="Arial" w:eastAsia="Arial" w:hAnsi="Arial"/>
          <w:sz w:val="16"/>
          <w:szCs w:val="16"/>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43815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839" w:right="660"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PART II. OTHER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05" w:lineRule="exact"/>
        <w:rPr>
          <w:sz w:val="20"/>
          <w:szCs w:val="20"/>
          <w:color w:val="auto"/>
        </w:rPr>
      </w:pPr>
    </w:p>
    <w:p>
      <w:pPr>
        <w:ind w:left="80" w:right="40" w:firstLine="528"/>
        <w:spacing w:after="0" w:line="253"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March 31, 2023.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05" w:lineRule="exact"/>
        <w:rPr>
          <w:sz w:val="20"/>
          <w:szCs w:val="20"/>
          <w:color w:val="auto"/>
        </w:rPr>
      </w:pPr>
    </w:p>
    <w:p>
      <w:pPr>
        <w:ind w:left="80" w:right="360" w:firstLine="528"/>
        <w:spacing w:after="0" w:line="275"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2022.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05" w:lineRule="exact"/>
        <w:rPr>
          <w:sz w:val="20"/>
          <w:szCs w:val="20"/>
          <w:color w:val="auto"/>
        </w:rPr>
      </w:pPr>
    </w:p>
    <w:p>
      <w:pPr>
        <w:ind w:left="820" w:hanging="26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05" w:lineRule="exact"/>
        <w:rPr>
          <w:rFonts w:ascii="Arial" w:cs="Arial" w:eastAsia="Arial" w:hAnsi="Arial"/>
          <w:sz w:val="18"/>
          <w:szCs w:val="18"/>
          <w:color w:val="auto"/>
        </w:rPr>
      </w:pPr>
    </w:p>
    <w:p>
      <w:pPr>
        <w:spacing w:after="0"/>
        <w:tabs>
          <w:tab w:leader="none" w:pos="0" w:val="left"/>
        </w:tabs>
        <w:numPr>
          <w:ilvl w:val="0"/>
          <w:numId w:val="11"/>
        </w:numPr>
        <w:rPr>
          <w:rFonts w:ascii="Arial" w:cs="Arial" w:eastAsia="Arial" w:hAnsi="Arial"/>
          <w:sz w:val="18"/>
          <w:szCs w:val="18"/>
          <w:color w:val="auto"/>
        </w:rPr>
      </w:pP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ind w:left="20"/>
              <w:spacing w:after="0"/>
              <w:rPr>
                <w:sz w:val="20"/>
                <w:szCs w:val="20"/>
                <w:color w:val="auto"/>
              </w:rPr>
            </w:pPr>
            <w:r>
              <w:rPr>
                <w:rFonts w:ascii="Arial" w:cs="Arial" w:eastAsia="Arial" w:hAnsi="Arial"/>
                <w:sz w:val="13"/>
                <w:szCs w:val="13"/>
                <w:b w:val="1"/>
                <w:bCs w:val="1"/>
                <w:color w:val="auto"/>
              </w:rPr>
              <w:t>Issuer Purchases of Equity Securities</w:t>
            </w:r>
          </w:p>
        </w:tc>
        <w:tc>
          <w:tcPr>
            <w:tcW w:w="260" w:type="dxa"/>
            <w:vAlign w:val="bottom"/>
          </w:tcPr>
          <w:p>
            <w:pPr>
              <w:spacing w:after="0"/>
              <w:rPr>
                <w:sz w:val="15"/>
                <w:szCs w:val="15"/>
                <w:color w:val="auto"/>
              </w:rPr>
            </w:pPr>
          </w:p>
        </w:tc>
        <w:tc>
          <w:tcPr>
            <w:tcW w:w="1220" w:type="dxa"/>
            <w:vAlign w:val="bottom"/>
            <w:vMerge w:val="restart"/>
          </w:tcPr>
          <w:p>
            <w:pPr>
              <w:jc w:val="center"/>
              <w:ind w:right="191"/>
              <w:spacing w:after="0"/>
              <w:rPr>
                <w:sz w:val="20"/>
                <w:szCs w:val="20"/>
                <w:color w:val="auto"/>
              </w:rPr>
            </w:pPr>
            <w:r>
              <w:rPr>
                <w:rFonts w:ascii="Arial" w:cs="Arial" w:eastAsia="Arial" w:hAnsi="Arial"/>
                <w:sz w:val="13"/>
                <w:szCs w:val="13"/>
                <w:b w:val="1"/>
                <w:bCs w:val="1"/>
                <w:color w:val="auto"/>
                <w:w w:val="99"/>
              </w:rPr>
              <w:t>(d) Maximum</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 Total</w:t>
            </w:r>
          </w:p>
        </w:tc>
        <w:tc>
          <w:tcPr>
            <w:tcW w:w="260" w:type="dxa"/>
            <w:vAlign w:val="bottom"/>
          </w:tcPr>
          <w:p>
            <w:pPr>
              <w:spacing w:after="0"/>
              <w:rPr>
                <w:sz w:val="13"/>
                <w:szCs w:val="13"/>
                <w:color w:val="auto"/>
              </w:rPr>
            </w:pPr>
          </w:p>
        </w:tc>
        <w:tc>
          <w:tcPr>
            <w:tcW w:w="1220" w:type="dxa"/>
            <w:vAlign w:val="bottom"/>
          </w:tcPr>
          <w:p>
            <w:pPr>
              <w:jc w:val="center"/>
              <w:ind w:right="171"/>
              <w:spacing w:after="0"/>
              <w:rPr>
                <w:sz w:val="20"/>
                <w:szCs w:val="20"/>
                <w:color w:val="auto"/>
              </w:rPr>
            </w:pPr>
            <w:r>
              <w:rPr>
                <w:rFonts w:ascii="Arial" w:cs="Arial" w:eastAsia="Arial" w:hAnsi="Arial"/>
                <w:sz w:val="13"/>
                <w:szCs w:val="13"/>
                <w:b w:val="1"/>
                <w:bCs w:val="1"/>
                <w:color w:val="auto"/>
                <w:w w:val="99"/>
              </w:rPr>
              <w:t>Number (or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Dollar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(or Units)</w:t>
            </w:r>
          </w:p>
        </w:tc>
        <w:tc>
          <w:tcPr>
            <w:tcW w:w="2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of Shares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Purchased</w:t>
            </w:r>
          </w:p>
        </w:tc>
        <w:tc>
          <w:tcPr>
            <w:tcW w:w="260" w:type="dxa"/>
            <w:vAlign w:val="bottom"/>
          </w:tcPr>
          <w:p>
            <w:pPr>
              <w:spacing w:after="0"/>
              <w:rPr>
                <w:sz w:val="13"/>
                <w:szCs w:val="13"/>
                <w:color w:val="auto"/>
              </w:rPr>
            </w:pPr>
          </w:p>
        </w:tc>
        <w:tc>
          <w:tcPr>
            <w:tcW w:w="1220" w:type="dxa"/>
            <w:vAlign w:val="bottom"/>
          </w:tcPr>
          <w:p>
            <w:pPr>
              <w:jc w:val="center"/>
              <w:ind w:right="171"/>
              <w:spacing w:after="0"/>
              <w:rPr>
                <w:sz w:val="20"/>
                <w:szCs w:val="20"/>
                <w:color w:val="auto"/>
              </w:rPr>
            </w:pPr>
            <w:r>
              <w:rPr>
                <w:rFonts w:ascii="Arial" w:cs="Arial" w:eastAsia="Arial" w:hAnsi="Arial"/>
                <w:sz w:val="13"/>
                <w:szCs w:val="13"/>
                <w:b w:val="1"/>
                <w:bCs w:val="1"/>
                <w:color w:val="auto"/>
              </w:rPr>
              <w:t>(or Units)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(a) Total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as Part of</w:t>
            </w:r>
          </w:p>
        </w:tc>
        <w:tc>
          <w:tcPr>
            <w:tcW w:w="2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that may yet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(b) Average</w:t>
            </w: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Publicly</w:t>
            </w:r>
          </w:p>
        </w:tc>
        <w:tc>
          <w:tcPr>
            <w:tcW w:w="260" w:type="dxa"/>
            <w:vAlign w:val="bottom"/>
          </w:tcPr>
          <w:p>
            <w:pPr>
              <w:spacing w:after="0"/>
              <w:rPr>
                <w:sz w:val="13"/>
                <w:szCs w:val="13"/>
                <w:color w:val="auto"/>
              </w:rPr>
            </w:pPr>
          </w:p>
        </w:tc>
        <w:tc>
          <w:tcPr>
            <w:tcW w:w="1220" w:type="dxa"/>
            <w:vAlign w:val="bottom"/>
          </w:tcPr>
          <w:p>
            <w:pPr>
              <w:jc w:val="center"/>
              <w:ind w:right="171"/>
              <w:spacing w:after="0"/>
              <w:rPr>
                <w:sz w:val="20"/>
                <w:szCs w:val="20"/>
                <w:color w:val="auto"/>
              </w:rPr>
            </w:pPr>
            <w:r>
              <w:rPr>
                <w:rFonts w:ascii="Arial" w:cs="Arial" w:eastAsia="Arial" w:hAnsi="Arial"/>
                <w:sz w:val="13"/>
                <w:szCs w:val="13"/>
                <w:b w:val="1"/>
                <w:bCs w:val="1"/>
                <w:color w:val="auto"/>
              </w:rPr>
              <w:t>be Purchased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of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Price Paid</w:t>
            </w:r>
          </w:p>
        </w:tc>
        <w:tc>
          <w:tcPr>
            <w:tcW w:w="10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Announced</w:t>
            </w:r>
          </w:p>
        </w:tc>
        <w:tc>
          <w:tcPr>
            <w:tcW w:w="260" w:type="dxa"/>
            <w:vAlign w:val="bottom"/>
          </w:tcPr>
          <w:p>
            <w:pPr>
              <w:spacing w:after="0"/>
              <w:rPr>
                <w:sz w:val="13"/>
                <w:szCs w:val="13"/>
                <w:color w:val="auto"/>
              </w:rPr>
            </w:pPr>
          </w:p>
        </w:tc>
        <w:tc>
          <w:tcPr>
            <w:tcW w:w="1220" w:type="dxa"/>
            <w:vAlign w:val="bottom"/>
          </w:tcPr>
          <w:p>
            <w:pPr>
              <w:jc w:val="center"/>
              <w:ind w:right="171"/>
              <w:spacing w:after="0"/>
              <w:rPr>
                <w:sz w:val="20"/>
                <w:szCs w:val="20"/>
                <w:color w:val="auto"/>
              </w:rPr>
            </w:pPr>
            <w:r>
              <w:rPr>
                <w:rFonts w:ascii="Arial" w:cs="Arial" w:eastAsia="Arial" w:hAnsi="Arial"/>
                <w:sz w:val="13"/>
                <w:szCs w:val="13"/>
                <w:b w:val="1"/>
                <w:bCs w:val="1"/>
                <w:color w:val="auto"/>
              </w:rPr>
              <w:t>Under the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(or Units)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per Share</w:t>
            </w:r>
          </w:p>
        </w:tc>
        <w:tc>
          <w:tcPr>
            <w:tcW w:w="10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Plans or</w:t>
            </w:r>
          </w:p>
        </w:tc>
        <w:tc>
          <w:tcPr>
            <w:tcW w:w="2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Plans or</w:t>
            </w:r>
          </w:p>
        </w:tc>
        <w:tc>
          <w:tcPr>
            <w:tcW w:w="0" w:type="dxa"/>
            <w:vAlign w:val="bottom"/>
          </w:tcPr>
          <w:p>
            <w:pPr>
              <w:spacing w:after="0"/>
              <w:rPr>
                <w:sz w:val="1"/>
                <w:szCs w:val="1"/>
                <w:color w:val="auto"/>
              </w:rPr>
            </w:pPr>
          </w:p>
        </w:tc>
      </w:tr>
      <w:tr>
        <w:trPr>
          <w:trHeight w:val="147"/>
        </w:trPr>
        <w:tc>
          <w:tcPr>
            <w:tcW w:w="470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Period</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Purchased (1)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rPr>
              <w:t>(or Unit)</w:t>
            </w: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Programs</w:t>
            </w:r>
          </w:p>
        </w:tc>
        <w:tc>
          <w:tcPr>
            <w:tcW w:w="260" w:type="dxa"/>
            <w:vAlign w:val="bottom"/>
          </w:tcPr>
          <w:p>
            <w:pPr>
              <w:spacing w:after="0"/>
              <w:rPr>
                <w:sz w:val="12"/>
                <w:szCs w:val="12"/>
                <w:color w:val="auto"/>
              </w:rPr>
            </w:pPr>
          </w:p>
        </w:tc>
        <w:tc>
          <w:tcPr>
            <w:tcW w:w="1220" w:type="dxa"/>
            <w:vAlign w:val="bottom"/>
          </w:tcPr>
          <w:p>
            <w:pPr>
              <w:jc w:val="center"/>
              <w:ind w:right="191"/>
              <w:spacing w:after="0" w:line="148" w:lineRule="exact"/>
              <w:rPr>
                <w:sz w:val="20"/>
                <w:szCs w:val="20"/>
                <w:color w:val="auto"/>
              </w:rPr>
            </w:pPr>
            <w:r>
              <w:rPr>
                <w:rFonts w:ascii="Arial" w:cs="Arial" w:eastAsia="Arial" w:hAnsi="Arial"/>
                <w:sz w:val="13"/>
                <w:szCs w:val="13"/>
                <w:b w:val="1"/>
                <w:bCs w:val="1"/>
                <w:color w:val="auto"/>
                <w:w w:val="99"/>
              </w:rPr>
              <w:t>Programs (2)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7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January 1 - January 31, 2023</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250,420</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156.04</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6"/>
                <w:szCs w:val="16"/>
                <w:color w:val="auto"/>
              </w:rPr>
              <w:t>1,760,987,000</w:t>
            </w:r>
          </w:p>
        </w:tc>
        <w:tc>
          <w:tcPr>
            <w:tcW w:w="0" w:type="dxa"/>
            <w:vAlign w:val="bottom"/>
          </w:tcPr>
          <w:p>
            <w:pPr>
              <w:spacing w:after="0"/>
              <w:rPr>
                <w:sz w:val="1"/>
                <w:szCs w:val="1"/>
                <w:color w:val="auto"/>
              </w:rPr>
            </w:pPr>
          </w:p>
        </w:tc>
      </w:tr>
      <w:tr>
        <w:trPr>
          <w:trHeight w:val="203"/>
        </w:trPr>
        <w:tc>
          <w:tcPr>
            <w:tcW w:w="4700" w:type="dxa"/>
            <w:vAlign w:val="bottom"/>
            <w:gridSpan w:val="3"/>
          </w:tcPr>
          <w:p>
            <w:pPr>
              <w:ind w:left="20"/>
              <w:spacing w:after="0"/>
              <w:rPr>
                <w:sz w:val="20"/>
                <w:szCs w:val="20"/>
                <w:color w:val="auto"/>
              </w:rPr>
            </w:pPr>
            <w:r>
              <w:rPr>
                <w:rFonts w:ascii="Arial" w:cs="Arial" w:eastAsia="Arial" w:hAnsi="Arial"/>
                <w:sz w:val="16"/>
                <w:szCs w:val="16"/>
                <w:color w:val="auto"/>
              </w:rPr>
              <w:t>February 1 - February 28, 2023</w:t>
            </w:r>
          </w:p>
        </w:tc>
        <w:tc>
          <w:tcPr>
            <w:tcW w:w="1340" w:type="dxa"/>
            <w:vAlign w:val="bottom"/>
          </w:tcPr>
          <w:p>
            <w:pPr>
              <w:jc w:val="right"/>
              <w:spacing w:after="0"/>
              <w:rPr>
                <w:sz w:val="20"/>
                <w:szCs w:val="20"/>
                <w:color w:val="auto"/>
              </w:rPr>
            </w:pPr>
            <w:r>
              <w:rPr>
                <w:rFonts w:ascii="Arial" w:cs="Arial" w:eastAsia="Arial" w:hAnsi="Arial"/>
                <w:sz w:val="16"/>
                <w:szCs w:val="16"/>
                <w:color w:val="auto"/>
              </w:rPr>
              <w:t>2,500,000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159.42</w:t>
            </w:r>
          </w:p>
        </w:tc>
        <w:tc>
          <w:tcPr>
            <w:tcW w:w="1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2,500,000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6"/>
                <w:szCs w:val="16"/>
                <w:color w:val="auto"/>
              </w:rPr>
              <w:t>1,362,447,000</w:t>
            </w:r>
          </w:p>
        </w:tc>
        <w:tc>
          <w:tcPr>
            <w:tcW w:w="0" w:type="dxa"/>
            <w:vAlign w:val="bottom"/>
          </w:tcPr>
          <w:p>
            <w:pPr>
              <w:spacing w:after="0"/>
              <w:rPr>
                <w:sz w:val="1"/>
                <w:szCs w:val="1"/>
                <w:color w:val="auto"/>
              </w:rPr>
            </w:pPr>
          </w:p>
        </w:tc>
      </w:tr>
      <w:tr>
        <w:trPr>
          <w:trHeight w:val="205"/>
        </w:trPr>
        <w:tc>
          <w:tcPr>
            <w:tcW w:w="47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March 1 - March 31, 2023</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1,097,105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149.27</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1,088,157</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6"/>
                <w:szCs w:val="16"/>
                <w:color w:val="auto"/>
              </w:rPr>
              <w:t>1,200,060,000</w:t>
            </w:r>
          </w:p>
        </w:tc>
        <w:tc>
          <w:tcPr>
            <w:tcW w:w="0" w:type="dxa"/>
            <w:vAlign w:val="bottom"/>
          </w:tcPr>
          <w:p>
            <w:pPr>
              <w:spacing w:after="0"/>
              <w:rPr>
                <w:sz w:val="1"/>
                <w:szCs w:val="1"/>
                <w:color w:val="auto"/>
              </w:rPr>
            </w:pPr>
          </w:p>
        </w:tc>
      </w:tr>
      <w:tr>
        <w:trPr>
          <w:trHeight w:val="203"/>
        </w:trPr>
        <w:tc>
          <w:tcPr>
            <w:tcW w:w="470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340" w:type="dxa"/>
            <w:vAlign w:val="bottom"/>
          </w:tcPr>
          <w:p>
            <w:pPr>
              <w:jc w:val="right"/>
              <w:spacing w:after="0"/>
              <w:rPr>
                <w:sz w:val="20"/>
                <w:szCs w:val="20"/>
                <w:color w:val="auto"/>
              </w:rPr>
            </w:pPr>
            <w:r>
              <w:rPr>
                <w:rFonts w:ascii="Arial" w:cs="Arial" w:eastAsia="Arial" w:hAnsi="Arial"/>
                <w:sz w:val="16"/>
                <w:szCs w:val="16"/>
                <w:color w:val="auto"/>
              </w:rPr>
              <w:t>3,847,525</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156.30</w:t>
            </w:r>
          </w:p>
        </w:tc>
        <w:tc>
          <w:tcPr>
            <w:tcW w:w="1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3,838,157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80" w:right="240"/>
        <w:spacing w:after="0" w:line="258" w:lineRule="auto"/>
        <w:rPr>
          <w:sz w:val="20"/>
          <w:szCs w:val="20"/>
          <w:color w:val="auto"/>
        </w:rPr>
      </w:pPr>
      <w:r>
        <w:rPr>
          <w:rFonts w:ascii="Arial" w:cs="Arial" w:eastAsia="Arial" w:hAnsi="Arial"/>
          <w:sz w:val="13"/>
          <w:szCs w:val="13"/>
          <w:i w:val="1"/>
          <w:iCs w:val="1"/>
          <w:color w:val="auto"/>
        </w:rPr>
        <w:t>(1)The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80" w:right="200"/>
        <w:spacing w:after="0" w:line="263" w:lineRule="auto"/>
        <w:rPr>
          <w:sz w:val="20"/>
          <w:szCs w:val="20"/>
          <w:color w:val="auto"/>
        </w:rPr>
      </w:pPr>
      <w:r>
        <w:rPr>
          <w:rFonts w:ascii="Arial" w:cs="Arial" w:eastAsia="Arial" w:hAnsi="Arial"/>
          <w:sz w:val="13"/>
          <w:szCs w:val="13"/>
          <w:i w:val="1"/>
          <w:iCs w:val="1"/>
          <w:color w:val="auto"/>
        </w:rPr>
        <w:t>(2)In July 2022, M&amp;T's Board of Directors authorized a program under which $3.0 billion of common shares may be repurchased with the exact number, timing, price and terms of such repurchases to be determined at the discretion of management and subject to all regulatory limitations.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- 81 -</w:t>
      </w:r>
    </w:p>
    <w:p>
      <w:pPr>
        <w:sectPr>
          <w:pgSz w:w="11900" w:h="16840" w:orient="portrait"/>
          <w:cols w:equalWidth="0" w:num="1">
            <w:col w:w="10640"/>
          </w:cols>
          <w:pgMar w:left="580" w:top="743" w:right="680" w:bottom="1440" w:gutter="0" w:footer="0" w:header="0"/>
        </w:sectPr>
      </w:pPr>
    </w:p>
    <w:bookmarkStart w:id="82" w:name="page83"/>
    <w:bookmarkEnd w:id="82"/>
    <w:p>
      <w:pPr>
        <w:jc w:val="center"/>
        <w:ind w:right="9418"/>
        <w:spacing w:after="0"/>
        <w:rPr>
          <w:sz w:val="20"/>
          <w:szCs w:val="20"/>
          <w:color w:val="auto"/>
        </w:rPr>
      </w:pPr>
      <w:r>
        <w:rPr>
          <w:rFonts w:ascii="Arial" w:cs="Arial" w:eastAsia="Arial" w:hAnsi="Arial"/>
          <w:sz w:val="18"/>
          <w:szCs w:val="18"/>
          <w:color w:val="auto"/>
        </w:rPr>
        <w:t>Exhibit</w:t>
      </w:r>
    </w:p>
    <w:p>
      <w:pPr>
        <w:spacing w:after="0" w:line="21" w:lineRule="exact"/>
        <w:rPr>
          <w:sz w:val="20"/>
          <w:szCs w:val="20"/>
          <w:color w:val="auto"/>
        </w:rPr>
      </w:pPr>
    </w:p>
    <w:p>
      <w:pPr>
        <w:jc w:val="center"/>
        <w:ind w:right="9418"/>
        <w:spacing w:after="0"/>
        <w:rPr>
          <w:sz w:val="20"/>
          <w:szCs w:val="20"/>
          <w:color w:val="auto"/>
        </w:rPr>
      </w:pPr>
      <w:r>
        <w:rPr>
          <w:rFonts w:ascii="Arial" w:cs="Arial" w:eastAsia="Arial" w:hAnsi="Arial"/>
          <w:sz w:val="18"/>
          <w:szCs w:val="18"/>
          <w:color w:val="auto"/>
        </w:rPr>
        <w:t>No.</w:t>
      </w:r>
    </w:p>
    <w:p>
      <w:pPr>
        <w:spacing w:after="0" w:line="241"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1060" w:type="dxa"/>
            <w:vAlign w:val="bottom"/>
          </w:tcPr>
          <w:p>
            <w:pPr>
              <w:ind w:left="100"/>
              <w:spacing w:after="0"/>
              <w:rPr>
                <w:sz w:val="20"/>
                <w:szCs w:val="20"/>
                <w:color w:val="auto"/>
              </w:rPr>
            </w:pPr>
            <w:r>
              <w:rPr>
                <w:rFonts w:ascii="Arial" w:cs="Arial" w:eastAsia="Arial" w:hAnsi="Arial"/>
                <w:sz w:val="18"/>
                <w:szCs w:val="18"/>
                <w:color w:val="auto"/>
              </w:rPr>
              <w:t>31.1</w:t>
            </w:r>
          </w:p>
        </w:tc>
        <w:tc>
          <w:tcPr>
            <w:tcW w:w="86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Certification of Chief Executive Officer under Section 302 of the Sarbanes-Oxley Act of 2002. Filed herewith.</w:t>
              </w:r>
            </w:hyperlink>
          </w:p>
        </w:tc>
        <w:tc>
          <w:tcPr>
            <w:tcW w:w="620" w:type="dxa"/>
            <w:vAlign w:val="bottom"/>
            <w:gridSpan w:val="2"/>
          </w:tcPr>
          <w:p>
            <w:pPr>
              <w:spacing w:after="0"/>
              <w:rPr>
                <w:sz w:val="17"/>
                <w:szCs w:val="17"/>
                <w:color w:val="auto"/>
              </w:rPr>
            </w:pPr>
          </w:p>
        </w:tc>
      </w:tr>
      <w:tr>
        <w:trPr>
          <w:trHeight w:val="460"/>
        </w:trPr>
        <w:tc>
          <w:tcPr>
            <w:tcW w:w="1060" w:type="dxa"/>
            <w:vAlign w:val="bottom"/>
          </w:tcPr>
          <w:p>
            <w:pPr>
              <w:ind w:left="100"/>
              <w:spacing w:after="0"/>
              <w:rPr>
                <w:sz w:val="20"/>
                <w:szCs w:val="20"/>
                <w:color w:val="auto"/>
              </w:rPr>
            </w:pPr>
            <w:r>
              <w:rPr>
                <w:rFonts w:ascii="Arial" w:cs="Arial" w:eastAsia="Arial" w:hAnsi="Arial"/>
                <w:sz w:val="18"/>
                <w:szCs w:val="18"/>
                <w:color w:val="auto"/>
              </w:rPr>
              <w:t>31.2</w:t>
            </w:r>
          </w:p>
        </w:tc>
        <w:tc>
          <w:tcPr>
            <w:tcW w:w="85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Certification of Chief Financial Officer under Section 302 of the Sarbanes-Oxley Act of 2002. Filed herewith.</w:t>
              </w:r>
            </w:hyperlink>
          </w:p>
        </w:tc>
        <w:tc>
          <w:tcPr>
            <w:tcW w:w="680" w:type="dxa"/>
            <w:vAlign w:val="bottom"/>
            <w:gridSpan w:val="3"/>
          </w:tcPr>
          <w:p>
            <w:pPr>
              <w:spacing w:after="0"/>
              <w:rPr>
                <w:sz w:val="24"/>
                <w:szCs w:val="24"/>
                <w:color w:val="auto"/>
              </w:rPr>
            </w:pPr>
          </w:p>
        </w:tc>
      </w:tr>
      <w:tr>
        <w:trPr>
          <w:trHeight w:val="460"/>
        </w:trPr>
        <w:tc>
          <w:tcPr>
            <w:tcW w:w="1060" w:type="dxa"/>
            <w:vAlign w:val="bottom"/>
          </w:tcPr>
          <w:p>
            <w:pPr>
              <w:ind w:left="100"/>
              <w:spacing w:after="0"/>
              <w:rPr>
                <w:sz w:val="20"/>
                <w:szCs w:val="20"/>
                <w:color w:val="auto"/>
              </w:rPr>
            </w:pPr>
            <w:r>
              <w:rPr>
                <w:rFonts w:ascii="Arial" w:cs="Arial" w:eastAsia="Arial" w:hAnsi="Arial"/>
                <w:sz w:val="18"/>
                <w:szCs w:val="18"/>
                <w:color w:val="auto"/>
              </w:rPr>
              <w:t>32.1</w:t>
            </w:r>
          </w:p>
        </w:tc>
        <w:tc>
          <w:tcPr>
            <w:tcW w:w="922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Certification of Chief Executive Officer under 18 U.S.C. §1350 pursuant to Section 906 of the Sarbanes-Oxley Act of</w:t>
              </w:r>
            </w:hyperlink>
          </w:p>
        </w:tc>
      </w:tr>
      <w:tr>
        <w:trPr>
          <w:trHeight w:val="196"/>
        </w:trPr>
        <w:tc>
          <w:tcPr>
            <w:tcW w:w="1060" w:type="dxa"/>
            <w:vAlign w:val="bottom"/>
          </w:tcPr>
          <w:p>
            <w:pPr>
              <w:spacing w:after="0"/>
              <w:rPr>
                <w:sz w:val="17"/>
                <w:szCs w:val="17"/>
                <w:color w:val="auto"/>
              </w:rPr>
            </w:pPr>
          </w:p>
        </w:tc>
        <w:tc>
          <w:tcPr>
            <w:tcW w:w="9220" w:type="dxa"/>
            <w:vAlign w:val="bottom"/>
            <w:gridSpan w:val="5"/>
          </w:tcPr>
          <w:p>
            <w:pPr>
              <w:spacing w:after="0" w:line="196" w:lineRule="exact"/>
              <w:rPr>
                <w:rFonts w:ascii="Arial" w:cs="Arial" w:eastAsia="Arial" w:hAnsi="Arial"/>
                <w:sz w:val="18"/>
                <w:szCs w:val="18"/>
                <w:color w:val="0000FF"/>
              </w:rPr>
            </w:pPr>
            <w:hyperlink w:anchor="page1">
              <w:r>
                <w:rPr>
                  <w:rFonts w:ascii="Arial" w:cs="Arial" w:eastAsia="Arial" w:hAnsi="Arial"/>
                  <w:sz w:val="18"/>
                  <w:szCs w:val="18"/>
                  <w:color w:val="0000FF"/>
                </w:rPr>
                <w:t>2002. Filed herewith.</w:t>
              </w:r>
            </w:hyperlink>
          </w:p>
        </w:tc>
      </w:tr>
      <w:tr>
        <w:trPr>
          <w:trHeight w:val="20"/>
        </w:trPr>
        <w:tc>
          <w:tcPr>
            <w:tcW w:w="10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1060" w:type="dxa"/>
            <w:vAlign w:val="bottom"/>
          </w:tcPr>
          <w:p>
            <w:pPr>
              <w:ind w:left="100"/>
              <w:spacing w:after="0"/>
              <w:rPr>
                <w:sz w:val="20"/>
                <w:szCs w:val="20"/>
                <w:color w:val="auto"/>
              </w:rPr>
            </w:pPr>
            <w:r>
              <w:rPr>
                <w:rFonts w:ascii="Arial" w:cs="Arial" w:eastAsia="Arial" w:hAnsi="Arial"/>
                <w:sz w:val="18"/>
                <w:szCs w:val="18"/>
                <w:color w:val="auto"/>
              </w:rPr>
              <w:t>32.2</w:t>
            </w:r>
          </w:p>
        </w:tc>
        <w:tc>
          <w:tcPr>
            <w:tcW w:w="916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Certification of Chief Financial Officer under 18 U.S.C. §1350 pursuant to Section 906 of the Sarbanes-Oxley Act of</w:t>
              </w:r>
            </w:hyperlink>
          </w:p>
        </w:tc>
        <w:tc>
          <w:tcPr>
            <w:tcW w:w="6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220" w:type="dxa"/>
            <w:vAlign w:val="bottom"/>
            <w:gridSpan w:val="5"/>
          </w:tcPr>
          <w:p>
            <w:pPr>
              <w:spacing w:after="0" w:line="196" w:lineRule="exact"/>
              <w:rPr>
                <w:rFonts w:ascii="Arial" w:cs="Arial" w:eastAsia="Arial" w:hAnsi="Arial"/>
                <w:sz w:val="18"/>
                <w:szCs w:val="18"/>
                <w:color w:val="0000FF"/>
              </w:rPr>
            </w:pPr>
            <w:hyperlink w:anchor="page1">
              <w:r>
                <w:rPr>
                  <w:rFonts w:ascii="Arial" w:cs="Arial" w:eastAsia="Arial" w:hAnsi="Arial"/>
                  <w:sz w:val="18"/>
                  <w:szCs w:val="18"/>
                  <w:color w:val="0000FF"/>
                </w:rPr>
                <w:t>2002. Filed herewith.</w:t>
              </w:r>
            </w:hyperlink>
          </w:p>
        </w:tc>
      </w:tr>
      <w:tr>
        <w:trPr>
          <w:trHeight w:val="20"/>
        </w:trPr>
        <w:tc>
          <w:tcPr>
            <w:tcW w:w="10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r>
      <w:tr>
        <w:trPr>
          <w:trHeight w:val="502"/>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Instance Document.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Filed herewith.</w:t>
            </w:r>
          </w:p>
        </w:tc>
      </w:tr>
    </w:tbl>
    <w:p>
      <w:pPr>
        <w:spacing w:after="0" w:line="251" w:lineRule="exact"/>
        <w:rPr>
          <w:sz w:val="20"/>
          <w:szCs w:val="20"/>
          <w:color w:val="auto"/>
        </w:rPr>
      </w:pPr>
    </w:p>
    <w:p>
      <w:pPr>
        <w:ind w:left="1062" w:right="1280" w:hanging="1062"/>
        <w:spacing w:after="0" w:line="275" w:lineRule="auto"/>
        <w:tabs>
          <w:tab w:leader="none" w:pos="10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cover page from M&amp;T Bank Corporation’s Quarterly Report on Form 10-Q for the quarter ended March 31, 2023 has been formatted in Inline XBRL.</w:t>
      </w:r>
    </w:p>
    <w:p>
      <w:pPr>
        <w:spacing w:after="0" w:line="149" w:lineRule="exact"/>
        <w:rPr>
          <w:rFonts w:ascii="Arial" w:cs="Arial" w:eastAsia="Arial" w:hAnsi="Arial"/>
          <w:sz w:val="18"/>
          <w:szCs w:val="18"/>
          <w:color w:val="auto"/>
        </w:rPr>
      </w:pPr>
    </w:p>
    <w:p>
      <w:pPr>
        <w:ind w:left="5182" w:hanging="93"/>
        <w:spacing w:after="0"/>
        <w:tabs>
          <w:tab w:leader="none" w:pos="5182" w:val="left"/>
        </w:tabs>
        <w:numPr>
          <w:ilvl w:val="1"/>
          <w:numId w:val="12"/>
        </w:numPr>
        <w:rPr>
          <w:rFonts w:ascii="Arial" w:cs="Arial" w:eastAsia="Arial" w:hAnsi="Arial"/>
          <w:sz w:val="16"/>
          <w:szCs w:val="16"/>
          <w:color w:val="auto"/>
        </w:rPr>
      </w:pPr>
      <w:r>
        <w:rPr>
          <w:rFonts w:ascii="Arial" w:cs="Arial" w:eastAsia="Arial" w:hAnsi="Arial"/>
          <w:sz w:val="16"/>
          <w:szCs w:val="16"/>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2"/>
          </w:cols>
          <w:pgMar w:left="678" w:top="779" w:right="940" w:bottom="1440" w:gutter="0" w:footer="0" w:header="0"/>
        </w:sectPr>
      </w:pPr>
    </w:p>
    <w:bookmarkStart w:id="83" w:name="page84"/>
    <w:bookmarkEnd w:id="83"/>
    <w:p>
      <w:pPr>
        <w:jc w:val="center"/>
        <w:ind w:right="-259"/>
        <w:spacing w:after="0"/>
        <w:rPr>
          <w:sz w:val="20"/>
          <w:szCs w:val="20"/>
          <w:color w:val="auto"/>
        </w:rPr>
      </w:pPr>
      <w:r>
        <w:rPr>
          <w:rFonts w:ascii="Arial" w:cs="Arial" w:eastAsia="Arial" w:hAnsi="Arial"/>
          <w:sz w:val="18"/>
          <w:szCs w:val="18"/>
          <w:color w:val="auto"/>
        </w:rPr>
        <w:t>SIGNATURES</w:t>
      </w:r>
    </w:p>
    <w:p>
      <w:pPr>
        <w:spacing w:after="0" w:line="201" w:lineRule="exact"/>
        <w:rPr>
          <w:sz w:val="20"/>
          <w:szCs w:val="20"/>
          <w:color w:val="auto"/>
        </w:rPr>
      </w:pPr>
    </w:p>
    <w:p>
      <w:pPr>
        <w:ind w:firstLine="468"/>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M&amp;T BANK CORPORATION</w:t>
      </w:r>
    </w:p>
    <w:p>
      <w:pPr>
        <w:spacing w:after="0" w:line="273" w:lineRule="exact"/>
        <w:rPr>
          <w:sz w:val="20"/>
          <w:szCs w:val="20"/>
          <w:color w:val="auto"/>
        </w:rPr>
      </w:pPr>
    </w:p>
    <w:p>
      <w:pPr>
        <w:ind w:left="6220" w:right="2180" w:hanging="6733"/>
        <w:spacing w:after="0" w:line="278" w:lineRule="auto"/>
        <w:tabs>
          <w:tab w:leader="none" w:pos="62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 /s/ Darren J. King Darren J. King</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Senior Executive Vice President</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660" w:top="743" w:right="920"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color w:val="auto"/>
        </w:rPr>
        <w:t>EXHIBIT 31.1</w:t>
      </w:r>
    </w:p>
    <w:p>
      <w:pPr>
        <w:spacing w:after="0" w:line="21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Arial" w:cs="Arial" w:eastAsia="Arial" w:hAnsi="Arial"/>
          <w:sz w:val="18"/>
          <w:szCs w:val="18"/>
          <w:color w:val="auto"/>
        </w:rPr>
        <w:t>I, René F. Jones, certify that:</w:t>
      </w:r>
    </w:p>
    <w:p>
      <w:pPr>
        <w:spacing w:after="0" w:line="225" w:lineRule="exact"/>
        <w:rPr>
          <w:sz w:val="20"/>
          <w:szCs w:val="20"/>
          <w:color w:val="auto"/>
        </w:rPr>
      </w:pPr>
    </w:p>
    <w:p>
      <w:pPr>
        <w:ind w:left="206" w:hanging="206"/>
        <w:spacing w:after="0"/>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M&amp;T Bank Corporation;</w:t>
      </w:r>
    </w:p>
    <w:p>
      <w:pPr>
        <w:spacing w:after="0" w:line="225" w:lineRule="exact"/>
        <w:rPr>
          <w:rFonts w:ascii="Arial" w:cs="Arial" w:eastAsia="Arial" w:hAnsi="Arial"/>
          <w:sz w:val="18"/>
          <w:szCs w:val="18"/>
          <w:color w:val="auto"/>
        </w:rPr>
      </w:pPr>
    </w:p>
    <w:p>
      <w:pPr>
        <w:ind w:left="366" w:right="100" w:hanging="366"/>
        <w:spacing w:after="0" w:line="263" w:lineRule="auto"/>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6" w:right="620" w:hanging="366"/>
        <w:spacing w:after="0" w:line="263" w:lineRule="auto"/>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66" w:right="240" w:hanging="366"/>
        <w:spacing w:after="0" w:line="263" w:lineRule="auto"/>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sz w:val="20"/>
          <w:szCs w:val="20"/>
          <w:color w:val="auto"/>
        </w:rPr>
      </w:pPr>
    </w:p>
    <w:p>
      <w:pPr>
        <w:ind w:left="366" w:right="160" w:hanging="366"/>
        <w:spacing w:after="0" w:line="263" w:lineRule="auto"/>
        <w:tabs>
          <w:tab w:leader="none" w:pos="2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8"/>
          <w:szCs w:val="18"/>
          <w:color w:val="auto"/>
        </w:rPr>
      </w:pPr>
    </w:p>
    <w:p>
      <w:pPr>
        <w:ind w:left="366" w:right="460" w:hanging="366"/>
        <w:spacing w:after="0" w:line="263" w:lineRule="auto"/>
        <w:tabs>
          <w:tab w:leader="none" w:pos="2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8"/>
          <w:szCs w:val="18"/>
          <w:color w:val="auto"/>
        </w:rPr>
      </w:pPr>
    </w:p>
    <w:p>
      <w:pPr>
        <w:ind w:left="366" w:right="280" w:hanging="366"/>
        <w:spacing w:after="0" w:line="263" w:lineRule="auto"/>
        <w:tabs>
          <w:tab w:leader="none" w:pos="2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8"/>
          <w:szCs w:val="18"/>
          <w:color w:val="auto"/>
        </w:rPr>
      </w:pPr>
    </w:p>
    <w:p>
      <w:pPr>
        <w:ind w:left="366" w:right="160" w:hanging="366"/>
        <w:spacing w:after="0" w:line="263" w:lineRule="auto"/>
        <w:tabs>
          <w:tab w:leader="none" w:pos="2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66" w:right="160" w:hanging="366"/>
        <w:spacing w:after="0" w:line="263" w:lineRule="auto"/>
        <w:tabs>
          <w:tab w:leader="none" w:pos="20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sz w:val="20"/>
          <w:szCs w:val="20"/>
          <w:color w:val="auto"/>
        </w:rPr>
      </w:pPr>
    </w:p>
    <w:p>
      <w:pPr>
        <w:ind w:left="366" w:right="80" w:hanging="366"/>
        <w:spacing w:after="0" w:line="306" w:lineRule="auto"/>
        <w:tabs>
          <w:tab w:leader="none" w:pos="2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7"/>
          <w:szCs w:val="17"/>
          <w:color w:val="auto"/>
        </w:rPr>
      </w:pPr>
    </w:p>
    <w:p>
      <w:pPr>
        <w:ind w:left="366" w:right="320" w:hanging="366"/>
        <w:spacing w:after="0" w:line="275" w:lineRule="auto"/>
        <w:tabs>
          <w:tab w:leader="none" w:pos="2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8"/>
          <w:szCs w:val="18"/>
          <w:color w:val="auto"/>
        </w:rPr>
        <w:t>Date: May 15, 2023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
        <w:spacing w:after="0"/>
        <w:tabs>
          <w:tab w:leader="none" w:pos="446"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René F. Jones</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René F. Jones</w:t>
      </w:r>
    </w:p>
    <w:p>
      <w:pPr>
        <w:spacing w:after="0" w:line="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Chairman of the Board and</w:t>
      </w:r>
    </w:p>
    <w:p>
      <w:pPr>
        <w:spacing w:after="0" w:line="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562" w:right="66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Arial" w:cs="Arial" w:eastAsia="Arial" w:hAnsi="Arial"/>
          <w:sz w:val="18"/>
          <w:szCs w:val="18"/>
          <w:color w:val="auto"/>
        </w:rPr>
        <w:t>I, Darren J. King, certify that:</w:t>
      </w:r>
    </w:p>
    <w:p>
      <w:pPr>
        <w:spacing w:after="0" w:line="225" w:lineRule="exact"/>
        <w:rPr>
          <w:sz w:val="20"/>
          <w:szCs w:val="20"/>
          <w:color w:val="auto"/>
        </w:rPr>
      </w:pPr>
    </w:p>
    <w:p>
      <w:pPr>
        <w:ind w:left="206" w:hanging="206"/>
        <w:spacing w:after="0"/>
        <w:tabs>
          <w:tab w:leader="none" w:pos="2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M&amp;T Bank Corporation;</w:t>
      </w:r>
    </w:p>
    <w:p>
      <w:pPr>
        <w:spacing w:after="0" w:line="225" w:lineRule="exact"/>
        <w:rPr>
          <w:rFonts w:ascii="Arial" w:cs="Arial" w:eastAsia="Arial" w:hAnsi="Arial"/>
          <w:sz w:val="18"/>
          <w:szCs w:val="18"/>
          <w:color w:val="auto"/>
        </w:rPr>
      </w:pPr>
    </w:p>
    <w:p>
      <w:pPr>
        <w:ind w:left="366" w:right="80" w:hanging="366"/>
        <w:spacing w:after="0" w:line="263" w:lineRule="auto"/>
        <w:tabs>
          <w:tab w:leader="none" w:pos="2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6" w:right="600" w:hanging="366"/>
        <w:spacing w:after="0" w:line="263" w:lineRule="auto"/>
        <w:tabs>
          <w:tab w:leader="none" w:pos="2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66" w:right="220" w:hanging="366"/>
        <w:spacing w:after="0" w:line="263" w:lineRule="auto"/>
        <w:tabs>
          <w:tab w:leader="none" w:pos="2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sz w:val="20"/>
          <w:szCs w:val="20"/>
          <w:color w:val="auto"/>
        </w:rPr>
      </w:pPr>
    </w:p>
    <w:p>
      <w:pPr>
        <w:ind w:left="366" w:right="140" w:hanging="366"/>
        <w:spacing w:after="0" w:line="263" w:lineRule="auto"/>
        <w:tabs>
          <w:tab w:leader="none" w:pos="2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8"/>
          <w:szCs w:val="18"/>
          <w:color w:val="auto"/>
        </w:rPr>
      </w:pPr>
    </w:p>
    <w:p>
      <w:pPr>
        <w:ind w:left="366" w:right="440" w:hanging="366"/>
        <w:spacing w:after="0" w:line="263" w:lineRule="auto"/>
        <w:tabs>
          <w:tab w:leader="none" w:pos="2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8"/>
          <w:szCs w:val="18"/>
          <w:color w:val="auto"/>
        </w:rPr>
      </w:pPr>
    </w:p>
    <w:p>
      <w:pPr>
        <w:ind w:left="366" w:right="260" w:hanging="366"/>
        <w:spacing w:after="0" w:line="263" w:lineRule="auto"/>
        <w:tabs>
          <w:tab w:leader="none" w:pos="2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8"/>
          <w:szCs w:val="18"/>
          <w:color w:val="auto"/>
        </w:rPr>
      </w:pPr>
    </w:p>
    <w:p>
      <w:pPr>
        <w:ind w:left="366" w:right="140" w:hanging="366"/>
        <w:spacing w:after="0" w:line="263" w:lineRule="auto"/>
        <w:tabs>
          <w:tab w:leader="none" w:pos="2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66" w:right="140" w:hanging="366"/>
        <w:spacing w:after="0" w:line="263" w:lineRule="auto"/>
        <w:tabs>
          <w:tab w:leader="none" w:pos="2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sz w:val="20"/>
          <w:szCs w:val="20"/>
          <w:color w:val="auto"/>
        </w:rPr>
      </w:pPr>
    </w:p>
    <w:p>
      <w:pPr>
        <w:ind w:left="366" w:right="60" w:hanging="366"/>
        <w:spacing w:after="0" w:line="306" w:lineRule="auto"/>
        <w:tabs>
          <w:tab w:leader="none" w:pos="2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7"/>
          <w:szCs w:val="17"/>
          <w:color w:val="auto"/>
        </w:rPr>
      </w:pPr>
    </w:p>
    <w:p>
      <w:pPr>
        <w:ind w:left="366" w:right="300" w:hanging="366"/>
        <w:spacing w:after="0" w:line="275" w:lineRule="auto"/>
        <w:tabs>
          <w:tab w:leader="none" w:pos="2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8"/>
          <w:szCs w:val="18"/>
          <w:color w:val="auto"/>
        </w:rPr>
        <w:t>Date: May 15, 2023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
        <w:spacing w:after="0"/>
        <w:tabs>
          <w:tab w:leader="none" w:pos="446" w:val="left"/>
        </w:tabs>
        <w:rPr>
          <w:sz w:val="20"/>
          <w:szCs w:val="20"/>
          <w:color w:val="auto"/>
        </w:rPr>
      </w:pPr>
      <w:r>
        <w:rPr>
          <w:rFonts w:ascii="Arial" w:cs="Arial" w:eastAsia="Arial" w:hAnsi="Arial"/>
          <w:sz w:val="18"/>
          <w:szCs w:val="18"/>
          <w:color w:val="auto"/>
        </w:rPr>
        <w:t>By:</w:t>
        <w:tab/>
        <w:t>/s/ Darren J. King</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Darren J. King</w:t>
      </w:r>
    </w:p>
    <w:p>
      <w:pPr>
        <w:spacing w:after="0" w:line="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Senior Executive Vice President</w:t>
      </w:r>
    </w:p>
    <w:p>
      <w:pPr>
        <w:spacing w:after="0" w:line="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779" w:right="68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I, René F. Jones, Chairman of the Board and Chief Executive Officer of M&amp;T Bank Corporation, certify, pursuant to Section 906 of the Sarbanes-Oxley Act of 2002, 18 U.S.C. Section 1350, that:</w:t>
      </w:r>
    </w:p>
    <w:p>
      <w:pPr>
        <w:spacing w:after="0" w:line="174" w:lineRule="exact"/>
        <w:rPr>
          <w:sz w:val="20"/>
          <w:szCs w:val="20"/>
          <w:color w:val="auto"/>
        </w:rPr>
      </w:pPr>
    </w:p>
    <w:p>
      <w:pPr>
        <w:ind w:left="1400" w:right="1460" w:hanging="878"/>
        <w:spacing w:after="0" w:line="263" w:lineRule="auto"/>
        <w:tabs>
          <w:tab w:leader="none" w:pos="7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10-Q/A of M&amp;T Bank Corporation for the quarterly period ended March 31, 2023 (the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1400" w:right="1440" w:hanging="878"/>
        <w:spacing w:after="0" w:line="275" w:lineRule="auto"/>
        <w:tabs>
          <w:tab w:leader="none" w:pos="7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39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René F. Jones</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René F. Jones</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May 15,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I, Darren J. King, Senior Executive Vice President and Chief Financial Officer of M&amp;T Bank Corporation, certify, pursuant to Section 906 of the Sarbanes-Oxley Act of 2002, 18 U.S.C. Section 1350, that:</w:t>
      </w:r>
    </w:p>
    <w:p>
      <w:pPr>
        <w:spacing w:after="0" w:line="174" w:lineRule="exact"/>
        <w:rPr>
          <w:sz w:val="20"/>
          <w:szCs w:val="20"/>
          <w:color w:val="auto"/>
        </w:rPr>
      </w:pPr>
    </w:p>
    <w:p>
      <w:pPr>
        <w:ind w:left="1400" w:right="1460" w:hanging="878"/>
        <w:spacing w:after="0" w:line="263" w:lineRule="auto"/>
        <w:tabs>
          <w:tab w:leader="none" w:pos="7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10-Q/A of M&amp;T Bank Corporation for the quarterly period ended March 31, 2023 (the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1400" w:right="1440" w:hanging="878"/>
        <w:spacing w:after="0" w:line="275" w:lineRule="auto"/>
        <w:tabs>
          <w:tab w:leader="none" w:pos="7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39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Darren J. King</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Darren J. King</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May 15,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88" w:name="page89"/>
    <w:bookmarkEnd w:id="8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upperLetter"/>
      <w:start w:val="68"/>
    </w:lvl>
    <w:lvl w:ilvl="1">
      <w:lvlJc w:val="left"/>
      <w:lvlText w:val="-"/>
      <w:numFmt w:val="bullet"/>
      <w:start w:val="1"/>
    </w:lvl>
  </w:abstractNum>
  <w:abstractNum w:abstractNumId="6">
    <w:nsid w:val="7FDCC233"/>
    <w:multiLevelType w:val="hybridMultilevel"/>
    <w:lvl w:ilvl="0">
      <w:lvlJc w:val="left"/>
      <w:lvlText w:val="(%1)"/>
      <w:numFmt w:val="lowerRoman"/>
      <w:start w:val="2"/>
    </w:lvl>
    <w:lvl w:ilvl="1">
      <w:lvlJc w:val="left"/>
      <w:lvlText w:val="-"/>
      <w:numFmt w:val="bullet"/>
      <w:start w:val="1"/>
    </w:lvl>
  </w:abstractNum>
  <w:abstractNum w:abstractNumId="7">
    <w:nsid w:val="1BEFD79F"/>
    <w:multiLevelType w:val="hybridMultilevel"/>
    <w:lvl w:ilvl="0">
      <w:lvlJc w:val="left"/>
      <w:lvlText w:val="(%1)"/>
      <w:numFmt w:val="lowerRoman"/>
      <w:start w:val="3"/>
    </w:lvl>
  </w:abstractNum>
  <w:abstractNum w:abstractNumId="8">
    <w:nsid w:val="41A7C4C9"/>
    <w:multiLevelType w:val="hybridMultilevel"/>
    <w:lvl w:ilvl="0">
      <w:lvlJc w:val="left"/>
      <w:lvlText w:val="(%1)"/>
      <w:numFmt w:val="lowerLetter"/>
      <w:start w:val="1"/>
    </w:lvl>
    <w:lvl w:ilvl="1">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3"/>
    </w:lvl>
  </w:abstractNum>
  <w:abstractNum w:abstractNumId="11">
    <w:nsid w:val="25E45D32"/>
    <w:multiLevelType w:val="hybridMultilevel"/>
    <w:lvl w:ilvl="0">
      <w:lvlJc w:val="left"/>
      <w:lvlText w:val="%1"/>
      <w:numFmt w:val="decimal"/>
      <w:start w:val="104"/>
    </w:lvl>
    <w:lvl w:ilvl="1">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2023-05-15T11:52:32Z</dcterms:created>
  <dcterms:modified xsi:type="dcterms:W3CDTF">2023-05-15T11:52:32Z</dcterms:modified>
</cp:coreProperties>
</file>