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40" w:space="180"/>
            <w:col w:w="160" w:space="80"/>
            <w:col w:w="260" w:space="180"/>
            <w:col w:w="160" w:space="80"/>
            <w:col w:w="218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31, 2013: 130,229,189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40" w:type="dxa"/>
            <w:vAlign w:val="bottom"/>
            <w:gridSpan w:val="12"/>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64"/>
        </w:trPr>
        <w:tc>
          <w:tcPr>
            <w:tcW w:w="110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0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September 30, 2013 and December 31, 2012</w:t>
              </w:r>
            </w:hyperlink>
          </w:p>
        </w:tc>
        <w:tc>
          <w:tcPr>
            <w:tcW w:w="342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nine months ended September 30,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 - Three and nine months ended September 30, 2013 and 2012</w:t>
              </w:r>
            </w:hyperlink>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Nine months ended September 30,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CHANGES IN SHAREHOLDERS’ EQUITY - Nine months ended September 30, 2013 and</w:t>
              </w:r>
            </w:hyperlink>
          </w:p>
        </w:tc>
        <w:tc>
          <w:tcPr>
            <w:tcW w:w="3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2012</w:t>
              </w:r>
            </w:hyperlink>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6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6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06">
              <w:r>
                <w:rPr>
                  <w:rFonts w:ascii="Arial" w:cs="Arial" w:eastAsia="Arial" w:hAnsi="Arial"/>
                  <w:sz w:val="18"/>
                  <w:szCs w:val="18"/>
                  <w:color w:val="0000EE"/>
                  <w:w w:val="88"/>
                </w:rPr>
                <w:t>Controls and Procedures.</w:t>
              </w:r>
            </w:hyperlink>
          </w:p>
        </w:tc>
        <w:tc>
          <w:tcPr>
            <w:tcW w:w="784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6">
              <w:r>
                <w:rPr>
                  <w:rFonts w:ascii="Arial" w:cs="Arial" w:eastAsia="Arial" w:hAnsi="Arial"/>
                  <w:sz w:val="18"/>
                  <w:szCs w:val="18"/>
                  <w:color w:val="0000EE"/>
                  <w:w w:val="95"/>
                </w:rPr>
                <w:t>Part II. OTHER INFORMATION</w:t>
              </w:r>
            </w:hyperlink>
          </w:p>
        </w:tc>
        <w:tc>
          <w:tcPr>
            <w:tcW w:w="8560" w:type="dxa"/>
            <w:vAlign w:val="bottom"/>
            <w:gridSpan w:val="16"/>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660" w:type="dxa"/>
            <w:vAlign w:val="bottom"/>
            <w:gridSpan w:val="2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Risk Factors.</w:t>
              </w:r>
            </w:hyperlink>
          </w:p>
        </w:tc>
        <w:tc>
          <w:tcPr>
            <w:tcW w:w="440" w:type="dxa"/>
            <w:vAlign w:val="bottom"/>
            <w:tcBorders>
              <w:top w:val="single" w:sz="8" w:color="0000EE"/>
            </w:tcBorders>
            <w:gridSpan w:val="3"/>
          </w:tcPr>
          <w:p>
            <w:pPr>
              <w:spacing w:after="0"/>
              <w:rPr>
                <w:sz w:val="24"/>
                <w:szCs w:val="24"/>
                <w:color w:val="auto"/>
              </w:rPr>
            </w:pPr>
          </w:p>
        </w:tc>
        <w:tc>
          <w:tcPr>
            <w:tcW w:w="826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Unregistered Sales of Equity Securities and Use of Proceeds.</w:t>
              </w:r>
            </w:hyperlink>
          </w:p>
        </w:tc>
        <w:tc>
          <w:tcPr>
            <w:tcW w:w="526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Defaults Upon Senior Securities.</w:t>
              </w:r>
            </w:hyperlink>
          </w:p>
        </w:tc>
        <w:tc>
          <w:tcPr>
            <w:tcW w:w="728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Mine Safety Disclosures.</w:t>
              </w:r>
            </w:hyperlink>
          </w:p>
        </w:tc>
        <w:tc>
          <w:tcPr>
            <w:tcW w:w="784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966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Exhibits.</w:t>
              </w:r>
            </w:hyperlink>
          </w:p>
        </w:tc>
        <w:tc>
          <w:tcPr>
            <w:tcW w:w="83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 INDEX</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8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40" w:type="dxa"/>
            <w:vAlign w:val="bottom"/>
            <w:gridSpan w:val="15"/>
          </w:tcPr>
          <w:p>
            <w:pPr>
              <w:ind w:left="4220"/>
              <w:spacing w:after="0"/>
              <w:rPr>
                <w:sz w:val="20"/>
                <w:szCs w:val="20"/>
                <w:color w:val="auto"/>
              </w:rPr>
            </w:pPr>
            <w:r>
              <w:rPr>
                <w:rFonts w:ascii="Arial" w:cs="Arial" w:eastAsia="Arial" w:hAnsi="Arial"/>
                <w:sz w:val="18"/>
                <w:szCs w:val="18"/>
                <w:color w:val="auto"/>
              </w:rPr>
              <w:t>- 2 -</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6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September 30,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74"/>
        </w:trPr>
        <w:tc>
          <w:tcPr>
            <w:tcW w:w="92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0"/>
              <w:spacing w:after="0" w:line="154"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5"/>
                <w:szCs w:val="15"/>
                <w:color w:val="auto"/>
              </w:rPr>
            </w:pPr>
          </w:p>
        </w:tc>
        <w:tc>
          <w:tcPr>
            <w:tcW w:w="88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40" w:type="dxa"/>
            <w:vAlign w:val="bottom"/>
            <w:tcBorders>
              <w:top w:val="single" w:sz="8" w:color="auto"/>
            </w:tcBorders>
            <w:shd w:val="clear" w:color="auto" w:fill="CCEEFF"/>
          </w:tcPr>
          <w:p>
            <w:pPr>
              <w:spacing w:after="0"/>
              <w:rPr>
                <w:sz w:val="16"/>
                <w:szCs w:val="16"/>
                <w:color w:val="auto"/>
              </w:rPr>
            </w:pPr>
          </w:p>
        </w:tc>
        <w:tc>
          <w:tcPr>
            <w:tcW w:w="69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Cash and due from banks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1,941,944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1,983,615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deposits at banks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1,925,811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129,945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Federal funds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117,809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Trading account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371,370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488,966</w:t>
            </w: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7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Investment securities (includes pledged securities that can be sold or repledged of $1,707,437 at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September 30, 2013; $1,801,842 at December 31, 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Available for sale (cost: $4,555,109 at September 30, 2013; $4,643,070 at December 31, 2012)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4,692,180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4,739,437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520"/>
              <w:spacing w:after="0"/>
              <w:rPr>
                <w:sz w:val="20"/>
                <w:szCs w:val="20"/>
                <w:color w:val="auto"/>
              </w:rPr>
            </w:pPr>
            <w:r>
              <w:rPr>
                <w:rFonts w:ascii="Arial" w:cs="Arial" w:eastAsia="Arial" w:hAnsi="Arial"/>
                <w:sz w:val="18"/>
                <w:szCs w:val="18"/>
                <w:color w:val="auto"/>
                <w:w w:val="91"/>
              </w:rPr>
              <w:t>Held to maturity (fair value: $3,277,386 at September 30, 2013; $976,883 at December 31, 2012)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3,319,114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1,032,276</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(fair value: $298,479 at September 30, 2013; $302,648 at December 31, 2012)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298,479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302,648</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Total investment securities</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8,309,773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and leases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63,914,772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66,790,186</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520"/>
              <w:spacing w:after="0"/>
              <w:rPr>
                <w:sz w:val="20"/>
                <w:szCs w:val="20"/>
                <w:color w:val="auto"/>
              </w:rPr>
            </w:pPr>
            <w:r>
              <w:rPr>
                <w:rFonts w:ascii="Arial" w:cs="Arial" w:eastAsia="Arial" w:hAnsi="Arial"/>
                <w:sz w:val="18"/>
                <w:szCs w:val="18"/>
                <w:color w:val="auto"/>
              </w:rPr>
              <w:t>Unearned discount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(255,730)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(219,229)</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and leases, net of unearned discount</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63,659,042</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66,570,957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520"/>
              <w:spacing w:after="0"/>
              <w:rPr>
                <w:sz w:val="20"/>
                <w:szCs w:val="20"/>
                <w:color w:val="auto"/>
              </w:rPr>
            </w:pPr>
            <w:r>
              <w:rPr>
                <w:rFonts w:ascii="Arial" w:cs="Arial" w:eastAsia="Arial" w:hAnsi="Arial"/>
                <w:sz w:val="18"/>
                <w:szCs w:val="18"/>
                <w:color w:val="auto"/>
              </w:rPr>
              <w:t>Allowance for credit losses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(916,370)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(925,860)</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and leases, net</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62,742,672</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65,645,097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Premises and equipment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614,795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3,524,625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Core deposit and other intangible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79,290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115,763</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4,799,396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4,448,779</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84,427,485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83,008,803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Noninterest-bearing deposits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24,150,771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24,240,802</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accounts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1,716,511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1,979,619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Savings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36,536,906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33,783,947</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3,831,443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4,562,366</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Deposits at Cayman Islands office</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316,510</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deposits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66,552,141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65,611,253</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agreements to repurchase securities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246,019</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1,491,797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1,512,717</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Long-term borrowings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5,121,326</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73,411,283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72,806,210</w:t>
            </w:r>
          </w:p>
        </w:tc>
        <w:tc>
          <w:tcPr>
            <w:tcW w:w="0" w:type="dxa"/>
            <w:vAlign w:val="bottom"/>
          </w:tcPr>
          <w:p>
            <w:pPr>
              <w:spacing w:after="0"/>
              <w:rPr>
                <w:sz w:val="1"/>
                <w:szCs w:val="1"/>
                <w:color w:val="auto"/>
              </w:rPr>
            </w:pPr>
          </w:p>
        </w:tc>
      </w:tr>
      <w:tr>
        <w:trPr>
          <w:trHeight w:val="209"/>
        </w:trPr>
        <w:tc>
          <w:tcPr>
            <w:tcW w:w="1640" w:type="dxa"/>
            <w:vAlign w:val="bottom"/>
          </w:tcPr>
          <w:p>
            <w:pPr>
              <w:spacing w:after="0"/>
              <w:rPr>
                <w:sz w:val="20"/>
                <w:szCs w:val="20"/>
                <w:color w:val="auto"/>
              </w:rPr>
            </w:pPr>
            <w:r>
              <w:rPr>
                <w:rFonts w:ascii="Arial" w:cs="Arial" w:eastAsia="Arial" w:hAnsi="Arial"/>
                <w:sz w:val="18"/>
                <w:szCs w:val="18"/>
                <w:color w:val="auto"/>
                <w:w w:val="98"/>
              </w:rPr>
              <w:t>Shareholders’ equity</w:t>
            </w: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Preferred stock, $1.00 par, 1,000,000 shares authorized; Issued and outstanding: Liquidation</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w w:val="93"/>
              </w:rPr>
              <w:t>preference of $1,000 per share: 381,500 shares at September 30, 2013 and December 31, 2012;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w w:val="92"/>
              </w:rPr>
              <w:t>Liquidation preference of $10,000 per share: 50,000 shares at September 30, 2013 and December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31, 2012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879,010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872,500</w:t>
            </w: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$.50 par, 250,000,000 shares authorized, 130,194,232 shares issued at September 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2013; 128,176,912 shares issued at December 31, 2012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64,088</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w w:val="91"/>
              </w:rPr>
              <w:t>Common stock issuable, 47,048 shares at September 30, 2013; 57,409 shares at December 31, 2012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2,889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3,192,981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3,025,520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7,074,287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6,477,276</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(198,062)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11,016,202</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10,202,593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84,427,485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83,008,803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620" w:type="dxa"/>
            <w:vAlign w:val="bottom"/>
            <w:gridSpan w:val="2"/>
            <w:vMerge w:val="restart"/>
          </w:tcPr>
          <w:p>
            <w:pPr>
              <w:ind w:left="3920"/>
              <w:spacing w:after="0"/>
              <w:rPr>
                <w:sz w:val="20"/>
                <w:szCs w:val="20"/>
                <w:color w:val="auto"/>
              </w:rPr>
            </w:pPr>
            <w:r>
              <w:rPr>
                <w:rFonts w:ascii="Arial" w:cs="Arial" w:eastAsia="Arial" w:hAnsi="Arial"/>
                <w:sz w:val="18"/>
                <w:szCs w:val="18"/>
                <w:color w:val="auto"/>
              </w:rPr>
              <w:t>- 3 -</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thousands, except per share</w:t>
            </w:r>
          </w:p>
        </w:tc>
        <w:tc>
          <w:tcPr>
            <w:tcW w:w="5240" w:type="dxa"/>
            <w:vAlign w:val="bottom"/>
            <w:vMerge w:val="restart"/>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color w:val="auto"/>
                <w:w w:val="96"/>
              </w:rPr>
              <w:t>Three months ended September 30</w:t>
            </w:r>
          </w:p>
        </w:tc>
        <w:tc>
          <w:tcPr>
            <w:tcW w:w="80" w:type="dxa"/>
            <w:vAlign w:val="bottom"/>
          </w:tcPr>
          <w:p>
            <w:pPr>
              <w:spacing w:after="0"/>
              <w:rPr>
                <w:sz w:val="14"/>
                <w:szCs w:val="14"/>
                <w:color w:val="auto"/>
              </w:rPr>
            </w:pPr>
          </w:p>
        </w:tc>
        <w:tc>
          <w:tcPr>
            <w:tcW w:w="2120" w:type="dxa"/>
            <w:vAlign w:val="bottom"/>
            <w:gridSpan w:val="5"/>
          </w:tcPr>
          <w:p>
            <w:pPr>
              <w:jc w:val="right"/>
              <w:ind w:right="140"/>
              <w:spacing w:after="0"/>
              <w:rPr>
                <w:sz w:val="20"/>
                <w:szCs w:val="20"/>
                <w:color w:val="auto"/>
              </w:rPr>
            </w:pPr>
            <w:r>
              <w:rPr>
                <w:rFonts w:ascii="Arial" w:cs="Arial" w:eastAsia="Arial" w:hAnsi="Arial"/>
                <w:sz w:val="14"/>
                <w:szCs w:val="14"/>
                <w:color w:val="auto"/>
                <w:w w:val="91"/>
              </w:rPr>
              <w:t>Nine months ended September 30</w:t>
            </w:r>
          </w:p>
        </w:tc>
        <w:tc>
          <w:tcPr>
            <w:tcW w:w="0" w:type="dxa"/>
            <w:vAlign w:val="bottom"/>
          </w:tcPr>
          <w:p>
            <w:pPr>
              <w:spacing w:after="0"/>
              <w:rPr>
                <w:sz w:val="1"/>
                <w:szCs w:val="1"/>
                <w:color w:val="auto"/>
              </w:rPr>
            </w:pPr>
          </w:p>
        </w:tc>
      </w:tr>
      <w:tr>
        <w:trPr>
          <w:trHeight w:val="174"/>
        </w:trPr>
        <w:tc>
          <w:tcPr>
            <w:tcW w:w="1800" w:type="dxa"/>
            <w:vAlign w:val="bottom"/>
            <w:tcBorders>
              <w:bottom w:val="single" w:sz="8" w:color="auto"/>
            </w:tcBorders>
            <w:gridSpan w:val="2"/>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5"/>
                <w:szCs w:val="15"/>
                <w:color w:val="auto"/>
              </w:rPr>
            </w:pPr>
          </w:p>
        </w:tc>
        <w:tc>
          <w:tcPr>
            <w:tcW w:w="88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5"/>
                <w:szCs w:val="15"/>
                <w:color w:val="auto"/>
              </w:rPr>
            </w:pPr>
          </w:p>
        </w:tc>
        <w:tc>
          <w:tcPr>
            <w:tcW w:w="90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Interest income</w:t>
            </w:r>
          </w:p>
        </w:tc>
        <w:tc>
          <w:tcPr>
            <w:tcW w:w="5740" w:type="dxa"/>
            <w:vAlign w:val="bottom"/>
            <w:tcBorders>
              <w:top w:val="single" w:sz="8" w:color="CCEEFF"/>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Loans and leases, including fees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683,482</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687,466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2,071,332</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2,010,529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Deposits at banks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3,372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 funds sold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Agreements to resell securities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Fully taxable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55,746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141,799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177,647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480"/>
              <w:spacing w:after="0"/>
              <w:rPr>
                <w:sz w:val="20"/>
                <w:szCs w:val="20"/>
                <w:color w:val="auto"/>
              </w:rPr>
            </w:pPr>
            <w:r>
              <w:rPr>
                <w:rFonts w:ascii="Arial" w:cs="Arial" w:eastAsia="Arial" w:hAnsi="Arial"/>
                <w:sz w:val="18"/>
                <w:szCs w:val="18"/>
                <w:color w:val="auto"/>
              </w:rPr>
              <w:t>Exempt from federal taxes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1,617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5,223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742,686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744,851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2,222,868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2,196,332</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w w:val="96"/>
              </w:rPr>
              <w:t>Interest expense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NOW accounts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6,129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21,809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36,706</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Deposits at Cayman Islands office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borrowings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174,068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216,123</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673,108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2,006,745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1,931,094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48,000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143,000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625,108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1,863,745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1,776,094</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income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Mortgage banking revenues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64,731</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249,096</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charges on deposit accounts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113,839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336,505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334,334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Trust income</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123,801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370,132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354,937</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Brokerage services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8,987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27,138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bank investment securities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56,457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Total other-than-temporary impairment (“OTTI”) losses</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rPr>
                <w:sz w:val="17"/>
                <w:szCs w:val="17"/>
                <w:color w:val="auto"/>
              </w:rPr>
            </w:pPr>
          </w:p>
        </w:tc>
        <w:tc>
          <w:tcPr>
            <w:tcW w:w="57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Portion of OTTI losses recognized in other comprehensive income (before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p>
        </w:tc>
        <w:tc>
          <w:tcPr>
            <w:tcW w:w="5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Net OTTI losses recognized in earnings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Bayview Lending Group LLC</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Other revenues from operations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153,040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96,649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349,581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272,744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477,388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1,418,959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1,214,106</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20"/>
                <w:szCs w:val="20"/>
                <w:color w:val="auto"/>
              </w:rPr>
            </w:pPr>
            <w:r>
              <w:rPr>
                <w:rFonts w:ascii="Arial" w:cs="Arial" w:eastAsia="Arial" w:hAnsi="Arial"/>
                <w:sz w:val="18"/>
                <w:szCs w:val="18"/>
                <w:color w:val="auto"/>
              </w:rPr>
              <w:t>Other expense</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339,332</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1,019,019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and net occupancy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66,220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195,657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194,667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Printing, postage and supplies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9,752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30,749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31,512</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FDIC assessments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14,877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23,801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52,010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77,712</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217,817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558,905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540,927</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Total other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658,626</w:t>
            </w:r>
          </w:p>
        </w:tc>
        <w:tc>
          <w:tcPr>
            <w:tcW w:w="2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616,027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1,892,813</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443,870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446,428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1,389,891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1,107,086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149,391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152,966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472,833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373,781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294,479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917,058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733,305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40" w:type="dxa"/>
            <w:vAlign w:val="bottom"/>
            <w:gridSpan w:val="2"/>
            <w:vMerge w:val="restart"/>
          </w:tcPr>
          <w:p>
            <w:pPr>
              <w:ind w:left="12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275,336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273,885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858,944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676,821</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275,356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273,896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859,000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676,842</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per common share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Cash dividends per common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common shares outstanding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129,171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125,818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128,369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125,510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130,265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129,312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125,936</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5740" w:type="dxa"/>
            <w:vAlign w:val="bottom"/>
            <w:gridSpan w:val="2"/>
          </w:tcPr>
          <w:p>
            <w:pPr>
              <w:ind w:left="4260"/>
              <w:spacing w:after="0"/>
              <w:rPr>
                <w:sz w:val="20"/>
                <w:szCs w:val="20"/>
                <w:color w:val="auto"/>
              </w:rPr>
            </w:pPr>
            <w:r>
              <w:rPr>
                <w:rFonts w:ascii="Arial" w:cs="Arial" w:eastAsia="Arial" w:hAnsi="Arial"/>
                <w:sz w:val="18"/>
                <w:szCs w:val="18"/>
                <w:color w:val="auto"/>
              </w:rPr>
              <w:t>- 4 -</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60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color w:val="auto"/>
                <w:w w:val="99"/>
              </w:rPr>
              <w:t>Three months ended September 30</w:t>
            </w:r>
          </w:p>
        </w:tc>
        <w:tc>
          <w:tcPr>
            <w:tcW w:w="2060" w:type="dxa"/>
            <w:vAlign w:val="bottom"/>
            <w:gridSpan w:val="5"/>
          </w:tcPr>
          <w:p>
            <w:pPr>
              <w:spacing w:after="0"/>
              <w:rPr>
                <w:sz w:val="20"/>
                <w:szCs w:val="20"/>
                <w:color w:val="auto"/>
              </w:rPr>
            </w:pPr>
            <w:r>
              <w:rPr>
                <w:rFonts w:ascii="Arial" w:cs="Arial" w:eastAsia="Arial" w:hAnsi="Arial"/>
                <w:sz w:val="14"/>
                <w:szCs w:val="14"/>
                <w:color w:val="auto"/>
                <w:w w:val="95"/>
              </w:rPr>
              <w:t>Nine months ended September 30</w:t>
            </w: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vMerge w:val="continue"/>
          </w:tcPr>
          <w:p>
            <w:pPr>
              <w:spacing w:after="0"/>
              <w:rPr>
                <w:sz w:val="15"/>
                <w:szCs w:val="15"/>
                <w:color w:val="auto"/>
              </w:rPr>
            </w:pPr>
          </w:p>
        </w:tc>
        <w:tc>
          <w:tcPr>
            <w:tcW w:w="6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5"/>
                <w:szCs w:val="15"/>
                <w:color w:val="auto"/>
              </w:rPr>
            </w:pPr>
          </w:p>
        </w:tc>
        <w:tc>
          <w:tcPr>
            <w:tcW w:w="88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2"/>
              <w:spacing w:after="0" w:line="154"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5"/>
                <w:szCs w:val="15"/>
                <w:color w:val="auto"/>
              </w:rPr>
            </w:pPr>
          </w:p>
        </w:tc>
        <w:tc>
          <w:tcPr>
            <w:tcW w:w="860" w:type="dxa"/>
            <w:vAlign w:val="bottom"/>
          </w:tcPr>
          <w:p>
            <w:pPr>
              <w:jc w:val="right"/>
              <w:ind w:right="192"/>
              <w:spacing w:after="0" w:line="154"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294,479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293,462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917,058</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733,305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on investment securities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111,931</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w w:val="96"/>
              </w:rPr>
              <w:t>Reclassification to income for amortization of gains on terminated cash flow hedges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Defined benefit plans liability adjustment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5,091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15,273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Total other comprehensive income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42,202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126,366</w:t>
            </w:r>
          </w:p>
        </w:tc>
        <w:tc>
          <w:tcPr>
            <w:tcW w:w="0" w:type="dxa"/>
            <w:vAlign w:val="bottom"/>
          </w:tcPr>
          <w:p>
            <w:pPr>
              <w:spacing w:after="0"/>
              <w:rPr>
                <w:sz w:val="1"/>
                <w:szCs w:val="1"/>
                <w:color w:val="auto"/>
              </w:rPr>
            </w:pPr>
          </w:p>
        </w:tc>
      </w:tr>
      <w:tr>
        <w:trPr>
          <w:trHeight w:val="223"/>
        </w:trPr>
        <w:tc>
          <w:tcPr>
            <w:tcW w:w="6780" w:type="dxa"/>
            <w:vAlign w:val="bottom"/>
            <w:gridSpan w:val="2"/>
          </w:tcPr>
          <w:p>
            <w:pPr>
              <w:ind w:left="720"/>
              <w:spacing w:after="0"/>
              <w:rPr>
                <w:sz w:val="20"/>
                <w:szCs w:val="20"/>
                <w:color w:val="auto"/>
              </w:rPr>
            </w:pPr>
            <w:r>
              <w:rPr>
                <w:rFonts w:ascii="Arial" w:cs="Arial" w:eastAsia="Arial" w:hAnsi="Arial"/>
                <w:sz w:val="18"/>
                <w:szCs w:val="18"/>
                <w:i w:val="1"/>
                <w:iCs w:val="1"/>
                <w:color w:val="auto"/>
              </w:rPr>
              <w:t>Total comprehensive income</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324,188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341,236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959,260</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5560"/>
              <w:spacing w:after="0"/>
              <w:rPr>
                <w:sz w:val="20"/>
                <w:szCs w:val="20"/>
                <w:color w:val="auto"/>
              </w:rPr>
            </w:pPr>
            <w:r>
              <w:rPr>
                <w:rFonts w:ascii="Arial" w:cs="Arial" w:eastAsia="Arial" w:hAnsi="Arial"/>
                <w:sz w:val="18"/>
                <w:szCs w:val="18"/>
                <w:color w:val="auto"/>
              </w:rPr>
              <w:t>- 5 -</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080" w:type="dxa"/>
            <w:vAlign w:val="bottom"/>
          </w:tcPr>
          <w:p>
            <w:pPr>
              <w:spacing w:after="0"/>
              <w:rPr>
                <w:sz w:val="14"/>
                <w:szCs w:val="14"/>
                <w:color w:val="auto"/>
              </w:rPr>
            </w:pPr>
          </w:p>
        </w:tc>
        <w:tc>
          <w:tcPr>
            <w:tcW w:w="2220" w:type="dxa"/>
            <w:vAlign w:val="bottom"/>
            <w:gridSpan w:val="5"/>
          </w:tcPr>
          <w:p>
            <w:pPr>
              <w:jc w:val="right"/>
              <w:ind w:right="200"/>
              <w:spacing w:after="0"/>
              <w:rPr>
                <w:sz w:val="20"/>
                <w:szCs w:val="20"/>
                <w:color w:val="auto"/>
              </w:rPr>
            </w:pPr>
            <w:r>
              <w:rPr>
                <w:rFonts w:ascii="Arial" w:cs="Arial" w:eastAsia="Arial" w:hAnsi="Arial"/>
                <w:sz w:val="14"/>
                <w:szCs w:val="14"/>
                <w:color w:val="auto"/>
                <w:w w:val="93"/>
              </w:rPr>
              <w:t>Nine months ended September 30</w:t>
            </w:r>
          </w:p>
        </w:tc>
        <w:tc>
          <w:tcPr>
            <w:tcW w:w="0" w:type="dxa"/>
            <w:vAlign w:val="bottom"/>
          </w:tcPr>
          <w:p>
            <w:pPr>
              <w:spacing w:after="0"/>
              <w:rPr>
                <w:sz w:val="1"/>
                <w:szCs w:val="1"/>
                <w:color w:val="auto"/>
              </w:rPr>
            </w:pPr>
          </w:p>
        </w:tc>
      </w:tr>
      <w:tr>
        <w:trPr>
          <w:trHeight w:val="154"/>
        </w:trPr>
        <w:tc>
          <w:tcPr>
            <w:tcW w:w="2120" w:type="dxa"/>
            <w:vAlign w:val="bottom"/>
            <w:gridSpan w:val="3"/>
            <w:vMerge w:val="continue"/>
          </w:tcPr>
          <w:p>
            <w:pPr>
              <w:spacing w:after="0"/>
              <w:rPr>
                <w:sz w:val="13"/>
                <w:szCs w:val="13"/>
                <w:color w:val="auto"/>
              </w:rPr>
            </w:pPr>
          </w:p>
        </w:tc>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0"/>
              <w:spacing w:after="0" w:line="154"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3"/>
                <w:szCs w:val="13"/>
                <w:color w:val="auto"/>
              </w:rPr>
            </w:pPr>
          </w:p>
        </w:tc>
        <w:tc>
          <w:tcPr>
            <w:tcW w:w="90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w:t>
            </w:r>
          </w:p>
        </w:tc>
        <w:tc>
          <w:tcPr>
            <w:tcW w:w="7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917,058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Depreciation and amortization of premises and equipment</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66,547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Amortization of capitalized servicing rights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46,966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36,473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Asset write-downs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16,204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gain on sales of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(124,375)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Net change in accrued interest receivable, payable</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change in other accrued income and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Net change in loans originated for sale</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(808,778)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(528,606)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change in trading account assets and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80" w:type="dxa"/>
            <w:vAlign w:val="bottom"/>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503,677</w:t>
            </w: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7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600"/>
              <w:spacing w:after="0"/>
              <w:rPr>
                <w:sz w:val="20"/>
                <w:szCs w:val="20"/>
                <w:color w:val="auto"/>
              </w:rPr>
            </w:pPr>
            <w:r>
              <w:rPr>
                <w:rFonts w:ascii="Arial" w:cs="Arial" w:eastAsia="Arial" w:hAnsi="Arial"/>
                <w:sz w:val="18"/>
                <w:szCs w:val="18"/>
                <w:color w:val="auto"/>
              </w:rPr>
              <w:t>Available for sale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1,081,747</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12,994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Available for sale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887,092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600"/>
              <w:spacing w:after="0"/>
              <w:rPr>
                <w:sz w:val="20"/>
                <w:szCs w:val="20"/>
                <w:color w:val="auto"/>
              </w:rPr>
            </w:pPr>
            <w:r>
              <w:rPr>
                <w:rFonts w:ascii="Arial" w:cs="Arial" w:eastAsia="Arial" w:hAnsi="Arial"/>
                <w:sz w:val="18"/>
                <w:szCs w:val="18"/>
                <w:color w:val="auto"/>
              </w:rPr>
              <w:t>Held to maturity</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216,627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600"/>
              <w:spacing w:after="0"/>
              <w:rPr>
                <w:sz w:val="20"/>
                <w:szCs w:val="20"/>
                <w:color w:val="auto"/>
              </w:rPr>
            </w:pPr>
            <w:r>
              <w:rPr>
                <w:rFonts w:ascii="Arial" w:cs="Arial" w:eastAsia="Arial" w:hAnsi="Arial"/>
                <w:sz w:val="18"/>
                <w:szCs w:val="18"/>
                <w:color w:val="auto"/>
              </w:rPr>
              <w:t>Available for sale</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(41,358)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Held to maturity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(1,586,425)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6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(8,825)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(increase) decrease in loans and leases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905,491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Net increase in interest-bearing deposits at banks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(1,795,866)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investments,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(16,947)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Capital expenditures, net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(85,964)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(179,629)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(562,134)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(2,726,422)</w:t>
            </w:r>
          </w:p>
        </w:tc>
        <w:tc>
          <w:tcPr>
            <w:tcW w:w="0" w:type="dxa"/>
            <w:vAlign w:val="bottom"/>
          </w:tcPr>
          <w:p>
            <w:pPr>
              <w:spacing w:after="0"/>
              <w:rPr>
                <w:sz w:val="1"/>
                <w:szCs w:val="1"/>
                <w:color w:val="auto"/>
              </w:rPr>
            </w:pPr>
          </w:p>
        </w:tc>
      </w:tr>
      <w:tr>
        <w:trPr>
          <w:trHeight w:val="209"/>
        </w:trPr>
        <w:tc>
          <w:tcPr>
            <w:tcW w:w="2120" w:type="dxa"/>
            <w:vAlign w:val="bottom"/>
            <w:gridSpan w:val="3"/>
          </w:tcPr>
          <w:p>
            <w:pPr>
              <w:spacing w:after="0"/>
              <w:rPr>
                <w:sz w:val="20"/>
                <w:szCs w:val="20"/>
                <w:color w:val="auto"/>
              </w:rPr>
            </w:pPr>
            <w:r>
              <w:rPr>
                <w:rFonts w:ascii="Arial" w:cs="Arial" w:eastAsia="Arial" w:hAnsi="Arial"/>
                <w:sz w:val="18"/>
                <w:szCs w:val="18"/>
                <w:color w:val="auto"/>
              </w:rPr>
              <w:t>Cash flows from</w:t>
            </w:r>
          </w:p>
        </w:tc>
        <w:tc>
          <w:tcPr>
            <w:tcW w:w="7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7080" w:type="dxa"/>
            <w:vAlign w:val="bottom"/>
          </w:tcPr>
          <w:p>
            <w:pPr>
              <w:ind w:left="240"/>
              <w:spacing w:after="0"/>
              <w:rPr>
                <w:sz w:val="20"/>
                <w:szCs w:val="20"/>
                <w:color w:val="auto"/>
              </w:rPr>
            </w:pPr>
            <w:r>
              <w:rPr>
                <w:rFonts w:ascii="Arial" w:cs="Arial" w:eastAsia="Arial" w:hAnsi="Arial"/>
                <w:sz w:val="18"/>
                <w:szCs w:val="18"/>
                <w:color w:val="auto"/>
              </w:rPr>
              <w:t>Net increase in deposits</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604,311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decrease in short-term borrowings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(828,463)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Proceeds from long-term borrowings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799,760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on long-term borrowings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(258,937)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Dividends paid - common</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(273,518)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 - preferred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(31,494)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119,936</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131,595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73,138</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1,986,615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2,059,753</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Supplemental</w:t>
            </w:r>
          </w:p>
        </w:tc>
        <w:tc>
          <w:tcPr>
            <w:tcW w:w="7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disclosure of cash</w:t>
            </w:r>
          </w:p>
        </w:tc>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 information</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received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2,184,128</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226,335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331,117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272,502</w:t>
            </w:r>
          </w:p>
        </w:tc>
        <w:tc>
          <w:tcPr>
            <w:tcW w:w="0" w:type="dxa"/>
            <w:vAlign w:val="bottom"/>
          </w:tcPr>
          <w:p>
            <w:pPr>
              <w:spacing w:after="0"/>
              <w:rPr>
                <w:sz w:val="1"/>
                <w:szCs w:val="1"/>
                <w:color w:val="auto"/>
              </w:rPr>
            </w:pPr>
          </w:p>
        </w:tc>
      </w:tr>
      <w:tr>
        <w:trPr>
          <w:trHeight w:val="20"/>
        </w:trPr>
        <w:tc>
          <w:tcPr>
            <w:tcW w:w="2120" w:type="dxa"/>
            <w:vAlign w:val="bottom"/>
            <w:gridSpan w:val="3"/>
            <w:vMerge w:val="restart"/>
          </w:tcPr>
          <w:p>
            <w:pPr>
              <w:spacing w:after="0"/>
              <w:rPr>
                <w:sz w:val="20"/>
                <w:szCs w:val="20"/>
                <w:color w:val="auto"/>
              </w:rPr>
            </w:pPr>
            <w:r>
              <w:rPr>
                <w:rFonts w:ascii="Arial" w:cs="Arial" w:eastAsia="Arial" w:hAnsi="Arial"/>
                <w:sz w:val="18"/>
                <w:szCs w:val="18"/>
                <w:color w:val="auto"/>
              </w:rPr>
              <w:t>Supplemental schedule of</w:t>
            </w:r>
          </w:p>
        </w:tc>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gridSpan w:val="3"/>
            <w:vMerge w:val="continue"/>
          </w:tcPr>
          <w:p>
            <w:pPr>
              <w:spacing w:after="0"/>
              <w:rPr>
                <w:sz w:val="17"/>
                <w:szCs w:val="17"/>
                <w:color w:val="auto"/>
              </w:rPr>
            </w:pPr>
          </w:p>
        </w:tc>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noncash investing and</w:t>
            </w:r>
          </w:p>
        </w:tc>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7080" w:type="dxa"/>
            <w:vAlign w:val="bottom"/>
          </w:tcPr>
          <w:p>
            <w:pPr>
              <w:ind w:left="240"/>
              <w:spacing w:after="0"/>
              <w:rPr>
                <w:sz w:val="20"/>
                <w:szCs w:val="20"/>
                <w:color w:val="auto"/>
              </w:rPr>
            </w:pPr>
            <w:r>
              <w:rPr>
                <w:rFonts w:ascii="Arial" w:cs="Arial" w:eastAsia="Arial" w:hAnsi="Arial"/>
                <w:sz w:val="18"/>
                <w:szCs w:val="18"/>
                <w:color w:val="auto"/>
              </w:rPr>
              <w:t>Securitization of residential mortgage loans allocated to</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Available for sale 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1,807,180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80" w:type="dxa"/>
            <w:vAlign w:val="bottom"/>
          </w:tcPr>
          <w:p>
            <w:pPr>
              <w:ind w:left="600"/>
              <w:spacing w:after="0"/>
              <w:rPr>
                <w:sz w:val="20"/>
                <w:szCs w:val="20"/>
                <w:color w:val="auto"/>
              </w:rPr>
            </w:pPr>
            <w:r>
              <w:rPr>
                <w:rFonts w:ascii="Arial" w:cs="Arial" w:eastAsia="Arial" w:hAnsi="Arial"/>
                <w:sz w:val="18"/>
                <w:szCs w:val="18"/>
                <w:color w:val="auto"/>
              </w:rPr>
              <w:t>Held to maturity investment securities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917,045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Capitalized servicing rights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29,264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Real estate acquired in settlement of loans</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35,865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36,881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80" w:type="dxa"/>
            <w:vAlign w:val="bottom"/>
          </w:tcPr>
          <w:p>
            <w:pPr>
              <w:ind w:left="3440"/>
              <w:spacing w:after="0"/>
              <w:rPr>
                <w:sz w:val="20"/>
                <w:szCs w:val="20"/>
                <w:color w:val="auto"/>
              </w:rPr>
            </w:pPr>
            <w:r>
              <w:rPr>
                <w:rFonts w:ascii="Arial" w:cs="Arial" w:eastAsia="Arial" w:hAnsi="Arial"/>
                <w:sz w:val="18"/>
                <w:szCs w:val="18"/>
                <w:color w:val="auto"/>
              </w:rPr>
              <w:t>- 6 -</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995"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Preferred</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60" w:type="dxa"/>
            <w:vAlign w:val="bottom"/>
            <w:gridSpan w:val="3"/>
            <w:vMerge w:val="continue"/>
          </w:tcPr>
          <w:p>
            <w:pPr>
              <w:spacing w:after="0"/>
              <w:rPr>
                <w:sz w:val="15"/>
                <w:szCs w:val="15"/>
                <w:color w:val="auto"/>
              </w:rPr>
            </w:pPr>
          </w:p>
        </w:tc>
        <w:tc>
          <w:tcPr>
            <w:tcW w:w="88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89"/>
              </w:rPr>
              <w:t>issuable</w:t>
            </w:r>
          </w:p>
        </w:tc>
        <w:tc>
          <w:tcPr>
            <w:tcW w:w="10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4"/>
              </w:rPr>
              <w:t>(loss), net</w:t>
            </w:r>
          </w:p>
        </w:tc>
        <w:tc>
          <w:tcPr>
            <w:tcW w:w="9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2012</w:t>
            </w:r>
          </w:p>
        </w:tc>
        <w:tc>
          <w:tcPr>
            <w:tcW w:w="3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Balance - January 1, 2012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$864,585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62,842</w:t>
            </w:r>
          </w:p>
        </w:tc>
        <w:tc>
          <w:tcPr>
            <w:tcW w:w="540" w:type="dxa"/>
            <w:vAlign w:val="bottom"/>
          </w:tcPr>
          <w:p>
            <w:pPr>
              <w:jc w:val="right"/>
              <w:spacing w:after="0"/>
              <w:rPr>
                <w:sz w:val="20"/>
                <w:szCs w:val="20"/>
                <w:color w:val="auto"/>
              </w:rPr>
            </w:pPr>
            <w:r>
              <w:rPr>
                <w:rFonts w:ascii="Arial" w:cs="Arial" w:eastAsia="Arial" w:hAnsi="Arial"/>
                <w:sz w:val="18"/>
                <w:szCs w:val="18"/>
                <w:color w:val="auto"/>
              </w:rPr>
              <w:t>4,072</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2,828,986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5,867,165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(356,441)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733,305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(40,088)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5,831</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expense, net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37,655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Exercises of stock options, net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71,939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purchase plan</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Directors’ stock plan</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equivalents</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$2.10 per share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(267,646)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(267,646)</w:t>
            </w: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color w:val="auto"/>
              </w:rPr>
              <w:t>Balance - September 30,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870,416</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63,702</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2,951,248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6,286,785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(230,075)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3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Balance - January 1, 2013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$872,500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64,088</w:t>
            </w:r>
          </w:p>
        </w:tc>
        <w:tc>
          <w:tcPr>
            <w:tcW w:w="540" w:type="dxa"/>
            <w:vAlign w:val="bottom"/>
          </w:tcPr>
          <w:p>
            <w:pPr>
              <w:jc w:val="right"/>
              <w:spacing w:after="0"/>
              <w:rPr>
                <w:sz w:val="20"/>
                <w:szCs w:val="20"/>
                <w:color w:val="auto"/>
              </w:rPr>
            </w:pPr>
            <w:r>
              <w:rPr>
                <w:rFonts w:ascii="Arial" w:cs="Arial" w:eastAsia="Arial" w:hAnsi="Arial"/>
                <w:sz w:val="18"/>
                <w:szCs w:val="18"/>
                <w:color w:val="auto"/>
              </w:rPr>
              <w:t>3,473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3,025,520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6,477,276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(240,264)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917,058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(40,088)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w w:val="91"/>
              </w:rPr>
              <w:t>Exercise of 407,542 Series C stock warrants into 186,589 shares of</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common stock</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Exercise of 57,327 Series A stock warrants into 21,130 shares of</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expense, net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Exercises of stock options, net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133,981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Directors’ stock plan</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520"/>
              <w:spacing w:after="0"/>
              <w:rPr>
                <w:sz w:val="20"/>
                <w:szCs w:val="20"/>
                <w:color w:val="auto"/>
              </w:rPr>
            </w:pPr>
            <w:r>
              <w:rPr>
                <w:rFonts w:ascii="Arial" w:cs="Arial" w:eastAsia="Arial" w:hAnsi="Arial"/>
                <w:sz w:val="18"/>
                <w:szCs w:val="18"/>
                <w:color w:val="auto"/>
              </w:rPr>
              <w:t>equivalents</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Common stock cash dividends - $2.10 per share</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(273,351)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879,010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65,097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3,192,981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7,074,287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(198,062)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11,016,202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gridSpan w:val="3"/>
          </w:tcPr>
          <w:p>
            <w:pPr>
              <w:ind w:left="600"/>
              <w:spacing w:after="0"/>
              <w:rPr>
                <w:sz w:val="20"/>
                <w:szCs w:val="20"/>
                <w:color w:val="auto"/>
              </w:rPr>
            </w:pPr>
            <w:r>
              <w:rPr>
                <w:rFonts w:ascii="Arial" w:cs="Arial" w:eastAsia="Arial" w:hAnsi="Arial"/>
                <w:sz w:val="18"/>
                <w:szCs w:val="18"/>
                <w:color w:val="auto"/>
              </w:rPr>
              <w:t>- 7 -</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2012 Annual Report. In the opinion of management, all adjustments necessary for a fair presentation have been made and were all of a normal recurring nature.</w:t>
      </w:r>
    </w:p>
    <w:p>
      <w:pPr>
        <w:spacing w:after="0" w:line="2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September 30, 2013, total consideration to be paid was valued at approximately $4.8 billion. At September 30, 2013, Hudson City had $39.2 billion of assets, including $24.7 billion of loans and $10.0 billion of investment securities, and $34.5 billion of liabilities, including $22.1 billion of deposits. The merger has received the approval of the common shareholders of M&amp;T and Hudson City. However, the merger is subject to a number of other conditions, including regulatory approvals.</w:t>
      </w:r>
    </w:p>
    <w:p>
      <w:pPr>
        <w:spacing w:after="0" w:line="1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On April 12, 2013, M&amp;T announced that additional time would be required to obtain a regulatory determination on the applications for the proposed merger with Hudson City. M&amp;T learned that the Federal Reserve Bank of New York (“Federal Reserve Bank”) identified certain concerns with the Company’s procedures, systems and processes related to the Company’s Bank Secrecy Act and anti-money-laundering compliance program. On June 17, 2013, M&amp;T and Manufacturers and Traders Trust Company (“M&amp;T Bank”), M&amp;T’s principal banking subsidiary, entered into a written agreement with the Federal Reserve Bank. Under the terms of the agreement, M&amp;T and M&amp;T Bank are required to submit to the Federal Reserve Bank a revised compliance risk management program designed to ensure compliance with anti-money-laundering laws and regulations and to take certain other steps to enhance their compliance practices. M&amp;T has commenced a major initiative, including the hiring of outside consulting firms, intended to fully address the Federal Reserve Bank’s concerns. In view of the potential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from August 27, 2013 to January 31, 2014. There can be no assurances that the merger will be completed by that date.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pending acquisition, the Company incurred merger-related expenses related to preparing for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w:t>
      </w:r>
    </w:p>
    <w:p>
      <w:pPr>
        <w:spacing w:after="0" w:line="18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 summary of merger-related expenses in 2013 associated with the pending Hudson City acquisition and in 2012 associated with the May 16, 2011 acquisition of Wilmington Trust Corporation (“Wilmington Trust”) included in the consolidated statement of income is presented below. There were no merger-related expenses during the three-month periods ended September 30, 2013 or 2012.</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tcPr>
          <w:p>
            <w:pPr>
              <w:ind w:left="4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September 30,</w:t>
            </w:r>
          </w:p>
        </w:tc>
        <w:tc>
          <w:tcPr>
            <w:tcW w:w="15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2013</w:t>
            </w:r>
          </w:p>
        </w:tc>
        <w:tc>
          <w:tcPr>
            <w:tcW w:w="15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3"/>
          </w:tcPr>
          <w:p>
            <w:pPr>
              <w:jc w:val="right"/>
              <w:ind w:right="69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0" w:type="dxa"/>
            <w:vAlign w:val="bottom"/>
            <w:vMerge w:val="restart"/>
          </w:tcPr>
          <w:p>
            <w:pPr>
              <w:jc w:val="right"/>
              <w:ind w:right="1630"/>
              <w:spacing w:after="0"/>
              <w:rPr>
                <w:sz w:val="20"/>
                <w:szCs w:val="20"/>
                <w:color w:val="auto"/>
              </w:rPr>
            </w:pPr>
            <w:r>
              <w:rPr>
                <w:rFonts w:ascii="Arial" w:cs="Arial" w:eastAsia="Arial" w:hAnsi="Arial"/>
                <w:sz w:val="18"/>
                <w:szCs w:val="18"/>
                <w:color w:val="auto"/>
              </w:rPr>
              <w:t>- 9 -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37,432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17,614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4,214,895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116,758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4,330,399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42,686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17,724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137,661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102,032</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22,221</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4,555,109</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160,328</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4,692,180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170,370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2,914,687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39,987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224,767</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56,891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9,290</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3,319,114</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44,266</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85,994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3,277,386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298,479</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298,479</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8,172,702</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204,594</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109,251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8,268,045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38,422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20,375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534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3,163,210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208,060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3,371,041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1,142,287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7,272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125,673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43,228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19,663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136,603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98,945</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14,921</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4,643,070</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253,619</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157,252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4,739,437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182,103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7,647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597,340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31,727</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242,378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10,455</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1,032,276</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39,534</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302,648</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302,648</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5,977,994</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293,153</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252,179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6,018,968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60" w:type="dxa"/>
            <w:vAlign w:val="bottom"/>
            <w:vMerge w:val="restart"/>
          </w:tcPr>
          <w:p>
            <w:pPr>
              <w:jc w:val="right"/>
              <w:ind w:right="75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Gross realized gains on investment securities were $116 million for the nine-month period ended September 30, 2013. During the second quarter of 2013, the Company sold its holdings of Visa Class B shares for a gain of approximately $90 million and its holdings of MasterCard Class B shares for a gain of $13 million. Gross realized losses on investment securities were $60 million for the nine-month period ended September 30, 2013. During the second quarter of 2013, the Company sold substantially all of its privately issued mortgage-backed securities held in the available-for-sale investment securities portfolio. In total, $1.0 billion of such securities were sold for a net loss of approximately $46 million. Gross realized gains and losses from sales of investment securities were not significant for the three-month period ended September 30, 2013 and for the three-month and nine-month periods ended September 30, 2012.</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recognized $10 million of pre-tax other-than-temporary impairment (“OTTI”) losses during the nine months ended September 30, 2013 and $6 million and $33 million during the three months and nine months ended September 30, 2012, respectively, related to privately issued mortgage-backed securities. There were no other-than-temporary impairment losses during the third quarter of 2013. The impairment charges were recognized in light of deterioration of real estate values and a rise in delinquencies and charge-offs of underlying mortgage loans collateralizing those securities. The OTTI losses represented management’s estimate of credit losses inherent in the debt securities considering projected cash flows using assumptions for delinquency rates, loss severities, and other estimates for future collateral performance.</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Changes in credit losses associated with debt securities for which OTTI losses have been recognized in earnings for the three months and nine months ended September 30, 2013 and 2012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90"/>
              </w:rPr>
              <w:t>September 30</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34"/>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Additions for credit losses not previously recognized</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(67,926)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Ending balance</w:t>
            </w:r>
          </w:p>
        </w:tc>
        <w:tc>
          <w:tcPr>
            <w:tcW w:w="25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90"/>
              </w:rPr>
              <w:t>September 30</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8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197,809</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Additions for credit losses not previously recognized</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9,800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(207,441)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(116,787)</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Ending balance</w:t>
            </w:r>
          </w:p>
        </w:tc>
        <w:tc>
          <w:tcPr>
            <w:tcW w:w="26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580" w:type="dxa"/>
            <w:vAlign w:val="bottom"/>
            <w:vMerge w:val="restart"/>
          </w:tcPr>
          <w:p>
            <w:pPr>
              <w:jc w:val="right"/>
              <w:ind w:right="1950"/>
              <w:spacing w:after="0"/>
              <w:rPr>
                <w:sz w:val="20"/>
                <w:szCs w:val="20"/>
                <w:color w:val="auto"/>
              </w:rPr>
            </w:pPr>
            <w:r>
              <w:rPr>
                <w:rFonts w:ascii="Arial" w:cs="Arial" w:eastAsia="Arial" w:hAnsi="Arial"/>
                <w:sz w:val="18"/>
                <w:szCs w:val="18"/>
                <w:color w:val="auto"/>
              </w:rPr>
              <w:t>- 11 -</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September 30, 2013, the amortized cost and estimated fair value of debt securities by contractual maturity were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w w:val="95"/>
              </w:rPr>
              <w:t>Amortized</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3"/>
          </w:tcPr>
          <w:p>
            <w:pPr>
              <w:jc w:val="right"/>
              <w:ind w:right="536"/>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235,393</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4,217,684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4,453,077</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4,568,772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179,660</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3,139,454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3,319,114</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3,277,386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investment securities that as of September 30, 2013 and December 31, 2012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740"/>
              <w:spacing w:after="0"/>
              <w:rPr>
                <w:sz w:val="20"/>
                <w:szCs w:val="20"/>
                <w:color w:val="auto"/>
              </w:rPr>
            </w:pPr>
            <w:r>
              <w:rPr>
                <w:rFonts w:ascii="Arial" w:cs="Arial" w:eastAsia="Arial" w:hAnsi="Arial"/>
                <w:sz w:val="14"/>
                <w:szCs w:val="14"/>
                <w:color w:val="auto"/>
              </w:rPr>
              <w:t>Less than 12 months</w:t>
            </w:r>
          </w:p>
        </w:tc>
        <w:tc>
          <w:tcPr>
            <w:tcW w:w="192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4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Fair value</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rPr>
              <w:t>losses</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Fair value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ind w:left="4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6,346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559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Government issued or guaranteed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174,503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(1,126)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5,731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Privately issued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5,995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102,898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2,777</w:t>
            </w:r>
          </w:p>
        </w:tc>
        <w:tc>
          <w:tcPr>
            <w:tcW w:w="4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115,290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14,751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1,259,353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(29,015)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167,876</w:t>
            </w:r>
          </w:p>
        </w:tc>
        <w:tc>
          <w:tcPr>
            <w:tcW w:w="4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(56,891)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1,274,104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(29,085)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169,434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1,459,883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(31,090)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284,724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(78,161)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00" w:type="dxa"/>
            <w:vAlign w:val="bottom"/>
            <w:vMerge w:val="restart"/>
          </w:tcPr>
          <w:p>
            <w:pPr>
              <w:jc w:val="right"/>
              <w:ind w:right="79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64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securities, continued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ind w:right="740"/>
              <w:spacing w:after="0"/>
              <w:rPr>
                <w:sz w:val="20"/>
                <w:szCs w:val="20"/>
                <w:color w:val="auto"/>
              </w:rPr>
            </w:pPr>
            <w:r>
              <w:rPr>
                <w:rFonts w:ascii="Arial" w:cs="Arial" w:eastAsia="Arial" w:hAnsi="Arial"/>
                <w:sz w:val="14"/>
                <w:szCs w:val="14"/>
                <w:color w:val="auto"/>
              </w:rPr>
              <w:t>Less than 12 months</w:t>
            </w:r>
          </w:p>
        </w:tc>
        <w:tc>
          <w:tcPr>
            <w:tcW w:w="1980" w:type="dxa"/>
            <w:vAlign w:val="bottom"/>
            <w:gridSpan w:val="4"/>
          </w:tcPr>
          <w:p>
            <w:pPr>
              <w:jc w:val="right"/>
              <w:ind w:right="4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9"/>
              </w:rPr>
              <w:t>Unrealized</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color w:val="auto"/>
                <w:w w:val="94"/>
              </w:rPr>
              <w:t>Fair value</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losses</w:t>
            </w: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Fair value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121,487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(692)</w:t>
            </w:r>
          </w:p>
        </w:tc>
        <w:tc>
          <w:tcPr>
            <w:tcW w:w="780" w:type="dxa"/>
            <w:vAlign w:val="bottom"/>
          </w:tcPr>
          <w:p>
            <w:pPr>
              <w:jc w:val="right"/>
              <w:spacing w:after="0"/>
              <w:rPr>
                <w:sz w:val="20"/>
                <w:szCs w:val="20"/>
                <w:color w:val="auto"/>
              </w:rPr>
            </w:pPr>
            <w:r>
              <w:rPr>
                <w:rFonts w:ascii="Arial" w:cs="Arial" w:eastAsia="Arial" w:hAnsi="Arial"/>
                <w:sz w:val="18"/>
                <w:szCs w:val="18"/>
                <w:color w:val="auto"/>
              </w:rPr>
              <w:t>774,328</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(124,981)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95,685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139,295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888,499</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(155,199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3,558</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(94,900)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1,026</w:t>
            </w:r>
          </w:p>
        </w:tc>
        <w:tc>
          <w:tcPr>
            <w:tcW w:w="400" w:type="dxa"/>
            <w:vAlign w:val="bottom"/>
            <w:vMerge w:val="continue"/>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150,831</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140,321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1,039,330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(250,121)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owned 299 individual investment securities with aggregate gross unrealized losses of $109 million at September 30, 2013. Approximately $57 million of the unrealized losses pertained to privately issued mortgage-backed securities with a cost basis of $225 million. The Company also had $21 million of unrealized losses on trust preferred securities issued by financial institutions and securities backed by trust preferred securities having a cost basis of $132 million. Based on a review of each of the remaining securities in the investment securities portfolio at September 30, 2013, the Company concluded that it expected to recover the amortized cost basis of its investment. As of September 30, 2013, the Company does not intend to sell nor is it anticipated that it would be required to sell any of its impaired investment securities. At September 30, 2013, the Company has not identified events or changes in circumstances which may have a significant adverse effect on the fair value of the $298 million of cost method investment securities.</w:t>
      </w:r>
    </w:p>
    <w:p>
      <w:pPr>
        <w:spacing w:after="0" w:line="3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is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20" w:type="dxa"/>
            <w:vAlign w:val="bottom"/>
            <w:gridSpan w:val="2"/>
          </w:tcPr>
          <w:p>
            <w:pPr>
              <w:jc w:val="right"/>
              <w:ind w:right="208"/>
              <w:spacing w:after="0"/>
              <w:rPr>
                <w:sz w:val="20"/>
                <w:szCs w:val="20"/>
                <w:color w:val="auto"/>
              </w:rPr>
            </w:pPr>
            <w:r>
              <w:rPr>
                <w:rFonts w:ascii="Arial" w:cs="Arial" w:eastAsia="Arial" w:hAnsi="Arial"/>
                <w:sz w:val="14"/>
                <w:szCs w:val="14"/>
                <w:color w:val="auto"/>
              </w:rPr>
              <w:t>2013</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8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5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$ 5,274,466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Carrying amount:</w:t>
            </w:r>
          </w:p>
        </w:tc>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730,743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1,875,842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2,567,050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1,357,847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1,637,887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$ 4,563,252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980" w:type="dxa"/>
            <w:vAlign w:val="bottom"/>
            <w:vMerge w:val="restart"/>
          </w:tcPr>
          <w:p>
            <w:pPr>
              <w:jc w:val="right"/>
              <w:ind w:right="1894"/>
              <w:spacing w:after="0"/>
              <w:rPr>
                <w:sz w:val="20"/>
                <w:szCs w:val="20"/>
                <w:color w:val="auto"/>
              </w:rPr>
            </w:pPr>
            <w:r>
              <w:rPr>
                <w:rFonts w:ascii="Arial" w:cs="Arial" w:eastAsia="Arial" w:hAnsi="Arial"/>
                <w:sz w:val="18"/>
                <w:szCs w:val="18"/>
                <w:color w:val="auto"/>
              </w:rPr>
              <w:t>- 13 -</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Purchased impaired loans included in the table above totaled $357 million at September 30, 2013 and $447 million at December 31, 2012, representing less than 1% of the Company’s assets as of each date. A summary of changes in the accretable yield for acquired loans for the three months and nine months ended September 30, 2013 and 2012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color w:val="auto"/>
                <w:w w:val="90"/>
              </w:rPr>
              <w:t>Three months ended 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2012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328"/>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4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gridSpan w:val="2"/>
          </w:tcPr>
          <w:p>
            <w:pPr>
              <w:jc w:val="center"/>
              <w:ind w:right="328"/>
              <w:spacing w:after="0"/>
              <w:rPr>
                <w:sz w:val="20"/>
                <w:szCs w:val="20"/>
                <w:color w:val="auto"/>
              </w:rPr>
            </w:pPr>
            <w:r>
              <w:rPr>
                <w:rFonts w:ascii="Arial" w:cs="Arial" w:eastAsia="Arial" w:hAnsi="Arial"/>
                <w:sz w:val="14"/>
                <w:szCs w:val="14"/>
                <w:color w:val="auto"/>
                <w:w w:val="96"/>
              </w:rPr>
              <w:t>impaired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acquired</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impaired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92"/>
              </w:rPr>
              <w:t>(in thousands)</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$ 55,149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622,093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$ 55,599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3"/>
          </w:tcPr>
          <w:p>
            <w:pPr>
              <w:jc w:val="right"/>
              <w:ind w:right="268"/>
              <w:spacing w:after="0"/>
              <w:rPr>
                <w:sz w:val="20"/>
                <w:szCs w:val="20"/>
                <w:color w:val="auto"/>
              </w:rPr>
            </w:pPr>
            <w:r>
              <w:rPr>
                <w:rFonts w:ascii="Arial" w:cs="Arial" w:eastAsia="Arial" w:hAnsi="Arial"/>
                <w:sz w:val="18"/>
                <w:szCs w:val="18"/>
                <w:color w:val="auto"/>
              </w:rPr>
              <w:t>(10,428)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(60,786)</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(12,436)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172</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w:t>
            </w:r>
          </w:p>
        </w:tc>
        <w:tc>
          <w:tcPr>
            <w:tcW w:w="144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4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$ 44,893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567,561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$ 43,705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color w:val="auto"/>
                <w:w w:val="91"/>
              </w:rPr>
              <w:t>Nine months ended September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2012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328"/>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4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89"/>
              </w:rPr>
              <w:t>Purchased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gridSpan w:val="2"/>
          </w:tcPr>
          <w:p>
            <w:pPr>
              <w:jc w:val="center"/>
              <w:ind w:right="328"/>
              <w:spacing w:after="0"/>
              <w:rPr>
                <w:sz w:val="20"/>
                <w:szCs w:val="20"/>
                <w:color w:val="auto"/>
              </w:rPr>
            </w:pPr>
            <w:r>
              <w:rPr>
                <w:rFonts w:ascii="Arial" w:cs="Arial" w:eastAsia="Arial" w:hAnsi="Arial"/>
                <w:sz w:val="14"/>
                <w:szCs w:val="14"/>
                <w:color w:val="auto"/>
                <w:w w:val="96"/>
              </w:rPr>
              <w:t>impaired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acquired</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impaired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4"/>
                <w:szCs w:val="14"/>
                <w:color w:val="auto"/>
                <w:w w:val="92"/>
              </w:rPr>
              <w:t>(in thousands)</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2520" w:type="dxa"/>
            <w:vAlign w:val="bottom"/>
            <w:gridSpan w:val="3"/>
          </w:tcPr>
          <w:p>
            <w:pPr>
              <w:spacing w:after="0"/>
              <w:rPr>
                <w:sz w:val="6"/>
                <w:szCs w:val="6"/>
                <w:color w:val="auto"/>
              </w:rPr>
            </w:pPr>
          </w:p>
        </w:tc>
        <w:tc>
          <w:tcPr>
            <w:tcW w:w="1100" w:type="dxa"/>
            <w:vAlign w:val="bottom"/>
            <w:gridSpan w:val="2"/>
          </w:tcPr>
          <w:p>
            <w:pPr>
              <w:spacing w:after="0"/>
              <w:rPr>
                <w:sz w:val="6"/>
                <w:szCs w:val="6"/>
                <w:color w:val="auto"/>
              </w:rPr>
            </w:pPr>
          </w:p>
        </w:tc>
        <w:tc>
          <w:tcPr>
            <w:tcW w:w="1080" w:type="dxa"/>
            <w:vAlign w:val="bottom"/>
            <w:gridSpan w:val="2"/>
          </w:tcPr>
          <w:p>
            <w:pPr>
              <w:spacing w:after="0"/>
              <w:rPr>
                <w:sz w:val="6"/>
                <w:szCs w:val="6"/>
                <w:color w:val="auto"/>
              </w:rPr>
            </w:pPr>
          </w:p>
        </w:tc>
        <w:tc>
          <w:tcPr>
            <w:tcW w:w="8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$ 42,252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638,272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$ 30,805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3"/>
          </w:tcPr>
          <w:p>
            <w:pPr>
              <w:jc w:val="right"/>
              <w:ind w:right="268"/>
              <w:spacing w:after="0"/>
              <w:rPr>
                <w:sz w:val="20"/>
                <w:szCs w:val="20"/>
                <w:color w:val="auto"/>
              </w:rPr>
            </w:pPr>
            <w:r>
              <w:rPr>
                <w:rFonts w:ascii="Arial" w:cs="Arial" w:eastAsia="Arial" w:hAnsi="Arial"/>
                <w:sz w:val="18"/>
                <w:szCs w:val="18"/>
                <w:color w:val="auto"/>
              </w:rPr>
              <w:t>(28,879)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(190,072)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(29,721)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25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31,520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122,519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w:t>
            </w:r>
          </w:p>
        </w:tc>
        <w:tc>
          <w:tcPr>
            <w:tcW w:w="144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(3,158)</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$ 44,893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567,561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$ 43,705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September 30, 2013 and December 31, 2012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90 Days or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89"/>
              </w:rPr>
              <w:t>more past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30-89</w:t>
            </w:r>
          </w:p>
        </w:tc>
        <w:tc>
          <w:tcPr>
            <w:tcW w:w="2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due and accruing</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Purchased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Days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Non-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Acquired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impaired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acquired</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(a)</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rPr>
              <w:t>(b)</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$17,678,290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91,757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2,582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11,147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16,257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111,116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17,911,149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21,447,385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179,972</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12,859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50,853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101,049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198,397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21,990,515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921,728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138,651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3,029,504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16,903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1,888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5,090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68,539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36,326</w:t>
            </w:r>
          </w:p>
        </w:tc>
        <w:tc>
          <w:tcPr>
            <w:tcW w:w="900" w:type="dxa"/>
            <w:vAlign w:val="bottom"/>
          </w:tcPr>
          <w:p>
            <w:pPr>
              <w:jc w:val="right"/>
              <w:spacing w:after="0"/>
              <w:rPr>
                <w:sz w:val="20"/>
                <w:szCs w:val="20"/>
                <w:color w:val="auto"/>
              </w:rPr>
            </w:pPr>
            <w:r>
              <w:rPr>
                <w:rFonts w:ascii="Arial" w:cs="Arial" w:eastAsia="Arial" w:hAnsi="Arial"/>
                <w:sz w:val="18"/>
                <w:szCs w:val="18"/>
                <w:color w:val="auto"/>
              </w:rPr>
              <w:t>3,158,250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7,884,094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301,564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317,660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44,489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30,201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297,840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18,263</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80,905</w:t>
            </w:r>
          </w:p>
        </w:tc>
        <w:tc>
          <w:tcPr>
            <w:tcW w:w="900" w:type="dxa"/>
            <w:vAlign w:val="bottom"/>
          </w:tcPr>
          <w:p>
            <w:pPr>
              <w:jc w:val="right"/>
              <w:spacing w:after="0"/>
              <w:rPr>
                <w:sz w:val="20"/>
                <w:szCs w:val="20"/>
                <w:color w:val="auto"/>
              </w:rPr>
            </w:pPr>
            <w:r>
              <w:rPr>
                <w:rFonts w:ascii="Arial" w:cs="Arial" w:eastAsia="Arial" w:hAnsi="Arial"/>
                <w:sz w:val="18"/>
                <w:szCs w:val="18"/>
                <w:color w:val="auto"/>
              </w:rPr>
              <w:t>397,008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6,027,315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32,428</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29,472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77,537</w:t>
            </w:r>
          </w:p>
        </w:tc>
        <w:tc>
          <w:tcPr>
            <w:tcW w:w="900" w:type="dxa"/>
            <w:vAlign w:val="bottom"/>
          </w:tcPr>
          <w:p>
            <w:pPr>
              <w:jc w:val="right"/>
              <w:spacing w:after="0"/>
              <w:rPr>
                <w:sz w:val="20"/>
                <w:szCs w:val="20"/>
                <w:color w:val="auto"/>
              </w:rPr>
            </w:pPr>
            <w:r>
              <w:rPr>
                <w:rFonts w:ascii="Arial" w:cs="Arial" w:eastAsia="Arial" w:hAnsi="Arial"/>
                <w:sz w:val="18"/>
                <w:szCs w:val="18"/>
                <w:color w:val="auto"/>
              </w:rPr>
              <w:t>6,169,392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1,144,216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39,221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2,736,469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34,886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4,751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23,420</w:t>
            </w:r>
          </w:p>
        </w:tc>
        <w:tc>
          <w:tcPr>
            <w:tcW w:w="900" w:type="dxa"/>
            <w:vAlign w:val="bottom"/>
          </w:tcPr>
          <w:p>
            <w:pPr>
              <w:jc w:val="right"/>
              <w:spacing w:after="0"/>
              <w:rPr>
                <w:sz w:val="20"/>
                <w:szCs w:val="20"/>
                <w:color w:val="auto"/>
              </w:rPr>
            </w:pPr>
            <w:r>
              <w:rPr>
                <w:rFonts w:ascii="Arial" w:cs="Arial" w:eastAsia="Arial" w:hAnsi="Arial"/>
                <w:sz w:val="18"/>
                <w:szCs w:val="18"/>
                <w:color w:val="auto"/>
              </w:rPr>
              <w:t>2,799,526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61,166,841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725,616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339,792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153,585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357,337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915,871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63,659,042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- 14 -</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90 Days or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tcPr>
          <w:p>
            <w:pPr>
              <w:jc w:val="center"/>
              <w:ind w:right="180"/>
              <w:spacing w:after="0" w:line="149" w:lineRule="exact"/>
              <w:rPr>
                <w:sz w:val="20"/>
                <w:szCs w:val="20"/>
                <w:color w:val="auto"/>
              </w:rPr>
            </w:pPr>
            <w:r>
              <w:rPr>
                <w:rFonts w:ascii="Arial" w:cs="Arial" w:eastAsia="Arial" w:hAnsi="Arial"/>
                <w:sz w:val="14"/>
                <w:szCs w:val="14"/>
                <w:color w:val="auto"/>
                <w:w w:val="89"/>
              </w:rPr>
              <w:t>more past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4"/>
              </w:rPr>
              <w:t>30-89</w:t>
            </w:r>
          </w:p>
        </w:tc>
        <w:tc>
          <w:tcPr>
            <w:tcW w:w="2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due and accruing</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Purchased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Days</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Acquired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impaired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past due</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acquired</w:t>
            </w:r>
          </w:p>
        </w:tc>
        <w:tc>
          <w:tcPr>
            <w:tcW w:w="12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(a)</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rPr>
              <w:t>(b)</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Nonaccrual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$17,511,052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62,479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23,490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10,587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17,437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151,908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$17,776,953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21,759,997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118,249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13,111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54,995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132,962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193,859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22,273,173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757,311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35,419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3,258</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23,909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187,764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2,379,953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35,274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9,572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36,812</w:t>
            </w:r>
          </w:p>
        </w:tc>
        <w:tc>
          <w:tcPr>
            <w:tcW w:w="900" w:type="dxa"/>
            <w:vAlign w:val="bottom"/>
          </w:tcPr>
          <w:p>
            <w:pPr>
              <w:jc w:val="right"/>
              <w:spacing w:after="0"/>
              <w:rPr>
                <w:sz w:val="20"/>
                <w:szCs w:val="20"/>
                <w:color w:val="auto"/>
              </w:rPr>
            </w:pPr>
            <w:r>
              <w:rPr>
                <w:rFonts w:ascii="Arial" w:cs="Arial" w:eastAsia="Arial" w:hAnsi="Arial"/>
                <w:sz w:val="18"/>
                <w:szCs w:val="18"/>
                <w:color w:val="auto"/>
              </w:rPr>
              <w:t>2,531,091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9,811,956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337,969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313,184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45,124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36,769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249,314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10,794,316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331,021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19,692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95,808</w:t>
            </w:r>
          </w:p>
        </w:tc>
        <w:tc>
          <w:tcPr>
            <w:tcW w:w="900" w:type="dxa"/>
            <w:vAlign w:val="bottom"/>
          </w:tcPr>
          <w:p>
            <w:pPr>
              <w:jc w:val="right"/>
              <w:spacing w:after="0"/>
              <w:rPr>
                <w:sz w:val="20"/>
                <w:szCs w:val="20"/>
                <w:color w:val="auto"/>
              </w:rPr>
            </w:pPr>
            <w:r>
              <w:rPr>
                <w:rFonts w:ascii="Arial" w:cs="Arial" w:eastAsia="Arial" w:hAnsi="Arial"/>
                <w:sz w:val="18"/>
                <w:szCs w:val="18"/>
                <w:color w:val="auto"/>
              </w:rPr>
              <w:t>446,521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6,199,591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40,759</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20,318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3,211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58,071</w:t>
            </w:r>
          </w:p>
        </w:tc>
        <w:tc>
          <w:tcPr>
            <w:tcW w:w="900" w:type="dxa"/>
            <w:vAlign w:val="bottom"/>
          </w:tcPr>
          <w:p>
            <w:pPr>
              <w:jc w:val="right"/>
              <w:spacing w:after="0"/>
              <w:rPr>
                <w:sz w:val="20"/>
                <w:szCs w:val="20"/>
                <w:color w:val="auto"/>
              </w:rPr>
            </w:pPr>
            <w:r>
              <w:rPr>
                <w:rFonts w:ascii="Arial" w:cs="Arial" w:eastAsia="Arial" w:hAnsi="Arial"/>
                <w:sz w:val="18"/>
                <w:szCs w:val="18"/>
                <w:color w:val="auto"/>
              </w:rPr>
              <w:t>6,321,950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2,442,502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40,461</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2,661,432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40,599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4,845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1,798</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20,432</w:t>
            </w:r>
          </w:p>
        </w:tc>
        <w:tc>
          <w:tcPr>
            <w:tcW w:w="900" w:type="dxa"/>
            <w:vAlign w:val="bottom"/>
          </w:tcPr>
          <w:p>
            <w:pPr>
              <w:jc w:val="right"/>
              <w:spacing w:after="0"/>
              <w:rPr>
                <w:sz w:val="20"/>
                <w:szCs w:val="20"/>
                <w:color w:val="auto"/>
              </w:rPr>
            </w:pPr>
            <w:r>
              <w:rPr>
                <w:rFonts w:ascii="Arial" w:cs="Arial" w:eastAsia="Arial" w:hAnsi="Arial"/>
                <w:sz w:val="18"/>
                <w:szCs w:val="18"/>
                <w:color w:val="auto"/>
              </w:rPr>
              <w:t>2,729,106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63,854,815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730,901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358,397</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166,554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447,114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1,013,176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66,570,957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58"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One-to-four family residential mortgage loans held for sale were $667 million and $1.2 billion at September 30, 2013 and December 31, 2012, respectively. Commercial mortgage loans held for sale were $152 million at September 30, 2013 and $200 million at December 31, 2012.</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September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$ 268,867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174,291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$927,065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260" w:type="dxa"/>
            <w:vAlign w:val="bottom"/>
            <w:gridSpan w:val="3"/>
          </w:tcPr>
          <w:p>
            <w:pPr>
              <w:jc w:val="right"/>
              <w:ind w:right="300"/>
              <w:spacing w:after="0"/>
              <w:rPr>
                <w:sz w:val="20"/>
                <w:szCs w:val="20"/>
                <w:color w:val="auto"/>
              </w:rPr>
            </w:pPr>
            <w:r>
              <w:rPr>
                <w:rFonts w:ascii="Arial" w:cs="Arial" w:eastAsia="Arial" w:hAnsi="Arial"/>
                <w:sz w:val="18"/>
                <w:szCs w:val="18"/>
                <w:color w:val="auto"/>
              </w:rPr>
              <w:t>20,209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12,139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14,935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402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securitized and sold</w:t>
            </w:r>
          </w:p>
        </w:tc>
        <w:tc>
          <w:tcPr>
            <w:tcW w:w="1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charge-offs</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Charge-offs</w:t>
            </w:r>
          </w:p>
        </w:tc>
        <w:tc>
          <w:tcPr>
            <w:tcW w:w="2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(30,931)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(20,242)</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Recoveries</w:t>
            </w: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2,399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4,199</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(25,781)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(16,043)</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$ 263,295</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333,453</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162,183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74,734</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916,370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60" w:type="dxa"/>
            <w:vAlign w:val="bottom"/>
            <w:gridSpan w:val="2"/>
          </w:tcPr>
          <w:p>
            <w:pPr>
              <w:jc w:val="right"/>
              <w:ind w:right="438"/>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allowance for credit losses for the three months ended September 30, 2012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$ 244,728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341,521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93,269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164,352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$917,028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9,891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8,247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26,962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461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(8,874)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(7,982)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(8,687)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(24,553)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4,557</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(7,548)</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(19,996)</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$ 237,467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93,968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171,318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1"/>
              </w:rPr>
              <w:t>Unallocated</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ind w:left="38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$ 246,759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337,101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179,418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93,736</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3,913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43,478</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959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Allowance related to loans securitized and sold</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Charge-offs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(86,787)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(21,493)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(18,583)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(62,905)</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tcPr>
          <w:p>
            <w:pPr>
              <w:jc w:val="right"/>
              <w:spacing w:after="0"/>
              <w:rPr>
                <w:sz w:val="20"/>
                <w:szCs w:val="20"/>
                <w:color w:val="auto"/>
              </w:rPr>
            </w:pPr>
            <w:r>
              <w:rPr>
                <w:rFonts w:ascii="Arial" w:cs="Arial" w:eastAsia="Arial" w:hAnsi="Arial"/>
                <w:sz w:val="18"/>
                <w:szCs w:val="18"/>
                <w:color w:val="auto"/>
              </w:rPr>
              <w:t>9,587</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16,931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8,568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13,192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(49,713)</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(141,490)</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$ 263,295</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333,453</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82,705</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162,183</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74,734</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$ 916,370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93"/>
              </w:rPr>
              <w:t>Leasing, etc.</w:t>
            </w:r>
          </w:p>
        </w:tc>
        <w:tc>
          <w:tcPr>
            <w:tcW w:w="10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93"/>
              </w:rPr>
              <w:t>Commercial</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0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92"/>
              </w:rPr>
              <w:t>Consumer</w:t>
            </w: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Unallocated</w:t>
            </w:r>
          </w:p>
        </w:tc>
        <w:tc>
          <w:tcPr>
            <w:tcW w:w="86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$ 234,022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367,637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143,121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71,595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29,663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4,322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30,064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88,927</w:t>
            </w:r>
          </w:p>
        </w:tc>
        <w:tc>
          <w:tcPr>
            <w:tcW w:w="720" w:type="dxa"/>
            <w:vAlign w:val="bottom"/>
          </w:tcPr>
          <w:p>
            <w:pPr>
              <w:jc w:val="right"/>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(32,989)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(31,578)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(32,812)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(77,155)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16,425</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32,467</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(26,218)</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(28,011)</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(60,730)</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$ 237,467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171,318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$ 921,223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60"/>
        <w:spacing w:after="0" w:line="449"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- 16 -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or more.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September 30, 2013 and December 31, 2012 and for the three months and nine months ended September 30, 2013 and September 30,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1"/>
              </w:rPr>
              <w:t>September 30, 2013</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2"/>
              </w:rPr>
              <w:t>December 31, 2012</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1"/>
              <w:spacing w:after="0" w:line="149" w:lineRule="exact"/>
              <w:rPr>
                <w:sz w:val="20"/>
                <w:szCs w:val="20"/>
                <w:color w:val="auto"/>
              </w:rPr>
            </w:pPr>
            <w:r>
              <w:rPr>
                <w:rFonts w:ascii="Arial" w:cs="Arial" w:eastAsia="Arial" w:hAnsi="Arial"/>
                <w:sz w:val="14"/>
                <w:szCs w:val="14"/>
                <w:color w:val="auto"/>
                <w:w w:val="98"/>
              </w:rPr>
              <w:t>Recorded</w:t>
            </w: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Related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principal</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w w:val="94"/>
              </w:rPr>
              <w:t>investment</w:t>
            </w: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allowance</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ind w:left="54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93,568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114,572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25,530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127,282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149,534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127,921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152,885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24,104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121,542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143,846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102,395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115,306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216,218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74,116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77,180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73,544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76,869</w:t>
            </w:r>
          </w:p>
        </w:tc>
        <w:tc>
          <w:tcPr>
            <w:tcW w:w="8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100,287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118,572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103,451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121,819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115,695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128,446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128,891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141,940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14,372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3,408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12,360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13,567</w:t>
            </w:r>
          </w:p>
        </w:tc>
        <w:tc>
          <w:tcPr>
            <w:tcW w:w="86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42,106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14,408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14,408</w:t>
            </w:r>
          </w:p>
        </w:tc>
        <w:tc>
          <w:tcPr>
            <w:tcW w:w="86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644,955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766,585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101,286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745,994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927,411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30,551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32,631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42,199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99,461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78,380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100,337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56,015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84,852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74,307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105,438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24,051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23,018</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23,532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83,041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93,898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86,342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96,448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52,565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58,768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289,642</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385,378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426,722</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118,513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145,123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25,530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159,913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191,733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205,205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252,346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24,104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199,922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244,183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187,247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189,613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321,656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94,076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101,231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96,562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100,401</w:t>
            </w:r>
          </w:p>
        </w:tc>
        <w:tc>
          <w:tcPr>
            <w:tcW w:w="8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183,328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212,470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189,793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218,267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144,092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181,011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160,245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200,708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14,372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3,408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12,360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13,567</w:t>
            </w:r>
          </w:p>
        </w:tc>
        <w:tc>
          <w:tcPr>
            <w:tcW w:w="86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42,106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16,057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4,169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14,408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14,408</w:t>
            </w:r>
          </w:p>
        </w:tc>
        <w:tc>
          <w:tcPr>
            <w:tcW w:w="86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934,597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101,286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1,072,026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1,354,133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- 18 -</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Three months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color w:val="auto"/>
                <w:w w:val="91"/>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1"/>
              </w:rPr>
              <w:t>September 30, 2013</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September 30, 2012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ind w:right="34"/>
              <w:spacing w:after="0"/>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color w:val="auto"/>
                <w:w w:val="93"/>
              </w:rPr>
              <w:t>recognized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color w:val="auto"/>
                <w:w w:val="93"/>
              </w:rPr>
              <w:t>recognized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4"/>
              </w:rPr>
              <w:t>recorded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Cash</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recorded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color w:val="auto"/>
                <w:w w:val="94"/>
              </w:rPr>
              <w:t>investment</w:t>
            </w:r>
          </w:p>
        </w:tc>
        <w:tc>
          <w:tcPr>
            <w:tcW w:w="20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w w:val="96"/>
              </w:rPr>
              <w:t>Total</w:t>
            </w: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basis</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w w:val="96"/>
              </w:rPr>
              <w:t>Total</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basis</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141,166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130,855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237,847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84,604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180,995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1,391</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131,114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167,780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42,957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51,138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981,278</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1,017,603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color w:val="auto"/>
                <w:w w:val="92"/>
              </w:rPr>
              <w:t>Nine months ended</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color w:val="auto"/>
                <w:w w:val="92"/>
              </w:rPr>
              <w:t>Nine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color w:val="auto"/>
                <w:w w:val="91"/>
              </w:rPr>
              <w:t>September 30, 2013</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1"/>
              </w:rPr>
              <w:t>September 30, 2012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ind w:right="34"/>
              <w:spacing w:after="0"/>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color w:val="auto"/>
                <w:w w:val="93"/>
              </w:rPr>
              <w:t>recognized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color w:val="auto"/>
                <w:w w:val="93"/>
              </w:rPr>
              <w:t>recognized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4"/>
              </w:rPr>
              <w:t>recorded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Cash</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recorded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color w:val="auto"/>
                <w:w w:val="94"/>
              </w:rPr>
              <w:t>investment</w:t>
            </w:r>
          </w:p>
        </w:tc>
        <w:tc>
          <w:tcPr>
            <w:tcW w:w="20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w w:val="96"/>
              </w:rPr>
              <w:t>Total</w:t>
            </w: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basis</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investment</w:t>
            </w:r>
          </w:p>
        </w:tc>
        <w:tc>
          <w:tcPr>
            <w:tcW w:w="180" w:type="dxa"/>
            <w:vAlign w:val="bottom"/>
          </w:tcPr>
          <w:p>
            <w:pPr>
              <w:spacing w:after="0"/>
              <w:rPr>
                <w:sz w:val="14"/>
                <w:szCs w:val="1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4"/>
                <w:szCs w:val="14"/>
                <w:color w:val="auto"/>
                <w:w w:val="96"/>
              </w:rPr>
              <w:t>Total</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basis</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6,358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155,627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200,354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179,524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159,308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260,858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3,322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100,242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5,019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184,719</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4,795</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3,188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128,646</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3,926</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5,173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174,390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45,075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2,226</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52,249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2,632</w:t>
            </w:r>
          </w:p>
        </w:tc>
        <w:tc>
          <w:tcPr>
            <w:tcW w:w="2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10,097</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1,031,664</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1,072,657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- 19 -</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$17,022,772</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20,978,696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1,005,932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3,066,941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777,261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813,422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77,474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111,116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198,397</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113,096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17,911,149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21,990,515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1,196,502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3,158,250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$16,889,753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21,275,182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922,141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2,307,436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735,292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804,132</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85,520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151,908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36,812</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17,776,953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22,273,173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1,189,526</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2,531,091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Financial,</w:t>
            </w:r>
          </w:p>
        </w:tc>
        <w:tc>
          <w:tcPr>
            <w:tcW w:w="1980" w:type="dxa"/>
            <w:vAlign w:val="bottom"/>
            <w:gridSpan w:val="5"/>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2"/>
              </w:rPr>
              <w:t>Consumer</w:t>
            </w:r>
          </w:p>
        </w:tc>
        <w:tc>
          <w:tcPr>
            <w:tcW w:w="16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25,530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34,139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21,517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19,637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234,912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298,579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59,645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141,202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2,853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735</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1,543</w:t>
            </w:r>
          </w:p>
        </w:tc>
        <w:tc>
          <w:tcPr>
            <w:tcW w:w="64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263,295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333,453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82,705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162,183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74,734</w:t>
            </w: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33,669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55,291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20,502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212,930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280,789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66,684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156,661</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246,759</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88,807</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179,418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73,775</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80" w:type="dxa"/>
            <w:vAlign w:val="bottom"/>
            <w:vMerge w:val="restart"/>
          </w:tcPr>
          <w:p>
            <w:pPr>
              <w:jc w:val="right"/>
              <w:ind w:right="630"/>
              <w:spacing w:after="0"/>
              <w:rPr>
                <w:sz w:val="20"/>
                <w:szCs w:val="20"/>
                <w:color w:val="auto"/>
              </w:rPr>
            </w:pPr>
            <w:r>
              <w:rPr>
                <w:rFonts w:ascii="Arial" w:cs="Arial" w:eastAsia="Arial" w:hAnsi="Arial"/>
                <w:sz w:val="18"/>
                <w:szCs w:val="18"/>
                <w:color w:val="auto"/>
              </w:rPr>
              <w:t>- 21 -</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Commercial,</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Financial,</w:t>
            </w:r>
          </w:p>
        </w:tc>
        <w:tc>
          <w:tcPr>
            <w:tcW w:w="214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0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Commercial</w:t>
            </w: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118,513</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413,443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326,860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71,421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930,237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17,776,379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25,623,585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8,870,942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10,100,562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62,371,468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308,239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30,201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17,911,149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26,345,267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9,228,003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10,174,623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63,659,042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480,335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349,477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1,065,551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17,599,755</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25,123,758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10,854,591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11,480,188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65,058,292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389,697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36,769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447,114</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17,776,953</w:t>
            </w:r>
          </w:p>
        </w:tc>
        <w:tc>
          <w:tcPr>
            <w:tcW w:w="2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25,993,790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11,240,837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11,559,377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66,570,957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ind w:left="16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September 30, 2013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6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color w:val="auto"/>
                <w:w w:val="99"/>
              </w:rPr>
              <w:t>modification</w:t>
            </w:r>
          </w:p>
        </w:tc>
        <w:tc>
          <w:tcPr>
            <w:tcW w:w="36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color w:val="auto"/>
                <w:w w:val="99"/>
              </w:rPr>
              <w:t>modification</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2,266</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294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748</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(830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72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2"/>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September 30, 2012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Post-</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672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4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7,823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5,951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6,238</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287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17,383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16,275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(1,108)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5,429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4,702</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55,191</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(1,600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60"/>
              <w:spacing w:after="0" w:line="123" w:lineRule="exact"/>
              <w:rPr>
                <w:sz w:val="20"/>
                <w:szCs w:val="20"/>
                <w:color w:val="auto"/>
              </w:rPr>
            </w:pPr>
            <w:r>
              <w:rPr>
                <w:rFonts w:ascii="Arial" w:cs="Arial" w:eastAsia="Arial" w:hAnsi="Arial"/>
                <w:sz w:val="14"/>
                <w:szCs w:val="14"/>
                <w:color w:val="auto"/>
                <w:w w:val="95"/>
              </w:rPr>
              <w:t>Recorded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color w:val="auto"/>
              </w:rPr>
              <w:t>Nine months ended September 30, 2013</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Post-</w:t>
            </w: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580" w:type="dxa"/>
            <w:vAlign w:val="bottom"/>
            <w:gridSpan w:val="3"/>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modification</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color w:val="auto"/>
                <w:w w:val="97"/>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9,283</w:t>
            </w:r>
          </w:p>
        </w:tc>
        <w:tc>
          <w:tcPr>
            <w:tcW w:w="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9,070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233,447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229,746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6"/>
          </w:tcPr>
          <w:p>
            <w:pPr>
              <w:jc w:val="right"/>
              <w:ind w:right="2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color w:val="auto"/>
              </w:rPr>
              <w:t>Recorded investment</w:t>
            </w:r>
          </w:p>
        </w:tc>
        <w:tc>
          <w:tcPr>
            <w:tcW w:w="1620" w:type="dxa"/>
            <w:vAlign w:val="bottom"/>
            <w:gridSpan w:val="6"/>
          </w:tcPr>
          <w:p>
            <w:pPr>
              <w:ind w:left="38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2"/>
              </w:rPr>
              <w:t>Recorded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Nine months ended September 30, 2012</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Pre-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investment</w:t>
            </w:r>
          </w:p>
        </w:tc>
        <w:tc>
          <w:tcPr>
            <w:tcW w:w="12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67"/>
        </w:trPr>
        <w:tc>
          <w:tcPr>
            <w:tcW w:w="6940" w:type="dxa"/>
            <w:vAlign w:val="bottom"/>
            <w:gridSpan w:val="2"/>
            <w:vMerge w:val="continue"/>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Number</w:t>
            </w:r>
          </w:p>
        </w:tc>
        <w:tc>
          <w:tcPr>
            <w:tcW w:w="760" w:type="dxa"/>
            <w:vAlign w:val="bottom"/>
            <w:gridSpan w:val="3"/>
          </w:tcPr>
          <w:p>
            <w:pPr>
              <w:spacing w:after="0"/>
              <w:rPr>
                <w:sz w:val="20"/>
                <w:szCs w:val="20"/>
                <w:color w:val="auto"/>
              </w:rPr>
            </w:pPr>
            <w:r>
              <w:rPr>
                <w:rFonts w:ascii="Arial" w:cs="Arial" w:eastAsia="Arial" w:hAnsi="Arial"/>
                <w:sz w:val="14"/>
                <w:szCs w:val="14"/>
                <w:color w:val="auto"/>
                <w:w w:val="99"/>
              </w:rPr>
              <w:t>modification</w:t>
            </w:r>
          </w:p>
        </w:tc>
        <w:tc>
          <w:tcPr>
            <w:tcW w:w="2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modification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320" w:type="dxa"/>
            <w:vAlign w:val="bottom"/>
            <w:tcBorders>
              <w:top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color w:val="auto"/>
                <w:w w:val="94"/>
              </w:rPr>
              <w:t>(dollars in thousands)</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21,027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19,668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(1,359)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366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10,642</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24,812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5,212</w:t>
            </w:r>
          </w:p>
        </w:tc>
        <w:tc>
          <w:tcPr>
            <w:tcW w:w="3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66,317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65,600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3,447</w:t>
            </w:r>
          </w:p>
        </w:tc>
        <w:tc>
          <w:tcPr>
            <w:tcW w:w="3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10,658</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5,108</w:t>
            </w:r>
          </w:p>
        </w:tc>
        <w:tc>
          <w:tcPr>
            <w:tcW w:w="3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1,117</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rate reduction</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94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171,503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168,746</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(2,757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2013 and 2012 for which there was a subsequent payment default during the nine-month periods ended September 30, 2013 and 2012, were $20 million (largely commercial real estate loans) and $13 million (largely residential builder and developer loans), respectively.</w:t>
      </w:r>
    </w:p>
    <w:p>
      <w:pPr>
        <w:spacing w:after="0" w:line="33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had $1.2 billion of fixed and floating rate junior subordinated deferrable interest debentures (“Junior Subordinated Debentures”) outstanding at September 30, 2013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w:t>
      </w:r>
    </w:p>
    <w:p>
      <w:pPr>
        <w:spacing w:after="0" w:line="18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During the first quarter of 2013, M&amp;T Bank instituted a Bank Note Program whereby M&amp;T Bank may offer up to $5 billion of unsecured senior and subordinated notes. During March 2013, three-year floating rate senior notes due March 2016 were issued for $300 million and five-year 1.45% fixed rate senior notes due March 2018 were issued for $500 million.</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Also included in long-term borrowings are agreements to repurchase securities of $1.4 billion at each of September 30, 2013 and December 31, 2012. The agreements are subject to legally enforceable master netting arrangements, however the Company has not offset any amounts related to these agreements in its consolidated financial statements. The Company posted collateral of $1.6 billion at each of September 30, 2013 and December 31, 2012.</w:t>
      </w:r>
    </w:p>
    <w:p>
      <w:pPr>
        <w:spacing w:after="0" w:line="29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3"/>
                <w:szCs w:val="13"/>
                <w:color w:val="auto"/>
              </w:rPr>
            </w:pPr>
          </w:p>
        </w:tc>
        <w:tc>
          <w:tcPr>
            <w:tcW w:w="1320" w:type="dxa"/>
            <w:vAlign w:val="bottom"/>
          </w:tcPr>
          <w:p>
            <w:pPr>
              <w:jc w:val="right"/>
              <w:ind w:right="599"/>
              <w:spacing w:after="0"/>
              <w:rPr>
                <w:sz w:val="20"/>
                <w:szCs w:val="20"/>
                <w:color w:val="auto"/>
              </w:rPr>
            </w:pPr>
            <w:r>
              <w:rPr>
                <w:rFonts w:ascii="Arial" w:cs="Arial" w:eastAsia="Arial" w:hAnsi="Arial"/>
                <w:sz w:val="14"/>
                <w:szCs w:val="14"/>
                <w:color w:val="auto"/>
              </w:rPr>
              <w:t>Carrying</w:t>
            </w:r>
          </w:p>
        </w:tc>
        <w:tc>
          <w:tcPr>
            <w:tcW w:w="6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w w:val="98"/>
              </w:rPr>
              <w:t>Carrying</w:t>
            </w:r>
          </w:p>
        </w:tc>
      </w:tr>
      <w:tr>
        <w:trPr>
          <w:trHeight w:val="149"/>
        </w:trPr>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8"/>
              </w:rPr>
              <w:t>issued and</w:t>
            </w:r>
          </w:p>
        </w:tc>
        <w:tc>
          <w:tcPr>
            <w:tcW w:w="200" w:type="dxa"/>
            <w:vAlign w:val="bottom"/>
          </w:tcPr>
          <w:p>
            <w:pPr>
              <w:spacing w:after="0"/>
              <w:rPr>
                <w:sz w:val="12"/>
                <w:szCs w:val="12"/>
                <w:color w:val="auto"/>
              </w:rPr>
            </w:pPr>
          </w:p>
        </w:tc>
        <w:tc>
          <w:tcPr>
            <w:tcW w:w="1320" w:type="dxa"/>
            <w:vAlign w:val="bottom"/>
          </w:tcPr>
          <w:p>
            <w:pPr>
              <w:jc w:val="right"/>
              <w:ind w:right="699"/>
              <w:spacing w:after="0" w:line="149" w:lineRule="exact"/>
              <w:rPr>
                <w:sz w:val="20"/>
                <w:szCs w:val="20"/>
                <w:color w:val="auto"/>
              </w:rPr>
            </w:pPr>
            <w:r>
              <w:rPr>
                <w:rFonts w:ascii="Arial" w:cs="Arial" w:eastAsia="Arial" w:hAnsi="Arial"/>
                <w:sz w:val="14"/>
                <w:szCs w:val="14"/>
                <w:color w:val="auto"/>
              </w:rPr>
              <w:t>value</w:t>
            </w:r>
          </w:p>
        </w:tc>
        <w:tc>
          <w:tcPr>
            <w:tcW w:w="64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value</w:t>
            </w:r>
          </w:p>
        </w:tc>
      </w:tr>
      <w:tr>
        <w:trPr>
          <w:trHeight w:val="167"/>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outstanding</w:t>
            </w:r>
          </w:p>
        </w:tc>
        <w:tc>
          <w:tcPr>
            <w:tcW w:w="1520" w:type="dxa"/>
            <w:vAlign w:val="bottom"/>
            <w:gridSpan w:val="2"/>
          </w:tcPr>
          <w:p>
            <w:pPr>
              <w:jc w:val="right"/>
              <w:ind w:right="279"/>
              <w:spacing w:after="0"/>
              <w:rPr>
                <w:sz w:val="20"/>
                <w:szCs w:val="20"/>
                <w:color w:val="auto"/>
              </w:rPr>
            </w:pPr>
            <w:r>
              <w:rPr>
                <w:rFonts w:ascii="Arial" w:cs="Arial" w:eastAsia="Arial" w:hAnsi="Arial"/>
                <w:sz w:val="14"/>
                <w:szCs w:val="14"/>
                <w:color w:val="auto"/>
                <w:w w:val="89"/>
              </w:rPr>
              <w:t>September 30, 2013</w:t>
            </w:r>
          </w:p>
        </w:tc>
        <w:tc>
          <w:tcPr>
            <w:tcW w:w="1580" w:type="dxa"/>
            <w:vAlign w:val="bottom"/>
            <w:gridSpan w:val="3"/>
          </w:tcPr>
          <w:p>
            <w:pPr>
              <w:jc w:val="right"/>
              <w:ind w:right="100"/>
              <w:spacing w:after="0"/>
              <w:rPr>
                <w:sz w:val="20"/>
                <w:szCs w:val="20"/>
                <w:color w:val="auto"/>
              </w:rPr>
            </w:pPr>
            <w:r>
              <w:rPr>
                <w:rFonts w:ascii="Arial" w:cs="Arial" w:eastAsia="Arial" w:hAnsi="Arial"/>
                <w:sz w:val="14"/>
                <w:szCs w:val="14"/>
                <w:color w:val="auto"/>
              </w:rPr>
              <w:t>December 31, 2012</w:t>
            </w:r>
          </w:p>
        </w:tc>
      </w:tr>
      <w:tr>
        <w:trPr>
          <w:trHeight w:val="142"/>
        </w:trPr>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3"/>
              </w:rPr>
              <w:t>Fixed Rate Cumulative Perpetual Preferred Stock, Series A,</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7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79"/>
              <w:spacing w:after="0"/>
              <w:rPr>
                <w:sz w:val="20"/>
                <w:szCs w:val="20"/>
                <w:color w:val="auto"/>
              </w:rPr>
            </w:pPr>
            <w:r>
              <w:rPr>
                <w:rFonts w:ascii="Arial" w:cs="Arial" w:eastAsia="Arial" w:hAnsi="Arial"/>
                <w:sz w:val="18"/>
                <w:szCs w:val="18"/>
                <w:color w:val="auto"/>
              </w:rPr>
              <w:t>229,236</w:t>
            </w:r>
          </w:p>
        </w:tc>
        <w:tc>
          <w:tcPr>
            <w:tcW w:w="6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226,965</w:t>
            </w:r>
          </w:p>
        </w:tc>
      </w:tr>
      <w:tr>
        <w:trPr>
          <w:trHeight w:val="108"/>
        </w:trPr>
        <w:tc>
          <w:tcPr>
            <w:tcW w:w="4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Series C (a) (b)</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2"/>
              </w:rPr>
              <w:t>Fixed Rate Cumulative Perpetual Preferred Stock, Series C,</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151,500</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79"/>
              <w:spacing w:after="0"/>
              <w:rPr>
                <w:sz w:val="20"/>
                <w:szCs w:val="20"/>
                <w:color w:val="auto"/>
              </w:rPr>
            </w:pPr>
            <w:r>
              <w:rPr>
                <w:rFonts w:ascii="Arial" w:cs="Arial" w:eastAsia="Arial" w:hAnsi="Arial"/>
                <w:sz w:val="18"/>
                <w:szCs w:val="18"/>
                <w:color w:val="auto"/>
              </w:rPr>
              <w:t>149,774</w:t>
            </w:r>
          </w:p>
        </w:tc>
        <w:tc>
          <w:tcPr>
            <w:tcW w:w="6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145,535</w:t>
            </w:r>
          </w:p>
        </w:tc>
      </w:tr>
      <w:tr>
        <w:trPr>
          <w:trHeight w:val="108"/>
        </w:trPr>
        <w:tc>
          <w:tcPr>
            <w:tcW w:w="4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Series D (c)</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Fixed Rate Non-Cumulative Perpetual Preferred Stock,</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Series D, $10,000 liquidation preference per share</w:t>
            </w:r>
          </w:p>
        </w:tc>
        <w:tc>
          <w:tcPr>
            <w:tcW w:w="2020" w:type="dxa"/>
            <w:vAlign w:val="bottom"/>
            <w:gridSpan w:val="3"/>
          </w:tcPr>
          <w:p>
            <w:pPr>
              <w:jc w:val="right"/>
              <w:ind w:right="72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320" w:type="dxa"/>
            <w:vAlign w:val="bottom"/>
          </w:tcPr>
          <w:p>
            <w:pPr>
              <w:jc w:val="right"/>
              <w:ind w:right="279"/>
              <w:spacing w:after="0"/>
              <w:rPr>
                <w:sz w:val="20"/>
                <w:szCs w:val="20"/>
                <w:color w:val="auto"/>
              </w:rPr>
            </w:pPr>
            <w:r>
              <w:rPr>
                <w:rFonts w:ascii="Arial" w:cs="Arial" w:eastAsia="Arial" w:hAnsi="Arial"/>
                <w:sz w:val="18"/>
                <w:szCs w:val="18"/>
                <w:color w:val="auto"/>
              </w:rPr>
              <w:t>500,000</w:t>
            </w:r>
          </w:p>
        </w:tc>
        <w:tc>
          <w:tcPr>
            <w:tcW w:w="6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365"/>
        </w:trPr>
        <w:tc>
          <w:tcPr>
            <w:tcW w:w="446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- 28 -</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2" w:lineRule="exact"/>
        <w:rPr>
          <w:sz w:val="20"/>
          <w:szCs w:val="20"/>
          <w:color w:val="auto"/>
        </w:rPr>
      </w:pPr>
    </w:p>
    <w:p>
      <w:pPr>
        <w:ind w:left="460" w:right="20" w:hanging="452"/>
        <w:spacing w:after="0" w:line="283" w:lineRule="auto"/>
        <w:tabs>
          <w:tab w:leader="none" w:pos="46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originally issued as part of the Troubled Asset Relief Program – Capital Purchase Program (“TARP”) of the U.S. Department of Treasury (“U.S. Treasury”). Cash proceeds were allocated between the preferred stock and a ten-year warrant to purchase M&amp;T common stock (Series A – 1,218,522 common shares at $73.86 per share, Series C – 407,542 common shares at $55.76 per share). The U.S. Treasury sold all of the shares of M&amp;T preferred stock that it held in August 2012. In connection with that sale, the terms of the preferred stock were modified such that dividends, if declared, will accrue and be paid quarterly at a rate of 5% per year through November 14, 2013 and at 6.375% thereafter, and that M&amp;T will not redeem the preferred shares until on or after November 15, 2018. In December 2012, the U.S. Treasury sold to other investors the Series A warrants for $26.50 per warrant. In March 2013, the U.S. Treasury exercised the Series C warrants in a “cashless” exercise, resulting in the issuance of 186,589 common shares. During the third quarter of 2013, 57,327 of the Series A warrants were exercised in a “cashless” exercise, resulting in the issuance of 21,130 common shares. Remaining outstanding Series A warrants were 1,161,195 at September 30, 2013.</w:t>
      </w:r>
    </w:p>
    <w:p>
      <w:pPr>
        <w:spacing w:after="0" w:line="6" w:lineRule="exact"/>
        <w:rPr>
          <w:rFonts w:ascii="Arial" w:cs="Arial" w:eastAsia="Arial" w:hAnsi="Arial"/>
          <w:sz w:val="16"/>
          <w:szCs w:val="16"/>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 warrant expiring on May 16, 2021 providing for the purchase of 95,383 shares of M&amp;T common stock at $518.96 per share was outstanding at September 30, 2013 and December 31, 2012. The obligation under that warrant was assumed by M&amp;T in an acquisition.</w:t>
      </w:r>
    </w:p>
    <w:p>
      <w:pPr>
        <w:spacing w:after="0" w:line="3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center"/>
              <w:ind w:left="8"/>
              <w:spacing w:after="0"/>
              <w:rPr>
                <w:sz w:val="20"/>
                <w:szCs w:val="20"/>
                <w:color w:val="auto"/>
              </w:rPr>
            </w:pPr>
            <w:r>
              <w:rPr>
                <w:rFonts w:ascii="Arial" w:cs="Arial" w:eastAsia="Arial" w:hAnsi="Arial"/>
                <w:sz w:val="14"/>
                <w:szCs w:val="14"/>
                <w:color w:val="auto"/>
                <w:w w:val="91"/>
              </w:rPr>
              <w:t>Other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3"/>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benefits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benefits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5"/>
          </w:tcPr>
          <w:p>
            <w:pPr>
              <w:jc w:val="right"/>
              <w:ind w:right="128"/>
              <w:spacing w:after="0" w:line="123" w:lineRule="exact"/>
              <w:rPr>
                <w:sz w:val="20"/>
                <w:szCs w:val="20"/>
                <w:color w:val="auto"/>
              </w:rPr>
            </w:pPr>
            <w:r>
              <w:rPr>
                <w:rFonts w:ascii="Arial" w:cs="Arial" w:eastAsia="Arial" w:hAnsi="Arial"/>
                <w:sz w:val="14"/>
                <w:szCs w:val="14"/>
                <w:color w:val="auto"/>
                <w:w w:val="89"/>
              </w:rPr>
              <w:t>Three months ended September 30</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0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7,387</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186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8"/>
                <w:szCs w:val="18"/>
                <w:color w:val="auto"/>
              </w:rPr>
              <w:t>15,032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15,509</w:t>
            </w:r>
          </w:p>
        </w:tc>
        <w:tc>
          <w:tcPr>
            <w:tcW w:w="780" w:type="dxa"/>
            <w:vAlign w:val="bottom"/>
            <w:gridSpan w:val="2"/>
          </w:tcPr>
          <w:p>
            <w:pPr>
              <w:jc w:val="right"/>
              <w:ind w:right="328"/>
              <w:spacing w:after="0"/>
              <w:rPr>
                <w:sz w:val="20"/>
                <w:szCs w:val="20"/>
                <w:color w:val="auto"/>
              </w:rPr>
            </w:pPr>
            <w:r>
              <w:rPr>
                <w:rFonts w:ascii="Arial" w:cs="Arial" w:eastAsia="Arial" w:hAnsi="Arial"/>
                <w:sz w:val="18"/>
                <w:szCs w:val="18"/>
                <w:color w:val="auto"/>
              </w:rPr>
              <w:t>673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2"/>
              </w:rPr>
              <w:t>(21,838)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(17,627)</w:t>
            </w:r>
          </w:p>
        </w:tc>
        <w:tc>
          <w:tcPr>
            <w:tcW w:w="7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8"/>
                <w:szCs w:val="18"/>
                <w:color w:val="auto"/>
              </w:rPr>
              <w:t>(1,639)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(1,640)</w:t>
            </w:r>
          </w:p>
        </w:tc>
        <w:tc>
          <w:tcPr>
            <w:tcW w:w="780" w:type="dxa"/>
            <w:vAlign w:val="bottom"/>
            <w:gridSpan w:val="2"/>
          </w:tcPr>
          <w:p>
            <w:pPr>
              <w:jc w:val="right"/>
              <w:ind w:right="268"/>
              <w:spacing w:after="0"/>
              <w:rPr>
                <w:sz w:val="20"/>
                <w:szCs w:val="20"/>
                <w:color w:val="auto"/>
              </w:rPr>
            </w:pPr>
            <w:r>
              <w:rPr>
                <w:rFonts w:ascii="Arial" w:cs="Arial" w:eastAsia="Arial" w:hAnsi="Arial"/>
                <w:sz w:val="18"/>
                <w:szCs w:val="18"/>
                <w:color w:val="auto"/>
                <w:w w:val="99"/>
              </w:rPr>
              <w:t>(340)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9,291</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0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7,914</w:t>
            </w:r>
          </w:p>
        </w:tc>
        <w:tc>
          <w:tcPr>
            <w:tcW w:w="42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12,920</w:t>
            </w:r>
          </w:p>
        </w:tc>
        <w:tc>
          <w:tcPr>
            <w:tcW w:w="780" w:type="dxa"/>
            <w:vAlign w:val="bottom"/>
            <w:gridSpan w:val="2"/>
          </w:tcPr>
          <w:p>
            <w:pPr>
              <w:jc w:val="right"/>
              <w:ind w:right="328"/>
              <w:spacing w:after="0"/>
              <w:rPr>
                <w:sz w:val="20"/>
                <w:szCs w:val="20"/>
                <w:color w:val="auto"/>
              </w:rPr>
            </w:pPr>
            <w:r>
              <w:rPr>
                <w:rFonts w:ascii="Arial" w:cs="Arial" w:eastAsia="Arial" w:hAnsi="Arial"/>
                <w:sz w:val="18"/>
                <w:szCs w:val="18"/>
                <w:color w:val="auto"/>
              </w:rPr>
              <w:t>609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980" w:type="dxa"/>
            <w:vAlign w:val="bottom"/>
            <w:vMerge w:val="restart"/>
          </w:tcPr>
          <w:p>
            <w:pPr>
              <w:jc w:val="right"/>
              <w:ind w:right="1550"/>
              <w:spacing w:after="0"/>
              <w:rPr>
                <w:sz w:val="20"/>
                <w:szCs w:val="20"/>
                <w:color w:val="auto"/>
              </w:rPr>
            </w:pPr>
            <w:r>
              <w:rPr>
                <w:rFonts w:ascii="Arial" w:cs="Arial" w:eastAsia="Arial" w:hAnsi="Arial"/>
                <w:sz w:val="18"/>
                <w:szCs w:val="18"/>
                <w:color w:val="auto"/>
              </w:rPr>
              <w:t>- 29 -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1"/>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color w:val="auto"/>
                <w:w w:val="93"/>
              </w:rPr>
              <w:t>benefits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360" w:type="dxa"/>
            <w:vAlign w:val="bottom"/>
            <w:gridSpan w:val="5"/>
          </w:tcPr>
          <w:p>
            <w:pPr>
              <w:jc w:val="right"/>
              <w:ind w:right="228"/>
              <w:spacing w:after="0" w:line="123" w:lineRule="exact"/>
              <w:rPr>
                <w:sz w:val="20"/>
                <w:szCs w:val="20"/>
                <w:color w:val="auto"/>
              </w:rPr>
            </w:pPr>
            <w:r>
              <w:rPr>
                <w:rFonts w:ascii="Arial" w:cs="Arial" w:eastAsia="Arial" w:hAnsi="Arial"/>
                <w:sz w:val="14"/>
                <w:szCs w:val="14"/>
                <w:color w:val="auto"/>
                <w:w w:val="95"/>
              </w:rPr>
              <w:t>Nine months ended September 30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$ 18,270</w:t>
            </w:r>
          </w:p>
        </w:tc>
        <w:tc>
          <w:tcPr>
            <w:tcW w:w="44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22,162</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557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660" w:type="dxa"/>
            <w:vAlign w:val="bottom"/>
          </w:tcPr>
          <w:p>
            <w:pPr>
              <w:jc w:val="right"/>
              <w:spacing w:after="0"/>
              <w:rPr>
                <w:sz w:val="20"/>
                <w:szCs w:val="20"/>
                <w:color w:val="auto"/>
              </w:rPr>
            </w:pPr>
            <w:r>
              <w:rPr>
                <w:rFonts w:ascii="Arial" w:cs="Arial" w:eastAsia="Arial" w:hAnsi="Arial"/>
                <w:sz w:val="18"/>
                <w:szCs w:val="18"/>
                <w:color w:val="auto"/>
              </w:rPr>
              <w:t>45,097</w:t>
            </w:r>
          </w:p>
        </w:tc>
        <w:tc>
          <w:tcPr>
            <w:tcW w:w="4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46,527</w:t>
            </w: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w w:val="97"/>
              </w:rPr>
              <w:t>2,018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righ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(65,515)</w:t>
            </w:r>
          </w:p>
        </w:tc>
        <w:tc>
          <w:tcPr>
            <w:tcW w:w="10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(52,883)</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00" w:type="dxa"/>
            <w:vAlign w:val="bottom"/>
            <w:gridSpan w:val="2"/>
          </w:tcPr>
          <w:p>
            <w:pPr>
              <w:jc w:val="right"/>
              <w:ind w:right="308"/>
              <w:spacing w:after="0"/>
              <w:rPr>
                <w:sz w:val="20"/>
                <w:szCs w:val="20"/>
                <w:color w:val="auto"/>
              </w:rPr>
            </w:pPr>
            <w:r>
              <w:rPr>
                <w:rFonts w:ascii="Arial" w:cs="Arial" w:eastAsia="Arial" w:hAnsi="Arial"/>
                <w:sz w:val="18"/>
                <w:szCs w:val="18"/>
                <w:color w:val="auto"/>
              </w:rPr>
              <w:t>(4,917)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(4,919)</w:t>
            </w:r>
          </w:p>
        </w:tc>
        <w:tc>
          <w:tcPr>
            <w:tcW w:w="860" w:type="dxa"/>
            <w:vAlign w:val="bottom"/>
            <w:gridSpan w:val="2"/>
          </w:tcPr>
          <w:p>
            <w:pPr>
              <w:jc w:val="right"/>
              <w:ind w:right="268"/>
              <w:spacing w:after="0"/>
              <w:rPr>
                <w:sz w:val="20"/>
                <w:szCs w:val="20"/>
                <w:color w:val="auto"/>
              </w:rPr>
            </w:pPr>
            <w:r>
              <w:rPr>
                <w:rFonts w:ascii="Arial" w:cs="Arial" w:eastAsia="Arial" w:hAnsi="Arial"/>
                <w:sz w:val="18"/>
                <w:szCs w:val="18"/>
                <w:color w:val="auto"/>
                <w:w w:val="87"/>
              </w:rPr>
              <w:t>(1,019)</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4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27,874</w:t>
            </w:r>
          </w:p>
        </w:tc>
        <w:tc>
          <w:tcPr>
            <w:tcW w:w="4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270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$ 23,742</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38,761</w:t>
            </w:r>
          </w:p>
        </w:tc>
        <w:tc>
          <w:tcPr>
            <w:tcW w:w="460" w:type="dxa"/>
            <w:vAlign w:val="bottom"/>
          </w:tcPr>
          <w:p>
            <w:pPr>
              <w:spacing w:after="0"/>
              <w:rPr>
                <w:sz w:val="24"/>
                <w:szCs w:val="24"/>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8"/>
                <w:szCs w:val="18"/>
                <w:color w:val="auto"/>
                <w:w w:val="97"/>
              </w:rPr>
              <w:t>1,826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$12,440,000 and $11,289,000 for the three months ended September 30, 2013 and 2012, respectively, and $40,757,000 and $37,304,000 for the nine months ended September 30, 2013 and 2012, respectively.</w:t>
      </w:r>
    </w:p>
    <w:p>
      <w:pPr>
        <w:spacing w:after="0" w:line="32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760" w:type="dxa"/>
            <w:vAlign w:val="bottom"/>
            <w:gridSpan w:val="4"/>
          </w:tcPr>
          <w:p>
            <w:pPr>
              <w:jc w:val="right"/>
              <w:ind w:right="5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294,479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293,462</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917,058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733,305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(13,363)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(13,363)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(40,088)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740"/>
              <w:spacing w:after="0"/>
              <w:rPr>
                <w:sz w:val="20"/>
                <w:szCs w:val="20"/>
                <w:color w:val="auto"/>
              </w:rPr>
            </w:pPr>
            <w:r>
              <w:rPr>
                <w:rFonts w:ascii="Arial" w:cs="Arial" w:eastAsia="Arial" w:hAnsi="Arial"/>
                <w:sz w:val="18"/>
                <w:szCs w:val="18"/>
                <w:color w:val="auto"/>
              </w:rPr>
              <w:t>Amortization of preferred stock discount (a)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(2,235)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(6,575)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278,881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278,066</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870,395</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(3,545)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(11,451)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275,336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858,944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676,821</w:t>
            </w: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shares outstanding (including common stock issuable) and unvested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awards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130,836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127,741</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130,088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(1,665)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(1,719)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129,171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128,369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125,510</w:t>
            </w: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The computations of diluted earnings per common share follow:</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760" w:type="dxa"/>
            <w:vAlign w:val="bottom"/>
            <w:gridSpan w:val="4"/>
          </w:tcPr>
          <w:p>
            <w:pPr>
              <w:jc w:val="right"/>
              <w:ind w:right="5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6"/>
          </w:tcPr>
          <w:p>
            <w:pPr>
              <w:jc w:val="right"/>
              <w:ind w:right="380"/>
              <w:spacing w:after="0"/>
              <w:rPr>
                <w:sz w:val="20"/>
                <w:szCs w:val="20"/>
                <w:color w:val="auto"/>
              </w:rPr>
            </w:pPr>
            <w:r>
              <w:rPr>
                <w:rFonts w:ascii="Arial" w:cs="Arial" w:eastAsia="Arial" w:hAnsi="Arial"/>
                <w:sz w:val="14"/>
                <w:szCs w:val="14"/>
                <w:color w:val="auto"/>
                <w:w w:val="96"/>
              </w:rPr>
              <w:t>(in thousands, except per share)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6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278,881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870,395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687,296</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(11,395)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275,356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859,000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676,842</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130,836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130,088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(1,665)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(1,719)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Plus: Incremental shares from assumed conversion of stock-based compensation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awards and warrants to purchase common stock</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130,265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126,292</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129,312</w:t>
            </w:r>
          </w:p>
        </w:tc>
        <w:tc>
          <w:tcPr>
            <w:tcW w:w="4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125,936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3.1 million and 9.7 million common shares during the three-month periods ended September 30, 2013 and 2012, respectively, and 4.1 million and 9.9 million common shares during the nine-month periods ended September 30, 2013 and 2012, respectively, were not included in the computations of diluted earnings per common share because the effect on those periods would have been antidilutive.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displays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color w:val="auto"/>
              </w:rPr>
              <w:t>Investment Securities</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5"/>
              </w:rPr>
              <w:t>Defined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89"/>
              </w:rPr>
              <w:t>Total</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With</w:t>
            </w: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All</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benefit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amount</w:t>
            </w:r>
          </w:p>
        </w:tc>
        <w:tc>
          <w:tcPr>
            <w:tcW w:w="5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OTTI</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other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plans</w:t>
            </w: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before tax</w:t>
            </w:r>
          </w:p>
        </w:tc>
        <w:tc>
          <w:tcPr>
            <w:tcW w:w="50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color w:val="auto"/>
              </w:rPr>
              <w:t>(in thousands)</w:t>
            </w:r>
          </w:p>
        </w:tc>
        <w:tc>
          <w:tcPr>
            <w:tcW w:w="5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(91,835)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152,199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(455,590)</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2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w w:val="91"/>
              </w:rPr>
              <w:t>$(395,657)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155,393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$(240,264)</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(losses),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59,523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(2,183)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296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5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296</w:t>
            </w:r>
          </w:p>
        </w:tc>
        <w:tc>
          <w:tcPr>
            <w:tcW w:w="12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(1,887)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317"/>
        </w:trPr>
        <w:tc>
          <w:tcPr>
            <w:tcW w:w="4820" w:type="dxa"/>
            <w:vAlign w:val="bottom"/>
            <w:gridSpan w:val="2"/>
          </w:tcPr>
          <w:p>
            <w:pPr>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income that (increase) decrease net income:</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Accretion of unrealized holding losses on held-to-maturity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(“HTM”) securities</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OTTI charges recognized in net income</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9,800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9,800</w:t>
            </w:r>
          </w:p>
        </w:tc>
        <w:tc>
          <w:tcPr>
            <w:tcW w:w="500" w:type="dxa"/>
            <w:vAlign w:val="bottom"/>
          </w:tcPr>
          <w:p>
            <w:pPr>
              <w:ind w:left="20"/>
              <w:spacing w:after="0"/>
              <w:rPr>
                <w:sz w:val="20"/>
                <w:szCs w:val="20"/>
                <w:color w:val="auto"/>
              </w:rPr>
            </w:pPr>
            <w:r>
              <w:rPr>
                <w:rFonts w:ascii="Arial" w:cs="Arial" w:eastAsia="Arial" w:hAnsi="Arial"/>
                <w:sz w:val="18"/>
                <w:szCs w:val="18"/>
                <w:color w:val="auto"/>
              </w:rPr>
              <w:t>(b)</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Losses (gains) realized in net income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33,088</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14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30"/>
              <w:spacing w:after="0"/>
              <w:rPr>
                <w:sz w:val="20"/>
                <w:szCs w:val="20"/>
                <w:color w:val="auto"/>
              </w:rPr>
            </w:pPr>
            <w:r>
              <w:rPr>
                <w:rFonts w:ascii="Arial" w:cs="Arial" w:eastAsia="Arial" w:hAnsi="Arial"/>
                <w:sz w:val="18"/>
                <w:szCs w:val="18"/>
                <w:color w:val="auto"/>
              </w:rPr>
              <w:t>(5,936) (e)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actuarial losses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31,077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31,077</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51,247</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(28,020)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110,770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25,141</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296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69,499</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820" w:type="dxa"/>
            <w:vAlign w:val="bottom"/>
            <w:gridSpan w:val="2"/>
          </w:tcPr>
          <w:p>
            <w:pPr>
              <w:spacing w:after="0"/>
              <w:rPr>
                <w:sz w:val="20"/>
                <w:szCs w:val="20"/>
                <w:color w:val="auto"/>
              </w:rPr>
            </w:pPr>
            <w:r>
              <w:rPr>
                <w:rFonts w:ascii="Arial" w:cs="Arial" w:eastAsia="Arial" w:hAnsi="Arial"/>
                <w:sz w:val="18"/>
                <w:szCs w:val="18"/>
                <w:color w:val="auto"/>
              </w:rPr>
              <w:t>Balance – September 30, 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18,935</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85,491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(430,449)</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1280" w:type="dxa"/>
            <w:vAlign w:val="bottom"/>
            <w:gridSpan w:val="3"/>
          </w:tcPr>
          <w:p>
            <w:pPr>
              <w:jc w:val="right"/>
              <w:ind w:right="3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(326,158)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128,096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(198,062)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right"/>
              <w:ind w:right="433"/>
              <w:spacing w:after="0"/>
              <w:rPr>
                <w:sz w:val="20"/>
                <w:szCs w:val="20"/>
                <w:color w:val="auto"/>
              </w:rPr>
            </w:pPr>
            <w:r>
              <w:rPr>
                <w:rFonts w:ascii="Arial" w:cs="Arial" w:eastAsia="Arial" w:hAnsi="Arial"/>
                <w:sz w:val="18"/>
                <w:szCs w:val="18"/>
                <w:color w:val="auto"/>
              </w:rPr>
              <w:t>- 32 -</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4280" w:type="dxa"/>
            <w:vAlign w:val="bottom"/>
          </w:tcPr>
          <w:p>
            <w:pPr>
              <w:ind w:left="300"/>
              <w:spacing w:after="0"/>
              <w:rPr>
                <w:sz w:val="20"/>
                <w:szCs w:val="20"/>
                <w:color w:val="auto"/>
              </w:rPr>
            </w:pPr>
            <w:r>
              <w:rPr>
                <w:rFonts w:ascii="Arial" w:cs="Arial" w:eastAsia="Arial" w:hAnsi="Arial"/>
                <w:sz w:val="18"/>
                <w:szCs w:val="18"/>
                <w:b w:val="1"/>
                <w:bCs w:val="1"/>
                <w:color w:val="auto"/>
              </w:rPr>
              <w:t>Comprehensive income, continued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color w:val="auto"/>
              </w:rPr>
              <w:t>Investment Securities</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Defined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Total</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2"/>
          </w:tcPr>
          <w:p>
            <w:pPr>
              <w:ind w:left="240"/>
              <w:spacing w:after="0" w:line="123" w:lineRule="exact"/>
              <w:rPr>
                <w:sz w:val="20"/>
                <w:szCs w:val="20"/>
                <w:color w:val="auto"/>
              </w:rPr>
            </w:pPr>
            <w:r>
              <w:rPr>
                <w:rFonts w:ascii="Arial" w:cs="Arial" w:eastAsia="Arial" w:hAnsi="Arial"/>
                <w:sz w:val="14"/>
                <w:szCs w:val="14"/>
                <w:color w:val="auto"/>
              </w:rPr>
              <w:t>With</w:t>
            </w:r>
          </w:p>
        </w:tc>
        <w:tc>
          <w:tcPr>
            <w:tcW w:w="660" w:type="dxa"/>
            <w:vAlign w:val="bottom"/>
            <w:tcBorders>
              <w:top w:val="single" w:sz="8" w:color="auto"/>
            </w:tcBorders>
          </w:tcPr>
          <w:p>
            <w:pPr>
              <w:jc w:val="right"/>
              <w:ind w:right="152"/>
              <w:spacing w:after="0" w:line="123" w:lineRule="exact"/>
              <w:rPr>
                <w:sz w:val="20"/>
                <w:szCs w:val="20"/>
                <w:color w:val="auto"/>
              </w:rPr>
            </w:pPr>
            <w:r>
              <w:rPr>
                <w:rFonts w:ascii="Arial" w:cs="Arial" w:eastAsia="Arial" w:hAnsi="Arial"/>
                <w:sz w:val="14"/>
                <w:szCs w:val="14"/>
                <w:color w:val="auto"/>
              </w:rPr>
              <w:t>All</w:t>
            </w:r>
          </w:p>
        </w:tc>
        <w:tc>
          <w:tcPr>
            <w:tcW w:w="280" w:type="dxa"/>
            <w:vAlign w:val="bottom"/>
          </w:tcPr>
          <w:p>
            <w:pPr>
              <w:spacing w:after="0"/>
              <w:rPr>
                <w:sz w:val="10"/>
                <w:szCs w:val="10"/>
                <w:color w:val="auto"/>
              </w:rPr>
            </w:pPr>
          </w:p>
        </w:tc>
        <w:tc>
          <w:tcPr>
            <w:tcW w:w="98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5"/>
              </w:rPr>
              <w:t>benefit</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40"/>
              <w:spacing w:after="0" w:line="123" w:lineRule="exact"/>
              <w:rPr>
                <w:sz w:val="20"/>
                <w:szCs w:val="20"/>
                <w:color w:val="auto"/>
              </w:rPr>
            </w:pPr>
            <w:r>
              <w:rPr>
                <w:rFonts w:ascii="Arial" w:cs="Arial" w:eastAsia="Arial" w:hAnsi="Arial"/>
                <w:sz w:val="14"/>
                <w:szCs w:val="14"/>
                <w:color w:val="auto"/>
                <w:w w:val="94"/>
              </w:rPr>
              <w:t>amount</w:t>
            </w:r>
          </w:p>
        </w:tc>
        <w:tc>
          <w:tcPr>
            <w:tcW w:w="520" w:type="dxa"/>
            <w:vAlign w:val="bottom"/>
          </w:tcPr>
          <w:p>
            <w:pPr>
              <w:spacing w:after="0"/>
              <w:rPr>
                <w:sz w:val="10"/>
                <w:szCs w:val="10"/>
                <w:color w:val="auto"/>
              </w:rPr>
            </w:pPr>
          </w:p>
        </w:tc>
        <w:tc>
          <w:tcPr>
            <w:tcW w:w="92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OTTI</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plans</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before tax</w:t>
            </w:r>
          </w:p>
        </w:tc>
        <w:tc>
          <w:tcPr>
            <w:tcW w:w="5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(in thousands)</w:t>
            </w:r>
          </w:p>
        </w:tc>
        <w:tc>
          <w:tcPr>
            <w:tcW w:w="5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42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$(138,319)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(457,145)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140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$(586,769)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230,328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$(356,441)</w:t>
            </w:r>
          </w:p>
        </w:tc>
        <w:tc>
          <w:tcPr>
            <w:tcW w:w="0" w:type="dxa"/>
            <w:vAlign w:val="bottom"/>
          </w:tcPr>
          <w:p>
            <w:pPr>
              <w:spacing w:after="0"/>
              <w:rPr>
                <w:sz w:val="1"/>
                <w:szCs w:val="1"/>
                <w:color w:val="auto"/>
              </w:rPr>
            </w:pPr>
          </w:p>
        </w:tc>
      </w:tr>
      <w:tr>
        <w:trPr>
          <w:trHeight w:val="324"/>
        </w:trPr>
        <w:tc>
          <w:tcPr>
            <w:tcW w:w="444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(8,099)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153,908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145,809</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other comprehensive income before reclassifications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153,908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552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146,361</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88,977</w:t>
            </w:r>
          </w:p>
        </w:tc>
        <w:tc>
          <w:tcPr>
            <w:tcW w:w="0" w:type="dxa"/>
            <w:vAlign w:val="bottom"/>
          </w:tcPr>
          <w:p>
            <w:pPr>
              <w:spacing w:after="0"/>
              <w:rPr>
                <w:sz w:val="1"/>
                <w:szCs w:val="1"/>
                <w:color w:val="auto"/>
              </w:rPr>
            </w:pPr>
          </w:p>
        </w:tc>
      </w:tr>
      <w:tr>
        <w:trPr>
          <w:trHeight w:val="317"/>
        </w:trPr>
        <w:tc>
          <w:tcPr>
            <w:tcW w:w="4440" w:type="dxa"/>
            <w:vAlign w:val="bottom"/>
            <w:gridSpan w:val="3"/>
          </w:tcPr>
          <w:p>
            <w:pPr>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comprehensive income that (increase) decrease net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Accretion of unrealized holding losses on HTM</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3,495</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5,039 (a)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OTTI charges recognized in net income</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33,331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33,331</w:t>
            </w:r>
          </w:p>
        </w:tc>
        <w:tc>
          <w:tcPr>
            <w:tcW w:w="520" w:type="dxa"/>
            <w:vAlign w:val="bottom"/>
          </w:tcPr>
          <w:p>
            <w:pPr>
              <w:ind w:left="20"/>
              <w:spacing w:after="0"/>
              <w:rPr>
                <w:sz w:val="20"/>
                <w:szCs w:val="20"/>
                <w:color w:val="auto"/>
              </w:rPr>
            </w:pPr>
            <w:r>
              <w:rPr>
                <w:rFonts w:ascii="Arial" w:cs="Arial" w:eastAsia="Arial" w:hAnsi="Arial"/>
                <w:sz w:val="18"/>
                <w:szCs w:val="18"/>
                <w:color w:val="auto"/>
              </w:rPr>
              <w:t>(b)</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(13,082)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realized in net income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 (c)</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w w:val="95"/>
              </w:rPr>
              <w:t>Amortization of gains on terminated cash flow hedges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80" w:type="dxa"/>
            <w:vAlign w:val="bottom"/>
            <w:gridSpan w:val="3"/>
          </w:tcPr>
          <w:p>
            <w:pPr>
              <w:jc w:val="right"/>
              <w:ind w:right="130"/>
              <w:spacing w:after="0"/>
              <w:rPr>
                <w:sz w:val="20"/>
                <w:szCs w:val="20"/>
                <w:color w:val="auto"/>
              </w:rPr>
            </w:pPr>
            <w:r>
              <w:rPr>
                <w:rFonts w:ascii="Arial" w:cs="Arial" w:eastAsia="Arial" w:hAnsi="Arial"/>
                <w:sz w:val="18"/>
                <w:szCs w:val="18"/>
                <w:color w:val="auto"/>
              </w:rPr>
              <w:t>(178) (d)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(4,904)</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(4,904) (e)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28,272</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28,272</w:t>
            </w:r>
          </w:p>
        </w:tc>
        <w:tc>
          <w:tcPr>
            <w:tcW w:w="520" w:type="dxa"/>
            <w:vAlign w:val="bottom"/>
          </w:tcPr>
          <w:p>
            <w:pPr>
              <w:ind w:left="20"/>
              <w:spacing w:after="0"/>
              <w:rPr>
                <w:sz w:val="20"/>
                <w:szCs w:val="20"/>
                <w:color w:val="auto"/>
              </w:rPr>
            </w:pPr>
            <w:r>
              <w:rPr>
                <w:rFonts w:ascii="Arial" w:cs="Arial" w:eastAsia="Arial" w:hAnsi="Arial"/>
                <w:sz w:val="18"/>
                <w:szCs w:val="18"/>
                <w:color w:val="auto"/>
              </w:rPr>
              <w:t>(e)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(11,097)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34,875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61,551</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37,389</w:t>
            </w:r>
          </w:p>
        </w:tc>
        <w:tc>
          <w:tcPr>
            <w:tcW w:w="0" w:type="dxa"/>
            <w:vAlign w:val="bottom"/>
          </w:tcPr>
          <w:p>
            <w:pPr>
              <w:spacing w:after="0"/>
              <w:rPr>
                <w:sz w:val="1"/>
                <w:szCs w:val="1"/>
                <w:color w:val="auto"/>
              </w:rPr>
            </w:pPr>
          </w:p>
        </w:tc>
      </w:tr>
      <w:tr>
        <w:trPr>
          <w:trHeight w:val="20"/>
        </w:trPr>
        <w:tc>
          <w:tcPr>
            <w:tcW w:w="4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40" w:type="dxa"/>
            <w:vAlign w:val="bottom"/>
            <w:gridSpan w:val="3"/>
          </w:tcPr>
          <w:p>
            <w:pPr>
              <w:spacing w:after="0"/>
              <w:rPr>
                <w:sz w:val="20"/>
                <w:szCs w:val="20"/>
                <w:color w:val="auto"/>
              </w:rPr>
            </w:pPr>
            <w:r>
              <w:rPr>
                <w:rFonts w:ascii="Arial" w:cs="Arial" w:eastAsia="Arial" w:hAnsi="Arial"/>
                <w:sz w:val="18"/>
                <w:szCs w:val="18"/>
                <w:color w:val="auto"/>
              </w:rPr>
              <w:t>Total gain (loss) during the period</w:t>
            </w:r>
          </w:p>
        </w:tc>
        <w:tc>
          <w:tcPr>
            <w:tcW w:w="1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26,776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157,394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23,368</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374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207,912</w:t>
            </w:r>
          </w:p>
        </w:tc>
        <w:tc>
          <w:tcPr>
            <w:tcW w:w="5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(81,546)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126,366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September 30,2012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(111,543)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167,151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(433,777)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140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(378,857)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148,782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(230,075)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Investment securities</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Defined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With</w:t>
            </w:r>
          </w:p>
        </w:tc>
        <w:tc>
          <w:tcPr>
            <w:tcW w:w="62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4"/>
                <w:szCs w:val="14"/>
                <w:color w:val="auto"/>
              </w:rPr>
              <w:t>All</w:t>
            </w:r>
          </w:p>
        </w:tc>
        <w:tc>
          <w:tcPr>
            <w:tcW w:w="320" w:type="dxa"/>
            <w:vAlign w:val="bottom"/>
          </w:tcPr>
          <w:p>
            <w:pPr>
              <w:spacing w:after="0"/>
              <w:rPr>
                <w:sz w:val="10"/>
                <w:szCs w:val="10"/>
                <w:color w:val="auto"/>
              </w:rPr>
            </w:pPr>
          </w:p>
        </w:tc>
        <w:tc>
          <w:tcPr>
            <w:tcW w:w="100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5"/>
              </w:rPr>
              <w:t>benefit</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OTTI</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other</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plans</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Other</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(55,790)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92,581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(276,771)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$(240,264)</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67,293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(40,569)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15,273</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52,012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(261,498)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(198,062)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80" w:type="dxa"/>
            <w:vAlign w:val="bottom"/>
            <w:vMerge w:val="restart"/>
          </w:tcPr>
          <w:p>
            <w:pPr>
              <w:jc w:val="right"/>
              <w:ind w:right="950"/>
              <w:spacing w:after="0"/>
              <w:rPr>
                <w:sz w:val="20"/>
                <w:szCs w:val="20"/>
                <w:color w:val="auto"/>
              </w:rPr>
            </w:pPr>
            <w:r>
              <w:rPr>
                <w:rFonts w:ascii="Arial" w:cs="Arial" w:eastAsia="Arial" w:hAnsi="Arial"/>
                <w:sz w:val="18"/>
                <w:szCs w:val="18"/>
                <w:color w:val="auto"/>
              </w:rPr>
              <w:t>- 33 -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2013.</w:t>
      </w:r>
    </w:p>
    <w:p>
      <w:pPr>
        <w:spacing w:after="0" w:line="193"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net effect of interest rate swap agreements was to increase net interest income by $11 million and $9 million for the three-month periods ended September 30, 2013 and 2012, respectively, and $30 million and $27 million for the nine months ended September 30, 2013 and 2012, respectively.</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(in thousands)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6.07%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$15.9 billion and $15.5 billion at September 30, 2013 and December 31, 2012, respectively. The notional amounts of foreign currency and other option and futures contracts entered into for trading purposes aggregated $904 million and $869 million at September 30, 2013 and December 31, 2012,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ind w:left="440"/>
              <w:spacing w:after="0"/>
              <w:rPr>
                <w:sz w:val="20"/>
                <w:szCs w:val="20"/>
                <w:color w:val="auto"/>
              </w:rPr>
            </w:pPr>
            <w:r>
              <w:rPr>
                <w:rFonts w:ascii="Arial" w:cs="Arial" w:eastAsia="Arial" w:hAnsi="Arial"/>
                <w:sz w:val="14"/>
                <w:szCs w:val="14"/>
                <w:color w:val="auto"/>
              </w:rPr>
              <w:t>Asset derivatives</w:t>
            </w:r>
          </w:p>
        </w:tc>
        <w:tc>
          <w:tcPr>
            <w:tcW w:w="200" w:type="dxa"/>
            <w:vAlign w:val="bottom"/>
          </w:tcPr>
          <w:p>
            <w:pPr>
              <w:spacing w:after="0"/>
              <w:rPr>
                <w:sz w:val="14"/>
                <w:szCs w:val="14"/>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jc w:val="right"/>
              <w:ind w:right="714"/>
              <w:spacing w:after="0" w:line="142" w:lineRule="exact"/>
              <w:rPr>
                <w:sz w:val="20"/>
                <w:szCs w:val="20"/>
                <w:color w:val="auto"/>
              </w:rPr>
            </w:pPr>
            <w:r>
              <w:rPr>
                <w:rFonts w:ascii="Arial" w:cs="Arial" w:eastAsia="Arial" w:hAnsi="Arial"/>
                <w:sz w:val="14"/>
                <w:szCs w:val="14"/>
                <w:color w:val="auto"/>
              </w:rPr>
              <w:t>Fair value</w:t>
            </w:r>
          </w:p>
        </w:tc>
        <w:tc>
          <w:tcPr>
            <w:tcW w:w="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360" w:type="dxa"/>
            <w:vAlign w:val="bottom"/>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54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3"/>
          </w:tcPr>
          <w:p>
            <w:pPr>
              <w:ind w:left="680"/>
              <w:spacing w:after="0" w:line="142" w:lineRule="exact"/>
              <w:rPr>
                <w:sz w:val="20"/>
                <w:szCs w:val="20"/>
                <w:color w:val="auto"/>
              </w:rPr>
            </w:pPr>
            <w:r>
              <w:rPr>
                <w:rFonts w:ascii="Arial" w:cs="Arial" w:eastAsia="Arial" w:hAnsi="Arial"/>
                <w:sz w:val="14"/>
                <w:szCs w:val="14"/>
                <w:color w:val="auto"/>
                <w:w w:val="96"/>
              </w:rPr>
              <w:t>(in thousands)</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Fair value hedges: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114,083</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143,179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2,477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11,665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116,560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144,293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w w:val="96"/>
              </w:rPr>
              <w:t>Derivatives not designated and qualifying as hedging instruments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Mortgage-related commitments to originate real estate loans for sale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18,185</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48,056</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6,880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7,435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285,442</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399,963</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248,311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13,451</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323,958</w:t>
            </w: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458,726</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273,994</w:t>
            </w: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440,518</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603,019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285,659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4"/>
              </w:rPr>
              <w:t>Amount of unrealized gain (loss) recognized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8"/>
          </w:tcPr>
          <w:p>
            <w:pPr>
              <w:jc w:val="center"/>
              <w:ind w:right="620"/>
              <w:spacing w:after="0" w:line="123" w:lineRule="exact"/>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0"/>
                <w:szCs w:val="10"/>
                <w:color w:val="auto"/>
              </w:rPr>
            </w:pPr>
          </w:p>
        </w:tc>
        <w:tc>
          <w:tcPr>
            <w:tcW w:w="1640" w:type="dxa"/>
            <w:vAlign w:val="bottom"/>
            <w:gridSpan w:val="3"/>
          </w:tcPr>
          <w:p>
            <w:pPr>
              <w:jc w:val="center"/>
              <w:ind w:right="119"/>
              <w:spacing w:after="0" w:line="123" w:lineRule="exact"/>
              <w:rPr>
                <w:sz w:val="20"/>
                <w:szCs w:val="20"/>
                <w:color w:val="auto"/>
              </w:rPr>
            </w:pPr>
            <w:r>
              <w:rPr>
                <w:rFonts w:ascii="Arial" w:cs="Arial" w:eastAsia="Arial" w:hAnsi="Arial"/>
                <w:sz w:val="14"/>
                <w:szCs w:val="14"/>
                <w:color w:val="auto"/>
                <w:w w:val="89"/>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8"/>
          </w:tcPr>
          <w:p>
            <w:pPr>
              <w:jc w:val="center"/>
              <w:ind w:right="620"/>
              <w:spacing w:after="0"/>
              <w:rPr>
                <w:sz w:val="20"/>
                <w:szCs w:val="20"/>
                <w:color w:val="auto"/>
              </w:rPr>
            </w:pPr>
            <w:r>
              <w:rPr>
                <w:rFonts w:ascii="Arial" w:cs="Arial" w:eastAsia="Arial" w:hAnsi="Arial"/>
                <w:sz w:val="14"/>
                <w:szCs w:val="14"/>
                <w:color w:val="auto"/>
                <w:w w:val="89"/>
              </w:rPr>
              <w:t>September 30, 2013</w:t>
            </w:r>
          </w:p>
        </w:tc>
        <w:tc>
          <w:tcPr>
            <w:tcW w:w="2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September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Hedged item</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left="468"/>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5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3,273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777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851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color w:val="auto"/>
                <w:w w:val="94"/>
              </w:rPr>
              <w:t>Amount of unrealized gain (loss) recognized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8"/>
          </w:tcPr>
          <w:p>
            <w:pPr>
              <w:jc w:val="center"/>
              <w:ind w:right="600"/>
              <w:spacing w:after="0" w:line="123" w:lineRule="exact"/>
              <w:rPr>
                <w:sz w:val="20"/>
                <w:szCs w:val="20"/>
                <w:color w:val="auto"/>
              </w:rPr>
            </w:pPr>
            <w:r>
              <w:rPr>
                <w:rFonts w:ascii="Arial" w:cs="Arial" w:eastAsia="Arial" w:hAnsi="Arial"/>
                <w:sz w:val="14"/>
                <w:szCs w:val="14"/>
                <w:color w:val="auto"/>
                <w:w w:val="92"/>
              </w:rPr>
              <w:t>Nine months ended</w:t>
            </w:r>
          </w:p>
        </w:tc>
        <w:tc>
          <w:tcPr>
            <w:tcW w:w="200" w:type="dxa"/>
            <w:vAlign w:val="bottom"/>
          </w:tcPr>
          <w:p>
            <w:pPr>
              <w:spacing w:after="0"/>
              <w:rPr>
                <w:sz w:val="10"/>
                <w:szCs w:val="10"/>
                <w:color w:val="auto"/>
              </w:rPr>
            </w:pPr>
          </w:p>
        </w:tc>
        <w:tc>
          <w:tcPr>
            <w:tcW w:w="1640" w:type="dxa"/>
            <w:vAlign w:val="bottom"/>
            <w:gridSpan w:val="3"/>
          </w:tcPr>
          <w:p>
            <w:pPr>
              <w:jc w:val="center"/>
              <w:ind w:right="119"/>
              <w:spacing w:after="0" w:line="123" w:lineRule="exact"/>
              <w:rPr>
                <w:sz w:val="20"/>
                <w:szCs w:val="20"/>
                <w:color w:val="auto"/>
              </w:rPr>
            </w:pPr>
            <w:r>
              <w:rPr>
                <w:rFonts w:ascii="Arial" w:cs="Arial" w:eastAsia="Arial" w:hAnsi="Arial"/>
                <w:sz w:val="14"/>
                <w:szCs w:val="14"/>
                <w:color w:val="auto"/>
                <w:w w:val="92"/>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8"/>
          </w:tcPr>
          <w:p>
            <w:pPr>
              <w:jc w:val="center"/>
              <w:ind w:right="620"/>
              <w:spacing w:after="0"/>
              <w:rPr>
                <w:sz w:val="20"/>
                <w:szCs w:val="20"/>
                <w:color w:val="auto"/>
              </w:rPr>
            </w:pPr>
            <w:r>
              <w:rPr>
                <w:rFonts w:ascii="Arial" w:cs="Arial" w:eastAsia="Arial" w:hAnsi="Arial"/>
                <w:sz w:val="14"/>
                <w:szCs w:val="14"/>
                <w:color w:val="auto"/>
                <w:w w:val="89"/>
              </w:rPr>
              <w:t>September 30, 2013</w:t>
            </w:r>
          </w:p>
        </w:tc>
        <w:tc>
          <w:tcPr>
            <w:tcW w:w="2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September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0"/>
              </w:rPr>
              <w:t>Hedged item</w:t>
            </w:r>
          </w:p>
        </w:tc>
        <w:tc>
          <w:tcPr>
            <w:tcW w:w="44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left="428"/>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(29,097)</w:t>
            </w:r>
          </w:p>
        </w:tc>
        <w:tc>
          <w:tcPr>
            <w:tcW w:w="15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27,733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5,918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3,996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(2,469)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(3,071)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60"/>
          </w:cols>
          <w:pgMar w:left="24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$27 million and $89 million at September 30, 2013 and December 31, 2012, respectively. Changes in unrealized gains and losses are included in mortgage banking revenues and, in general, are realized in subsequent periods as the related loans are sold and commitments satisfied.</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$229 million and $374 million at September 30, 2013 and December 31, 2012, respectively. After consideration of such netting arrangements, the net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positions with counterparties aggregated $132 million and $281 million at September 30, 2013 and December 31, 2012, respectively. The Company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post collateral relating to those positions of $118 million and $266 million at September 30, 2013 and December 31, 2012, respectively. Certain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derivative financial instruments contain provisions that require the Company to maintain specific credit ratings from credit rating agencies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avoid higher collateral posting requirements. If the Company’s debt rating were to fall below specified ratings, the counterparties to the derivative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instruments could demand immediate incremental collateralization on those instruments in a net liability position. The aggregate fair value of all derivative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such credit-risk-related contingent features in a net liability position on September 30, 2013 was $42 million, for which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had posted collateral of $29 million in the normal course of business. If the credit-risk-related contingent features had been triggered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the maximum amount of additional collateral the Company would have been required to post to counterparties was $13 million.</w:t>
      </w:r>
    </w:p>
    <w:p>
      <w:pPr>
        <w:spacing w:after="0" w:line="22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enforceable master netting arrangements, was $187 million and $164 million at September 30, 2013 and December 31, 2012, respectively. After consideration of such netting arrangements, the net asset positions with counterparties aggregated $98 million and $71 million at September 30, 2013 and December 31, 2012, respectively. Counterparties posted collateral relating to those positions of $96 million and $69 million at September 30, 2013 and December 31, 2012, respectively. Trading account interest rate swap agreements entered into with customers are subject to the Company’s credit risk standards and often contain collateral provisions.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third quarter of 2013, the Company securitized approximately $1.8 billion of one-to-four family residential mortgage loans in guaranteed mortgage securitizations with the Government National Mortgage Association (“Ginnie Mae”). Approximately $1.0 billion of such loans were formerly held in the Company’s loan portfolio, whereas the remaining $811 million of the loans were newly originated. The Company recognized gains of $35 million related to loans previously held for investment, which has been recorded in “other revenues from operations,” and gains of $15 million on newly originated loans, which has been reflected in “mortgage banking revenues.” In total, the Company securitized approximately $2.8 billion of one-to-four family residential mortgage loans in guaranteed mortgage securitizations with Ginnie Mae during the nine months ended September 30, 2013. Approximately $1.4 billion of such loans were formerly held in the Company’s loan portfolio, whereas the remaining $1.4 billion were newly originated. For the nine months ended September 30, 2013, the Company recognized pre-tax gains of $42 million related to loans previously held for investment, which have been recorded in “other revenues from operations,” and pre-tax gains of $25 million on newly originated loans, which have been reflected in “mortgage banking revenues.” As a result of the securitization structure, the Company does not have effective control over the underlying loans and expects no material credit-related losses on the retained securities as a result of the guarantees by Ginnie Mae. In the third quarter of 2013, the Company securitized and sold approximately $1.4 billion of automobile loans held in its loan portfolio. The Company recognized gains of $21 million related to the sale, which has been recorded in “other revenues from operations.” The Company has securitized loans to improve its regulatory capital ratios and strengthen its liquidity and risk profile as a result of changing regulatory liquidity and capital requirements.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September 30, 2013 and December 31, 2012, the carrying values of the loans in the securitization trust were $126 million and $151 million, respectively. The outstanding principal amount of mortgage-backed securities issued by the qualified special purpose trust that was held by parties unrelated to M&amp;T at September 30, 2013 and December 31, 2012 was $19 million and $23 million, respectively. Because the transaction was non-recourse, the Company’s maximum exposure to loss as a result of its association with the trust at September 30, 2013 is limited to realizing the carrying value of the loans less the amount of the mortgage-backed securities held by the third parties.</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2013 and December 31, 2012,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7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$1.4 billion and $1.5 billion at September 30, 2013 and December 31, 2012, respectively. Those partnerships generally construct or acquire properties for which the investing partners are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$250 million, including $57 million of unfunded commitments, at September 30, 2013 and $270 million, including $71 million of unfunded commitments, at December 31, 2012.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32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2013.</w:t>
      </w:r>
    </w:p>
    <w:p>
      <w:pPr>
        <w:spacing w:after="0" w:line="170"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18"/>
          <w:szCs w:val="18"/>
          <w:color w:val="auto"/>
        </w:rPr>
      </w:pPr>
    </w:p>
    <w:p>
      <w:pPr>
        <w:ind w:left="440" w:right="120" w:hanging="324"/>
        <w:spacing w:after="0" w:line="308"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discussed in note 3, 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classified the valuation of privately issued mortgage-backed securities as Level 3.</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December 31, 2012, the Company supplemented its determination of fair value for many of its privately issued mortgage-backed securities by obtaining pricing indications from two independent sources. However, the Company could not readily ascertain that the basis of such valuations could be ascribed to orderly and observable trades in the market for privately issued mortgage-backed securities. As a result, the Company also performed internal modeling to estimate the cash flows and fair value of privately issued mortgage-backed securities with an amortized cost basis of $1.1 billion at December 31, 2012.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home price depreciation or appreciation and loss rates.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the weighted-average reliance on internal model pricing for the bonds modeled was 33% with a 67% average weighting placed on the values provided by the independent sources. Significant unobservable inputs used in the Company’s modeling of fair value for mortgage-backed securities are included in the accompanying table of significant unobservable inputs to Level 3 measurements.</w:t>
      </w:r>
    </w:p>
    <w:p>
      <w:pPr>
        <w:spacing w:after="0" w:line="1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2013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December 31, 2012.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11%, with a weighted-average of 8%, was used. Significant unobservable inputs used in the determination of estimated fair value of collateralized debt obligations are included in the accompanying table of significant unobservable inputs to Level 3 measurements. The total amortized cost and fair value of securities backed by trust preferred securities issued by financial institutions and other entities were $43 million and $59 million, respectively, at September 30, 2013 and $43 million and $62 million, respectively, at December 31, 2012.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originated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September 30, 2013 and December 31, 2012 measured at estimated fair value on a recurring basis: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9"/>
              </w:rPr>
              <w:t>September 30,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color w:val="auto"/>
                <w:w w:val="96"/>
              </w:rPr>
              <w:t>2013</w:t>
            </w:r>
          </w:p>
        </w:tc>
        <w:tc>
          <w:tcPr>
            <w:tcW w:w="3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Level 1 (a)</w:t>
            </w: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Level 2 (a)</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4"/>
          </w:tcPr>
          <w:p>
            <w:pPr>
              <w:ind w:left="42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371,370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48,344</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323,026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37,887</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37,887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17,963</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17,963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4,330,399</w:t>
            </w:r>
          </w:p>
        </w:tc>
        <w:tc>
          <w:tcPr>
            <w:tcW w:w="38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4,330,399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59,303</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119,404</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119,404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123,408</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91,075</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4,692,180</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91,075</w:t>
            </w: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4,537,986</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819,029</w:t>
            </w:r>
          </w:p>
        </w:tc>
        <w:tc>
          <w:tcPr>
            <w:tcW w:w="38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819,029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123,440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6,024,204</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139,419</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5,803,481</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6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261,449</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261,449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liabilities (b)</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24,210</w:t>
            </w:r>
          </w:p>
        </w:tc>
        <w:tc>
          <w:tcPr>
            <w:tcW w:w="3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19,100</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285,659</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280,549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20" w:type="dxa"/>
            <w:vAlign w:val="bottom"/>
            <w:vMerge w:val="restart"/>
          </w:tcPr>
          <w:p>
            <w:pPr>
              <w:jc w:val="right"/>
              <w:ind w:right="510"/>
              <w:spacing w:after="0"/>
              <w:rPr>
                <w:sz w:val="20"/>
                <w:szCs w:val="20"/>
                <w:color w:val="auto"/>
              </w:rPr>
            </w:pPr>
            <w:r>
              <w:rPr>
                <w:rFonts w:ascii="Arial" w:cs="Arial" w:eastAsia="Arial" w:hAnsi="Arial"/>
                <w:sz w:val="18"/>
                <w:szCs w:val="18"/>
                <w:color w:val="auto"/>
              </w:rPr>
              <w:t>- 42 -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94"/>
              </w:rPr>
              <w:t>Fair value</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3"/>
              </w:rPr>
              <w:t>December 31,</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color w:val="auto"/>
                <w:w w:val="96"/>
              </w:rPr>
              <w:t>2012</w:t>
            </w:r>
          </w:p>
        </w:tc>
        <w:tc>
          <w:tcPr>
            <w:tcW w:w="3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Level 1 (a)</w:t>
            </w: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Level 2 (a)</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4"/>
          </w:tcPr>
          <w:p>
            <w:pPr>
              <w:ind w:left="42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56,106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432,860</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39,344</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39,344</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20,901</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20,901</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Government issued or guaranteed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3,371,041</w:t>
            </w:r>
          </w:p>
        </w:tc>
        <w:tc>
          <w:tcPr>
            <w:tcW w:w="38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3,371,041</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Privately issued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1,023,886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Collateralized debt obligations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61,869</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debt securities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111,950</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111,950</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110,446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98,364</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38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4,739,437</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98,364</w:t>
            </w: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3,555,318</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88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1,387,491</w:t>
            </w:r>
          </w:p>
        </w:tc>
        <w:tc>
          <w:tcPr>
            <w:tcW w:w="38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1,387,491</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146,275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6,810,225</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154,470</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5,521,944</w:t>
            </w:r>
          </w:p>
        </w:tc>
        <w:tc>
          <w:tcPr>
            <w:tcW w:w="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374,274</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374,274</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liabilities (b)</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10,592</w:t>
            </w:r>
          </w:p>
        </w:tc>
        <w:tc>
          <w:tcPr>
            <w:tcW w:w="3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10,395</w:t>
            </w:r>
          </w:p>
        </w:tc>
        <w:tc>
          <w:tcPr>
            <w:tcW w:w="38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384,866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384,669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20" w:hanging="452"/>
        <w:spacing w:after="0" w:line="258" w:lineRule="auto"/>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nine months ended September 30, 2013 and 2012.</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80"/>
          </w:cols>
          <w:pgMar w:left="240" w:top="459" w:right="6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4"/>
                <w:szCs w:val="14"/>
                <w:color w:val="auto"/>
                <w:w w:val="92"/>
              </w:rPr>
              <w:t>Investment securities available for sale</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560" w:type="dxa"/>
            <w:vAlign w:val="bottom"/>
          </w:tcPr>
          <w:p>
            <w:pPr>
              <w:spacing w:after="0"/>
              <w:rPr>
                <w:sz w:val="10"/>
                <w:szCs w:val="10"/>
                <w:color w:val="auto"/>
              </w:rPr>
            </w:pPr>
          </w:p>
        </w:tc>
        <w:tc>
          <w:tcPr>
            <w:tcW w:w="1360" w:type="dxa"/>
            <w:vAlign w:val="bottom"/>
            <w:tcBorders>
              <w:top w:val="single" w:sz="8" w:color="auto"/>
            </w:tcBorders>
            <w:gridSpan w:val="3"/>
          </w:tcPr>
          <w:p>
            <w:pPr>
              <w:ind w:left="60"/>
              <w:spacing w:after="0" w:line="123" w:lineRule="exact"/>
              <w:rPr>
                <w:sz w:val="20"/>
                <w:szCs w:val="20"/>
                <w:color w:val="auto"/>
              </w:rPr>
            </w:pPr>
            <w:r>
              <w:rPr>
                <w:rFonts w:ascii="Arial" w:cs="Arial" w:eastAsia="Arial" w:hAnsi="Arial"/>
                <w:sz w:val="14"/>
                <w:szCs w:val="14"/>
                <w:color w:val="auto"/>
              </w:rPr>
              <w:t>Privately issued</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debt</w:t>
            </w:r>
          </w:p>
        </w:tc>
        <w:tc>
          <w:tcPr>
            <w:tcW w:w="16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obligations</w:t>
            </w:r>
          </w:p>
        </w:tc>
        <w:tc>
          <w:tcPr>
            <w:tcW w:w="16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9"/>
              </w:rPr>
              <w:t>(in thousands)</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59,916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324"/>
        </w:trPr>
        <w:tc>
          <w:tcPr>
            <w:tcW w:w="55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24,440(b)</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400 (e)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213 (e)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(18,773)(d)</w:t>
            </w:r>
          </w:p>
        </w:tc>
        <w:tc>
          <w:tcPr>
            <w:tcW w:w="0" w:type="dxa"/>
            <w:vAlign w:val="bottom"/>
          </w:tcPr>
          <w:p>
            <w:pPr>
              <w:spacing w:after="0"/>
              <w:rPr>
                <w:sz w:val="1"/>
                <w:szCs w:val="1"/>
                <w:color w:val="auto"/>
              </w:rPr>
            </w:pPr>
          </w:p>
        </w:tc>
      </w:tr>
      <w:tr>
        <w:trPr>
          <w:trHeight w:val="115"/>
        </w:trPr>
        <w:tc>
          <w:tcPr>
            <w:tcW w:w="5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59,303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 earnings related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assets still held at September 30, 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(1,727)(b)</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2012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4"/>
                <w:szCs w:val="14"/>
                <w:color w:val="auto"/>
                <w:w w:val="92"/>
              </w:rPr>
              <w:t>Investment securities available for sale</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400"/>
              <w:spacing w:after="0" w:line="123" w:lineRule="exact"/>
              <w:rPr>
                <w:sz w:val="20"/>
                <w:szCs w:val="20"/>
                <w:color w:val="auto"/>
              </w:rPr>
            </w:pPr>
            <w:r>
              <w:rPr>
                <w:rFonts w:ascii="Arial" w:cs="Arial" w:eastAsia="Arial" w:hAnsi="Arial"/>
                <w:sz w:val="14"/>
                <w:szCs w:val="14"/>
                <w:color w:val="auto"/>
                <w:w w:val="95"/>
              </w:rPr>
              <w:t>Privately issued</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debt</w:t>
            </w:r>
          </w:p>
        </w:tc>
        <w:tc>
          <w:tcPr>
            <w:tcW w:w="16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obligations</w:t>
            </w:r>
          </w:p>
        </w:tc>
        <w:tc>
          <w:tcPr>
            <w:tcW w:w="16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9"/>
              </w:rPr>
              <w:t>(in thousands)</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1,080,519</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55,098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34,051</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(5,672)(a)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84,864(b)</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40,603 (e)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3,297 (e)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(48,570)(d)</w:t>
            </w:r>
          </w:p>
        </w:tc>
        <w:tc>
          <w:tcPr>
            <w:tcW w:w="0" w:type="dxa"/>
            <w:vAlign w:val="bottom"/>
          </w:tcPr>
          <w:p>
            <w:pPr>
              <w:spacing w:after="0"/>
              <w:rPr>
                <w:sz w:val="1"/>
                <w:szCs w:val="1"/>
                <w:color w:val="auto"/>
              </w:rPr>
            </w:pPr>
          </w:p>
        </w:tc>
      </w:tr>
      <w:tr>
        <w:trPr>
          <w:trHeight w:val="115"/>
        </w:trPr>
        <w:tc>
          <w:tcPr>
            <w:tcW w:w="5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1,065,636</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57,201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70,345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w w:val="97"/>
              </w:rPr>
              <w:t>Changes in unrealized gains (losses) included in earnings related to</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assets still held at September 30, 2012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(5,672)(a)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63,357(b)</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600"/>
              <w:spacing w:after="0"/>
              <w:rPr>
                <w:sz w:val="20"/>
                <w:szCs w:val="20"/>
                <w:color w:val="auto"/>
              </w:rPr>
            </w:pPr>
            <w:r>
              <w:rPr>
                <w:rFonts w:ascii="Arial" w:cs="Arial" w:eastAsia="Arial" w:hAnsi="Arial"/>
                <w:sz w:val="18"/>
                <w:szCs w:val="18"/>
                <w:color w:val="auto"/>
              </w:rPr>
              <w:t>- 44 -</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2013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tcPr>
          <w:p>
            <w:pPr>
              <w:jc w:val="right"/>
              <w:ind w:right="520"/>
              <w:spacing w:after="0"/>
              <w:rPr>
                <w:sz w:val="20"/>
                <w:szCs w:val="20"/>
                <w:color w:val="auto"/>
              </w:rPr>
            </w:pPr>
            <w:r>
              <w:rPr>
                <w:rFonts w:ascii="Arial" w:cs="Arial" w:eastAsia="Arial" w:hAnsi="Arial"/>
                <w:sz w:val="14"/>
                <w:szCs w:val="14"/>
                <w:color w:val="auto"/>
                <w:w w:val="92"/>
              </w:rPr>
              <w:t>Investment securities available for sale</w:t>
            </w:r>
          </w:p>
        </w:tc>
        <w:tc>
          <w:tcPr>
            <w:tcW w:w="1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00"/>
              <w:spacing w:after="0" w:line="123" w:lineRule="exact"/>
              <w:rPr>
                <w:sz w:val="20"/>
                <w:szCs w:val="20"/>
                <w:color w:val="auto"/>
              </w:rPr>
            </w:pPr>
            <w:r>
              <w:rPr>
                <w:rFonts w:ascii="Arial" w:cs="Arial" w:eastAsia="Arial" w:hAnsi="Arial"/>
                <w:sz w:val="14"/>
                <w:szCs w:val="14"/>
                <w:color w:val="auto"/>
                <w:w w:val="97"/>
              </w:rPr>
              <w:t>Privately issued</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7"/>
              </w:rPr>
              <w:t>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color w:val="auto"/>
                <w:w w:val="95"/>
              </w:rPr>
              <w:t>obligations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9"/>
              </w:rPr>
              <w:t>(in thousands)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1,023,886</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61,869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(56,102)(a)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83,252(b)</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116,984 (e)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(324)(e)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(978,608)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(102,344)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(118,036)(d)</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60" w:type="dxa"/>
            <w:vAlign w:val="bottom"/>
          </w:tcPr>
          <w:p>
            <w:pPr>
              <w:spacing w:after="0"/>
              <w:rPr>
                <w:sz w:val="20"/>
                <w:szCs w:val="20"/>
                <w:color w:val="auto"/>
              </w:rPr>
            </w:pPr>
            <w:r>
              <w:rPr>
                <w:rFonts w:ascii="Arial" w:cs="Arial" w:eastAsia="Arial" w:hAnsi="Arial"/>
                <w:sz w:val="18"/>
                <w:szCs w:val="18"/>
                <w:color w:val="auto"/>
              </w:rPr>
              <w:t>Balance – September 30, 2013</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3,816</w:t>
            </w:r>
          </w:p>
        </w:tc>
        <w:tc>
          <w:tcPr>
            <w:tcW w:w="3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59,303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unrealized gains included in earnings related to assets still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at September 30, 2013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925 (b)</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2012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4"/>
                <w:szCs w:val="14"/>
                <w:color w:val="auto"/>
                <w:w w:val="92"/>
              </w:rPr>
              <w:t>Investment securities available for sale</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Borders>
              <w:top w:val="single" w:sz="8" w:color="auto"/>
            </w:tcBorders>
            <w:gridSpan w:val="3"/>
          </w:tcPr>
          <w:p>
            <w:pPr>
              <w:jc w:val="right"/>
              <w:ind w:right="400"/>
              <w:spacing w:after="0" w:line="123" w:lineRule="exact"/>
              <w:rPr>
                <w:sz w:val="20"/>
                <w:szCs w:val="20"/>
                <w:color w:val="auto"/>
              </w:rPr>
            </w:pPr>
            <w:r>
              <w:rPr>
                <w:rFonts w:ascii="Arial" w:cs="Arial" w:eastAsia="Arial" w:hAnsi="Arial"/>
                <w:sz w:val="14"/>
                <w:szCs w:val="14"/>
                <w:color w:val="auto"/>
                <w:w w:val="95"/>
              </w:rPr>
              <w:t>Privately issued</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Collateralized</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debt</w:t>
            </w:r>
          </w:p>
        </w:tc>
        <w:tc>
          <w:tcPr>
            <w:tcW w:w="16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obligations</w:t>
            </w:r>
          </w:p>
        </w:tc>
        <w:tc>
          <w:tcPr>
            <w:tcW w:w="16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9"/>
              </w:rPr>
              <w:t>(in thousands)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1,151,285</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(27,976)(a)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157,381(b)</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89,397 (e)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7,008 (e)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(93,959)(d)</w:t>
            </w:r>
          </w:p>
        </w:tc>
        <w:tc>
          <w:tcPr>
            <w:tcW w:w="0" w:type="dxa"/>
            <w:vAlign w:val="bottom"/>
          </w:tcPr>
          <w:p>
            <w:pPr>
              <w:spacing w:after="0"/>
              <w:rPr>
                <w:sz w:val="1"/>
                <w:szCs w:val="1"/>
                <w:color w:val="auto"/>
              </w:rPr>
            </w:pPr>
          </w:p>
        </w:tc>
      </w:tr>
      <w:tr>
        <w:trPr>
          <w:trHeight w:val="115"/>
        </w:trPr>
        <w:tc>
          <w:tcPr>
            <w:tcW w:w="5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1,065,636</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70,345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w w:val="97"/>
              </w:rPr>
              <w:t>Changes in unrealized gains (losses) included in earnings related to</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assets still held at September 30, 2012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(27,976)(a)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70,187(b)</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600"/>
              <w:spacing w:after="0"/>
              <w:rPr>
                <w:sz w:val="20"/>
                <w:szCs w:val="20"/>
                <w:color w:val="auto"/>
              </w:rPr>
            </w:pPr>
            <w:r>
              <w:rPr>
                <w:rFonts w:ascii="Arial" w:cs="Arial" w:eastAsia="Arial" w:hAnsi="Arial"/>
                <w:sz w:val="18"/>
                <w:szCs w:val="18"/>
                <w:color w:val="auto"/>
              </w:rPr>
              <w:t>- 45 -</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loss or as gain (loss) on bank investment securities in the consolidated statement of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180" w:hanging="452"/>
        <w:spacing w:after="0" w:line="250" w:lineRule="auto"/>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nine-month period ended September 30, 2012, the Company recognized OTTI losses related to certain mortgage-backed securities of $5 million.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as in the case of available-for-sale privately issued mortgage-backed securities, were weighted and averaged when estimating fair value. Due to the presence of significant unobservable inputs that valuation was classified as Level 3. The amortized cost, fair value and impact on the Company’s financial statements of the modeling described herein were not material.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80% at September 30, 2013. As these discounts are not readily observable and are considered significant, the valuations have been classified as Level 3. Loans subject to nonrecurring fair value measurement were $247 million at September 30, 2013, ($163 million and $84 million of which were classified as Level 2 and Level 3, respectively) and $320 million at September 30, 2012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($221 million and $99 million of which were classified as Level 2 and Level 3, respectively). Changes in fair value recognized for partial charge-offs of loans and loan impairment reserves on loans held by the Company on September 30, 2013 were decreases of $33 million and $82 million for the three months and nine months ended September 30, 2013, respectively. Changes in fair value recognized for partial charge-offs of loans and loan impairment reserves on loans held by the Company on September 30, 2012 were decreases of $17 million and $47 million for the three- and nine-month periods ended September 30, 2012,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$20 million and $51 million at September 30, 2013 and September 30, 2012, respectively. Changes in fair value recognized for those foreclosed assets held by the Company were not material during the three- and nine-month periods ended September 30, 2013 and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September 30, 2013 and December 31, 2012.</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color w:val="auto"/>
              </w:rPr>
              <w:t>Valuation</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2"/>
              </w:rPr>
              <w:t>Unobservable</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500"/>
              <w:spacing w:after="0" w:line="141" w:lineRule="exact"/>
              <w:rPr>
                <w:sz w:val="20"/>
                <w:szCs w:val="20"/>
                <w:color w:val="auto"/>
              </w:rPr>
            </w:pPr>
            <w:r>
              <w:rPr>
                <w:rFonts w:ascii="Arial" w:cs="Arial" w:eastAsia="Arial" w:hAnsi="Arial"/>
                <w:sz w:val="14"/>
                <w:szCs w:val="14"/>
                <w:color w:val="auto"/>
                <w:w w:val="93"/>
              </w:rPr>
              <w:t>Fair value at</w:t>
            </w:r>
          </w:p>
        </w:tc>
        <w:tc>
          <w:tcPr>
            <w:tcW w:w="1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color w:val="auto"/>
                <w:w w:val="91"/>
              </w:rPr>
              <w:t>September 30, 2013</w:t>
            </w:r>
          </w:p>
        </w:tc>
        <w:tc>
          <w:tcPr>
            <w:tcW w:w="1340" w:type="dxa"/>
            <w:vAlign w:val="bottom"/>
          </w:tcPr>
          <w:p>
            <w:pPr>
              <w:ind w:left="380"/>
              <w:spacing w:after="0"/>
              <w:rPr>
                <w:sz w:val="20"/>
                <w:szCs w:val="20"/>
                <w:color w:val="auto"/>
              </w:rPr>
            </w:pPr>
            <w:r>
              <w:rPr>
                <w:rFonts w:ascii="Arial" w:cs="Arial" w:eastAsia="Arial" w:hAnsi="Arial"/>
                <w:sz w:val="14"/>
                <w:szCs w:val="14"/>
                <w:color w:val="auto"/>
              </w:rPr>
              <w:t>technique</w:t>
            </w:r>
          </w:p>
        </w:tc>
        <w:tc>
          <w:tcPr>
            <w:tcW w:w="28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input/assumptions</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color w:val="auto"/>
                <w:w w:val="92"/>
              </w:rPr>
              <w:t>(in thousands)</w:t>
            </w:r>
          </w:p>
        </w:tc>
        <w:tc>
          <w:tcPr>
            <w:tcW w:w="3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82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5"/>
              </w:rPr>
              <w:t>Two independent</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3,816</w:t>
            </w:r>
          </w:p>
        </w:tc>
        <w:tc>
          <w:tcPr>
            <w:tcW w:w="1340" w:type="dxa"/>
            <w:vAlign w:val="bottom"/>
          </w:tcPr>
          <w:p>
            <w:pPr>
              <w:spacing w:after="0"/>
              <w:rPr>
                <w:sz w:val="20"/>
                <w:szCs w:val="20"/>
                <w:color w:val="auto"/>
              </w:rPr>
            </w:pPr>
            <w:r>
              <w:rPr>
                <w:rFonts w:ascii="Arial" w:cs="Arial" w:eastAsia="Arial" w:hAnsi="Arial"/>
                <w:sz w:val="18"/>
                <w:szCs w:val="18"/>
                <w:color w:val="auto"/>
              </w:rPr>
              <w:t>price quotes</w:t>
            </w:r>
          </w:p>
        </w:tc>
        <w:tc>
          <w:tcPr>
            <w:tcW w:w="280" w:type="dxa"/>
            <w:vAlign w:val="bottom"/>
          </w:tcPr>
          <w:p>
            <w:pPr>
              <w:spacing w:after="0"/>
              <w:rPr>
                <w:sz w:val="20"/>
                <w:szCs w:val="20"/>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Discounted cash</w:t>
            </w:r>
          </w:p>
        </w:tc>
        <w:tc>
          <w:tcPr>
            <w:tcW w:w="170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Probability of</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59,303</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flow</w:t>
            </w: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default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13%-55% (39%)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Loss severity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310"/>
        </w:trPr>
        <w:tc>
          <w:tcPr>
            <w:tcW w:w="4820" w:type="dxa"/>
            <w:vAlign w:val="bottom"/>
            <w:gridSpan w:val="4"/>
          </w:tcPr>
          <w:p>
            <w:pPr>
              <w:spacing w:after="0"/>
              <w:rPr>
                <w:sz w:val="20"/>
                <w:szCs w:val="20"/>
                <w:color w:val="auto"/>
              </w:rPr>
            </w:pPr>
            <w:r>
              <w:rPr>
                <w:rFonts w:ascii="Arial" w:cs="Arial" w:eastAsia="Arial" w:hAnsi="Arial"/>
                <w:sz w:val="18"/>
                <w:szCs w:val="18"/>
                <w:color w:val="auto"/>
              </w:rPr>
              <w:t>Net other assets (liabilities)(a)</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Discounted cash</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Commitment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13,075</w:t>
            </w:r>
          </w:p>
        </w:tc>
        <w:tc>
          <w:tcPr>
            <w:tcW w:w="1340" w:type="dxa"/>
            <w:vAlign w:val="bottom"/>
          </w:tcPr>
          <w:p>
            <w:pPr>
              <w:spacing w:after="0"/>
              <w:rPr>
                <w:sz w:val="20"/>
                <w:szCs w:val="20"/>
                <w:color w:val="auto"/>
              </w:rPr>
            </w:pPr>
            <w:r>
              <w:rPr>
                <w:rFonts w:ascii="Arial" w:cs="Arial" w:eastAsia="Arial" w:hAnsi="Arial"/>
                <w:sz w:val="18"/>
                <w:szCs w:val="18"/>
                <w:color w:val="auto"/>
              </w:rPr>
              <w:t>flow</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expirations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0%-91% (21%)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96"/>
              <w:spacing w:after="0"/>
              <w:rPr>
                <w:sz w:val="20"/>
                <w:szCs w:val="20"/>
                <w:color w:val="auto"/>
              </w:rPr>
            </w:pPr>
            <w:r>
              <w:rPr>
                <w:rFonts w:ascii="Arial" w:cs="Arial" w:eastAsia="Arial" w:hAnsi="Arial"/>
                <w:sz w:val="18"/>
                <w:szCs w:val="18"/>
                <w:color w:val="auto"/>
                <w:w w:val="90"/>
              </w:rPr>
              <w:t>- 47 -</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ind w:left="420"/>
              <w:spacing w:after="0"/>
              <w:rPr>
                <w:sz w:val="20"/>
                <w:szCs w:val="20"/>
                <w:color w:val="auto"/>
              </w:rPr>
            </w:pPr>
            <w:r>
              <w:rPr>
                <w:rFonts w:ascii="Arial" w:cs="Arial" w:eastAsia="Arial" w:hAnsi="Arial"/>
                <w:sz w:val="14"/>
                <w:szCs w:val="14"/>
                <w:color w:val="auto"/>
              </w:rPr>
              <w:t>Valuation</w:t>
            </w:r>
          </w:p>
        </w:tc>
        <w:tc>
          <w:tcPr>
            <w:tcW w:w="1420" w:type="dxa"/>
            <w:vAlign w:val="bottom"/>
            <w:vMerge w:val="restart"/>
          </w:tcPr>
          <w:p>
            <w:pPr>
              <w:ind w:left="360"/>
              <w:spacing w:after="0"/>
              <w:rPr>
                <w:sz w:val="20"/>
                <w:szCs w:val="20"/>
                <w:color w:val="auto"/>
              </w:rPr>
            </w:pPr>
            <w:r>
              <w:rPr>
                <w:rFonts w:ascii="Arial" w:cs="Arial" w:eastAsia="Arial" w:hAnsi="Arial"/>
                <w:sz w:val="14"/>
                <w:szCs w:val="14"/>
                <w:color w:val="auto"/>
              </w:rPr>
              <w:t>Unobservable</w:t>
            </w:r>
          </w:p>
        </w:tc>
        <w:tc>
          <w:tcPr>
            <w:tcW w:w="1340" w:type="dxa"/>
            <w:vAlign w:val="bottom"/>
          </w:tcPr>
          <w:p>
            <w:pPr>
              <w:jc w:val="center"/>
              <w:ind w:left="37"/>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line="141" w:lineRule="exact"/>
              <w:rPr>
                <w:sz w:val="20"/>
                <w:szCs w:val="20"/>
                <w:color w:val="auto"/>
              </w:rPr>
            </w:pPr>
            <w:r>
              <w:rPr>
                <w:rFonts w:ascii="Arial" w:cs="Arial" w:eastAsia="Arial" w:hAnsi="Arial"/>
                <w:sz w:val="14"/>
                <w:szCs w:val="14"/>
                <w:color w:val="auto"/>
                <w:w w:val="93"/>
              </w:rPr>
              <w:t>Fair value at</w:t>
            </w:r>
          </w:p>
        </w:tc>
        <w:tc>
          <w:tcPr>
            <w:tcW w:w="13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40" w:type="dxa"/>
            <w:vAlign w:val="bottom"/>
          </w:tcPr>
          <w:p>
            <w:pPr>
              <w:jc w:val="center"/>
              <w:ind w:left="37"/>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December 31, 2012</w:t>
            </w:r>
          </w:p>
        </w:tc>
        <w:tc>
          <w:tcPr>
            <w:tcW w:w="1380" w:type="dxa"/>
            <w:vAlign w:val="bottom"/>
          </w:tcPr>
          <w:p>
            <w:pPr>
              <w:ind w:left="420"/>
              <w:spacing w:after="0"/>
              <w:rPr>
                <w:sz w:val="20"/>
                <w:szCs w:val="20"/>
                <w:color w:val="auto"/>
              </w:rPr>
            </w:pPr>
            <w:r>
              <w:rPr>
                <w:rFonts w:ascii="Arial" w:cs="Arial" w:eastAsia="Arial" w:hAnsi="Arial"/>
                <w:sz w:val="14"/>
                <w:szCs w:val="14"/>
                <w:color w:val="auto"/>
              </w:rPr>
              <w:t>technique</w:t>
            </w:r>
          </w:p>
        </w:tc>
        <w:tc>
          <w:tcPr>
            <w:tcW w:w="1420" w:type="dxa"/>
            <w:vAlign w:val="bottom"/>
          </w:tcPr>
          <w:p>
            <w:pPr>
              <w:ind w:left="240"/>
              <w:spacing w:after="0"/>
              <w:rPr>
                <w:sz w:val="20"/>
                <w:szCs w:val="20"/>
                <w:color w:val="auto"/>
              </w:rPr>
            </w:pPr>
            <w:r>
              <w:rPr>
                <w:rFonts w:ascii="Arial" w:cs="Arial" w:eastAsia="Arial" w:hAnsi="Arial"/>
                <w:sz w:val="14"/>
                <w:szCs w:val="14"/>
                <w:color w:val="auto"/>
              </w:rPr>
              <w:t>input/assumptions</w:t>
            </w:r>
          </w:p>
        </w:tc>
        <w:tc>
          <w:tcPr>
            <w:tcW w:w="1340" w:type="dxa"/>
            <w:vAlign w:val="bottom"/>
          </w:tcPr>
          <w:p>
            <w:pPr>
              <w:jc w:val="center"/>
              <w:ind w:left="37"/>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37"/>
              <w:spacing w:after="0" w:line="142" w:lineRule="exact"/>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Recurring fair value measurements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060" w:type="dxa"/>
            <w:vAlign w:val="bottom"/>
            <w:gridSpan w:val="4"/>
          </w:tcPr>
          <w:p>
            <w:pPr>
              <w:spacing w:after="0"/>
              <w:rPr>
                <w:sz w:val="20"/>
                <w:szCs w:val="20"/>
                <w:color w:val="auto"/>
              </w:rPr>
            </w:pPr>
            <w:r>
              <w:rPr>
                <w:rFonts w:ascii="Arial" w:cs="Arial" w:eastAsia="Arial" w:hAnsi="Arial"/>
                <w:sz w:val="18"/>
                <w:szCs w:val="18"/>
                <w:color w:val="auto"/>
              </w:rPr>
              <w:t>Privately issued mortgage–backed securities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Discounted cash</w:t>
            </w:r>
          </w:p>
        </w:tc>
        <w:tc>
          <w:tcPr>
            <w:tcW w:w="1420" w:type="dxa"/>
            <w:vAlign w:val="bottom"/>
          </w:tcPr>
          <w:p>
            <w:pPr>
              <w:ind w:left="200"/>
              <w:spacing w:after="0"/>
              <w:rPr>
                <w:sz w:val="20"/>
                <w:szCs w:val="20"/>
                <w:color w:val="auto"/>
              </w:rPr>
            </w:pPr>
            <w:r>
              <w:rPr>
                <w:rFonts w:ascii="Arial" w:cs="Arial" w:eastAsia="Arial" w:hAnsi="Arial"/>
                <w:sz w:val="18"/>
                <w:szCs w:val="18"/>
                <w:color w:val="auto"/>
              </w:rPr>
              <w:t>Probability of</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1,023,886</w:t>
            </w:r>
          </w:p>
        </w:tc>
        <w:tc>
          <w:tcPr>
            <w:tcW w:w="28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flow</w:t>
            </w:r>
          </w:p>
        </w:tc>
        <w:tc>
          <w:tcPr>
            <w:tcW w:w="1420" w:type="dxa"/>
            <w:vAlign w:val="bottom"/>
          </w:tcPr>
          <w:p>
            <w:pPr>
              <w:ind w:left="200"/>
              <w:spacing w:after="0"/>
              <w:rPr>
                <w:sz w:val="20"/>
                <w:szCs w:val="20"/>
                <w:color w:val="auto"/>
              </w:rPr>
            </w:pPr>
            <w:r>
              <w:rPr>
                <w:rFonts w:ascii="Arial" w:cs="Arial" w:eastAsia="Arial" w:hAnsi="Arial"/>
                <w:sz w:val="18"/>
                <w:szCs w:val="18"/>
                <w:color w:val="auto"/>
              </w:rPr>
              <w:t>default</w:t>
            </w:r>
          </w:p>
        </w:tc>
        <w:tc>
          <w:tcPr>
            <w:tcW w:w="1340" w:type="dxa"/>
            <w:vAlign w:val="bottom"/>
          </w:tcPr>
          <w:p>
            <w:pPr>
              <w:jc w:val="center"/>
              <w:ind w:left="57"/>
              <w:spacing w:after="0"/>
              <w:rPr>
                <w:sz w:val="20"/>
                <w:szCs w:val="20"/>
                <w:color w:val="auto"/>
              </w:rPr>
            </w:pPr>
            <w:r>
              <w:rPr>
                <w:rFonts w:ascii="Arial" w:cs="Arial" w:eastAsia="Arial" w:hAnsi="Arial"/>
                <w:sz w:val="18"/>
                <w:szCs w:val="18"/>
                <w:color w:val="auto"/>
                <w:w w:val="92"/>
              </w:rPr>
              <w:t>1%-40% (19%)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rPr>
              <w:t>Loss severity</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93"/>
              </w:rPr>
              <w:t>32%-82% (51%)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Discounted cash</w:t>
            </w:r>
          </w:p>
        </w:tc>
        <w:tc>
          <w:tcPr>
            <w:tcW w:w="1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Probability of</w:t>
            </w: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61,869</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flow</w:t>
            </w:r>
          </w:p>
        </w:tc>
        <w:tc>
          <w:tcPr>
            <w:tcW w:w="1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default</w:t>
            </w:r>
          </w:p>
        </w:tc>
        <w:tc>
          <w:tcPr>
            <w:tcW w:w="134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3"/>
              </w:rPr>
              <w:t>22%-69% (47%)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severity</w:t>
            </w:r>
          </w:p>
        </w:tc>
        <w:tc>
          <w:tcPr>
            <w:tcW w:w="134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310"/>
        </w:trPr>
        <w:tc>
          <w:tcPr>
            <w:tcW w:w="5060" w:type="dxa"/>
            <w:vAlign w:val="bottom"/>
            <w:gridSpan w:val="4"/>
          </w:tcPr>
          <w:p>
            <w:pPr>
              <w:spacing w:after="0"/>
              <w:rPr>
                <w:sz w:val="20"/>
                <w:szCs w:val="20"/>
                <w:color w:val="auto"/>
              </w:rPr>
            </w:pPr>
            <w:r>
              <w:rPr>
                <w:rFonts w:ascii="Arial" w:cs="Arial" w:eastAsia="Arial" w:hAnsi="Arial"/>
                <w:sz w:val="18"/>
                <w:szCs w:val="18"/>
                <w:color w:val="auto"/>
              </w:rPr>
              <w:t>Net other assets (liabilities)(a)</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Discounted cash</w:t>
            </w:r>
          </w:p>
        </w:tc>
        <w:tc>
          <w:tcPr>
            <w:tcW w:w="1420" w:type="dxa"/>
            <w:vAlign w:val="bottom"/>
          </w:tcPr>
          <w:p>
            <w:pPr>
              <w:ind w:left="200"/>
              <w:spacing w:after="0"/>
              <w:rPr>
                <w:sz w:val="20"/>
                <w:szCs w:val="20"/>
                <w:color w:val="auto"/>
              </w:rPr>
            </w:pPr>
            <w:r>
              <w:rPr>
                <w:rFonts w:ascii="Arial" w:cs="Arial" w:eastAsia="Arial" w:hAnsi="Arial"/>
                <w:sz w:val="18"/>
                <w:szCs w:val="18"/>
                <w:color w:val="auto"/>
              </w:rPr>
              <w:t>Commitment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47,859</w:t>
            </w:r>
          </w:p>
        </w:tc>
        <w:tc>
          <w:tcPr>
            <w:tcW w:w="1380" w:type="dxa"/>
            <w:vAlign w:val="bottom"/>
          </w:tcPr>
          <w:p>
            <w:pPr>
              <w:spacing w:after="0"/>
              <w:rPr>
                <w:sz w:val="20"/>
                <w:szCs w:val="20"/>
                <w:color w:val="auto"/>
              </w:rPr>
            </w:pPr>
            <w:r>
              <w:rPr>
                <w:rFonts w:ascii="Arial" w:cs="Arial" w:eastAsia="Arial" w:hAnsi="Arial"/>
                <w:sz w:val="18"/>
                <w:szCs w:val="18"/>
                <w:color w:val="auto"/>
              </w:rPr>
              <w:t>flow</w:t>
            </w:r>
          </w:p>
        </w:tc>
        <w:tc>
          <w:tcPr>
            <w:tcW w:w="1420" w:type="dxa"/>
            <w:vAlign w:val="bottom"/>
          </w:tcPr>
          <w:p>
            <w:pPr>
              <w:ind w:left="200"/>
              <w:spacing w:after="0"/>
              <w:rPr>
                <w:sz w:val="20"/>
                <w:szCs w:val="20"/>
                <w:color w:val="auto"/>
              </w:rPr>
            </w:pPr>
            <w:r>
              <w:rPr>
                <w:rFonts w:ascii="Arial" w:cs="Arial" w:eastAsia="Arial" w:hAnsi="Arial"/>
                <w:sz w:val="18"/>
                <w:szCs w:val="18"/>
                <w:color w:val="auto"/>
              </w:rPr>
              <w:t>expirations</w:t>
            </w:r>
          </w:p>
        </w:tc>
        <w:tc>
          <w:tcPr>
            <w:tcW w:w="1340" w:type="dxa"/>
            <w:vAlign w:val="bottom"/>
          </w:tcPr>
          <w:p>
            <w:pPr>
              <w:jc w:val="center"/>
              <w:ind w:left="57"/>
              <w:spacing w:after="0"/>
              <w:rPr>
                <w:sz w:val="20"/>
                <w:szCs w:val="20"/>
                <w:color w:val="auto"/>
              </w:rPr>
            </w:pPr>
            <w:r>
              <w:rPr>
                <w:rFonts w:ascii="Arial" w:cs="Arial" w:eastAsia="Arial" w:hAnsi="Arial"/>
                <w:sz w:val="18"/>
                <w:szCs w:val="18"/>
                <w:color w:val="auto"/>
                <w:w w:val="92"/>
              </w:rPr>
              <w:t>0%-69% (20%)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backed by trust preferred securities would generally result in a lower (higher) fair value measurement.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1"/>
              </w:rPr>
              <w:t>September 30, 2013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2,059,753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2,059,753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1,992,949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66,804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1,925,811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1,925,811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371,370</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371,370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48,344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8,309,773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8,268,045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7,945,975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17,911,149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17,685,646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17,685,646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26,345,267</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26,256,932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151,690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26,105,242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9,228,003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9,198,681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5,757,491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3,441,190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10,174,623</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10,151,004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10,151,004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(916,370)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62,742,672</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63,292,263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5,909,181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57,383,082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234,208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(24,150,771)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(24,150,771)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(24,150,771)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(38,253,417)</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(38,253,417)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(38,253,417)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(3,831,443)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(3,853,552)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(3,853,552)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(316,510)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(316,510)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(316,510)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(246,019)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(5,121,326)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(5,257,947)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(5,257,947)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(261,449)</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(261,449)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(261,449)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(114,048)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(114,048)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114,083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114,083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114,083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- 49 -</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December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1,986,615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1,986,615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1,895,423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129,945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488,966</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488,966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432,860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6,074,361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6,018,968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4,687,211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1,233,393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17,776,953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17,554,562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17,554,562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25,993,790</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25,858,482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25,658,485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11,240,837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11,381,319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8,100,915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3,280,404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7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11,559,377</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11,504,799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11,504,799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(925,860)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06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65,645,097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66,299,162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8,300,912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57,998,250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222,897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(24,240,802)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(24,240,802)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(24,240,802)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(35,763,566)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(35,763,566)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(35,763,566)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(4,562,366)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(4,584,384)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(4,584,384)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(1,044,519)</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(1,044,519)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(1,044,519)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(1,074,482)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(1,074,482)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(1,074,482)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(4,607,758)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(4,768,408)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(4,768,408)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(374,274)</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(374,274)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(374,274)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47,859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47,859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(119,464)</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(119,464)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143,179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143,179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8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color w:val="auto"/>
                <w:w w:val="91"/>
              </w:rPr>
              <w:t>September 30,</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40" w:type="dxa"/>
            <w:vAlign w:val="bottom"/>
            <w:gridSpan w:val="2"/>
          </w:tcPr>
          <w:p>
            <w:pPr>
              <w:jc w:val="right"/>
              <w:ind w:right="468"/>
              <w:spacing w:after="0"/>
              <w:rPr>
                <w:sz w:val="20"/>
                <w:szCs w:val="20"/>
                <w:color w:val="auto"/>
              </w:rPr>
            </w:pPr>
            <w:r>
              <w:rPr>
                <w:rFonts w:ascii="Arial" w:cs="Arial" w:eastAsia="Arial" w:hAnsi="Arial"/>
                <w:sz w:val="14"/>
                <w:szCs w:val="14"/>
                <w:color w:val="auto"/>
              </w:rPr>
              <w:t>2013</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Home equity lines of credit</w:t>
            </w:r>
          </w:p>
        </w:tc>
        <w:tc>
          <w:tcPr>
            <w:tcW w:w="2240" w:type="dxa"/>
            <w:vAlign w:val="bottom"/>
            <w:gridSpan w:val="2"/>
          </w:tcPr>
          <w:p>
            <w:pPr>
              <w:jc w:val="right"/>
              <w:ind w:right="148"/>
              <w:spacing w:after="0"/>
              <w:rPr>
                <w:sz w:val="20"/>
                <w:szCs w:val="20"/>
                <w:color w:val="auto"/>
              </w:rPr>
            </w:pPr>
            <w:r>
              <w:rPr>
                <w:rFonts w:ascii="Arial" w:cs="Arial" w:eastAsia="Arial" w:hAnsi="Arial"/>
                <w:sz w:val="18"/>
                <w:szCs w:val="18"/>
                <w:color w:val="auto"/>
              </w:rPr>
              <w:t>$ 6,239,383</w:t>
            </w:r>
          </w:p>
        </w:tc>
        <w:tc>
          <w:tcPr>
            <w:tcW w:w="1080" w:type="dxa"/>
            <w:vAlign w:val="bottom"/>
          </w:tcPr>
          <w:p>
            <w:pPr>
              <w:jc w:val="right"/>
              <w:spacing w:after="0"/>
              <w:rPr>
                <w:sz w:val="20"/>
                <w:szCs w:val="20"/>
                <w:color w:val="auto"/>
              </w:rPr>
            </w:pPr>
            <w:r>
              <w:rPr>
                <w:rFonts w:ascii="Arial" w:cs="Arial" w:eastAsia="Arial" w:hAnsi="Arial"/>
                <w:sz w:val="18"/>
                <w:szCs w:val="18"/>
                <w:color w:val="auto"/>
              </w:rPr>
              <w:t>6,282,615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 loans to be sold</w:t>
            </w:r>
          </w:p>
        </w:tc>
        <w:tc>
          <w:tcPr>
            <w:tcW w:w="2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60,479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commercial real estate and construction</w:t>
            </w:r>
          </w:p>
        </w:tc>
        <w:tc>
          <w:tcPr>
            <w:tcW w:w="2240" w:type="dxa"/>
            <w:vAlign w:val="bottom"/>
            <w:gridSpan w:val="2"/>
          </w:tcPr>
          <w:p>
            <w:pPr>
              <w:jc w:val="right"/>
              <w:ind w:right="148"/>
              <w:spacing w:after="0"/>
              <w:rPr>
                <w:sz w:val="20"/>
                <w:szCs w:val="20"/>
                <w:color w:val="auto"/>
              </w:rPr>
            </w:pPr>
            <w:r>
              <w:rPr>
                <w:rFonts w:ascii="Arial" w:cs="Arial" w:eastAsia="Arial" w:hAnsi="Arial"/>
                <w:sz w:val="18"/>
                <w:szCs w:val="18"/>
                <w:color w:val="auto"/>
              </w:rPr>
              <w:t>3,877,466</w:t>
            </w:r>
          </w:p>
        </w:tc>
        <w:tc>
          <w:tcPr>
            <w:tcW w:w="1080" w:type="dxa"/>
            <w:vAlign w:val="bottom"/>
          </w:tcPr>
          <w:p>
            <w:pPr>
              <w:jc w:val="right"/>
              <w:spacing w:after="0"/>
              <w:rPr>
                <w:sz w:val="20"/>
                <w:szCs w:val="20"/>
                <w:color w:val="auto"/>
              </w:rPr>
            </w:pPr>
            <w:r>
              <w:rPr>
                <w:rFonts w:ascii="Arial" w:cs="Arial" w:eastAsia="Arial" w:hAnsi="Arial"/>
                <w:sz w:val="18"/>
                <w:szCs w:val="18"/>
                <w:color w:val="auto"/>
              </w:rPr>
              <w:t>3,819,342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 loans to be sold</w:t>
            </w:r>
          </w:p>
        </w:tc>
        <w:tc>
          <w:tcPr>
            <w:tcW w:w="2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647,523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residential real estate</w:t>
            </w:r>
          </w:p>
        </w:tc>
        <w:tc>
          <w:tcPr>
            <w:tcW w:w="2240" w:type="dxa"/>
            <w:vAlign w:val="bottom"/>
            <w:gridSpan w:val="2"/>
          </w:tcPr>
          <w:p>
            <w:pPr>
              <w:jc w:val="right"/>
              <w:ind w:right="148"/>
              <w:spacing w:after="0"/>
              <w:rPr>
                <w:sz w:val="20"/>
                <w:szCs w:val="20"/>
                <w:color w:val="auto"/>
              </w:rPr>
            </w:pPr>
            <w:r>
              <w:rPr>
                <w:rFonts w:ascii="Arial" w:cs="Arial" w:eastAsia="Arial" w:hAnsi="Arial"/>
                <w:sz w:val="18"/>
                <w:szCs w:val="18"/>
                <w:color w:val="auto"/>
              </w:rPr>
              <w:t>410,647</w:t>
            </w:r>
          </w:p>
        </w:tc>
        <w:tc>
          <w:tcPr>
            <w:tcW w:w="1080" w:type="dxa"/>
            <w:vAlign w:val="bottom"/>
          </w:tcPr>
          <w:p>
            <w:pPr>
              <w:jc w:val="right"/>
              <w:spacing w:after="0"/>
              <w:rPr>
                <w:sz w:val="20"/>
                <w:szCs w:val="20"/>
                <w:color w:val="auto"/>
              </w:rPr>
            </w:pPr>
            <w:r>
              <w:rPr>
                <w:rFonts w:ascii="Arial" w:cs="Arial" w:eastAsia="Arial" w:hAnsi="Arial"/>
                <w:sz w:val="18"/>
                <w:szCs w:val="18"/>
                <w:color w:val="auto"/>
              </w:rPr>
              <w:t>445,268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other</w:t>
            </w:r>
          </w:p>
        </w:tc>
        <w:tc>
          <w:tcPr>
            <w:tcW w:w="2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10,629,010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2240" w:type="dxa"/>
            <w:vAlign w:val="bottom"/>
            <w:gridSpan w:val="2"/>
          </w:tcPr>
          <w:p>
            <w:pPr>
              <w:jc w:val="right"/>
              <w:ind w:right="148"/>
              <w:spacing w:after="0"/>
              <w:rPr>
                <w:sz w:val="20"/>
                <w:szCs w:val="20"/>
                <w:color w:val="auto"/>
              </w:rPr>
            </w:pPr>
            <w:r>
              <w:rPr>
                <w:rFonts w:ascii="Arial" w:cs="Arial" w:eastAsia="Arial" w:hAnsi="Arial"/>
                <w:sz w:val="18"/>
                <w:szCs w:val="18"/>
                <w:color w:val="auto"/>
              </w:rPr>
              <w:t>3,684,608</w:t>
            </w:r>
          </w:p>
        </w:tc>
        <w:tc>
          <w:tcPr>
            <w:tcW w:w="1080" w:type="dxa"/>
            <w:vAlign w:val="bottom"/>
          </w:tcPr>
          <w:p>
            <w:pPr>
              <w:jc w:val="right"/>
              <w:spacing w:after="0"/>
              <w:rPr>
                <w:sz w:val="20"/>
                <w:szCs w:val="20"/>
                <w:color w:val="auto"/>
              </w:rPr>
            </w:pPr>
            <w:r>
              <w:rPr>
                <w:rFonts w:ascii="Arial" w:cs="Arial" w:eastAsia="Arial" w:hAnsi="Arial"/>
                <w:sz w:val="18"/>
                <w:szCs w:val="18"/>
                <w:color w:val="auto"/>
              </w:rPr>
              <w:t>4,025,329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49,757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guarantees, indemnification contracts and other</w:t>
            </w:r>
          </w:p>
        </w:tc>
        <w:tc>
          <w:tcPr>
            <w:tcW w:w="2240" w:type="dxa"/>
            <w:vAlign w:val="bottom"/>
            <w:gridSpan w:val="2"/>
          </w:tcPr>
          <w:p>
            <w:pPr>
              <w:jc w:val="right"/>
              <w:ind w:right="148"/>
              <w:spacing w:after="0"/>
              <w:rPr>
                <w:sz w:val="20"/>
                <w:szCs w:val="20"/>
                <w:color w:val="auto"/>
              </w:rPr>
            </w:pPr>
            <w:r>
              <w:rPr>
                <w:rFonts w:ascii="Arial" w:cs="Arial" w:eastAsia="Arial" w:hAnsi="Arial"/>
                <w:sz w:val="18"/>
                <w:szCs w:val="18"/>
                <w:color w:val="auto"/>
              </w:rPr>
              <w:t>2,394,180</w:t>
            </w:r>
          </w:p>
        </w:tc>
        <w:tc>
          <w:tcPr>
            <w:tcW w:w="1080" w:type="dxa"/>
            <w:vAlign w:val="bottom"/>
          </w:tcPr>
          <w:p>
            <w:pPr>
              <w:jc w:val="right"/>
              <w:spacing w:after="0"/>
              <w:rPr>
                <w:sz w:val="20"/>
                <w:szCs w:val="20"/>
                <w:color w:val="auto"/>
              </w:rPr>
            </w:pPr>
            <w:r>
              <w:rPr>
                <w:rFonts w:ascii="Arial" w:cs="Arial" w:eastAsia="Arial" w:hAnsi="Arial"/>
                <w:sz w:val="18"/>
                <w:szCs w:val="18"/>
                <w:color w:val="auto"/>
              </w:rPr>
              <w:t>2,120,361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1,294,488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$2.2 billion at September 30, 2013 and $2.0 billion at December 31, 2012.</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in 2013 and $6 million per year from 2014 through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$46 million at September 30, 2013. Assets of subsidiaries providing reinsurance that are available to satisfy claims totaled approximately $37 million at September 30, 2013.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7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2013, management believes that any further liability arising out of the Company’s obligation to loan purchasers is not material to the Company’s consolidated financial position.</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$70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2012.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2012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rPr>
              <w:t>Three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segment</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income</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segment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revenues(a)</w:t>
            </w: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(loss)</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revenues(a)</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revenues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8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Banking</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97,221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255,498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1,561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44,040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(19,584)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25,182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(25,593)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92,505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15,241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28,454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Retail Banking</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314,273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3,351</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53,965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318,567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2,841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163,380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109,936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(31,628)</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1,150,496</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294,479</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1,108,455</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vMerge w:val="restart"/>
          </w:tcPr>
          <w:p>
            <w:pPr>
              <w:jc w:val="right"/>
              <w:ind w:right="90"/>
              <w:spacing w:after="0"/>
              <w:rPr>
                <w:sz w:val="20"/>
                <w:szCs w:val="20"/>
                <w:color w:val="auto"/>
              </w:rPr>
            </w:pPr>
            <w:r>
              <w:rPr>
                <w:rFonts w:ascii="Arial" w:cs="Arial" w:eastAsia="Arial" w:hAnsi="Arial"/>
                <w:sz w:val="18"/>
                <w:szCs w:val="18"/>
                <w:color w:val="auto"/>
              </w:rPr>
              <w:t>- 54 -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4"/>
          </w:tcPr>
          <w:p>
            <w:pPr>
              <w:spacing w:after="0"/>
              <w:rPr>
                <w:sz w:val="20"/>
                <w:szCs w:val="20"/>
                <w:color w:val="auto"/>
              </w:rPr>
            </w:pPr>
            <w:r>
              <w:rPr>
                <w:rFonts w:ascii="Arial" w:cs="Arial" w:eastAsia="Arial" w:hAnsi="Arial"/>
                <w:sz w:val="14"/>
                <w:szCs w:val="14"/>
                <w:color w:val="auto"/>
              </w:rPr>
              <w:t>Nine months ended 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5"/>
          </w:tcPr>
          <w:p>
            <w:pPr>
              <w:ind w:left="140"/>
              <w:spacing w:after="0" w:line="123" w:lineRule="exact"/>
              <w:rPr>
                <w:sz w:val="20"/>
                <w:szCs w:val="20"/>
                <w:color w:val="auto"/>
              </w:rPr>
            </w:pPr>
            <w:r>
              <w:rPr>
                <w:rFonts w:ascii="Arial" w:cs="Arial" w:eastAsia="Arial" w:hAnsi="Arial"/>
                <w:sz w:val="14"/>
                <w:szCs w:val="14"/>
                <w:color w:val="auto"/>
              </w:rPr>
              <w:t>Inter-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center"/>
              <w:ind w:right="68"/>
              <w:spacing w:after="0" w:line="123" w:lineRule="exact"/>
              <w:rPr>
                <w:sz w:val="20"/>
                <w:szCs w:val="20"/>
                <w:color w:val="auto"/>
              </w:rPr>
            </w:pPr>
            <w:r>
              <w:rPr>
                <w:rFonts w:ascii="Arial" w:cs="Arial" w:eastAsia="Arial" w:hAnsi="Arial"/>
                <w:sz w:val="14"/>
                <w:szCs w:val="14"/>
                <w:color w:val="auto"/>
                <w:w w:val="91"/>
              </w:rPr>
              <w:t>Net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78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segment</w:t>
            </w:r>
          </w:p>
        </w:tc>
        <w:tc>
          <w:tcPr>
            <w:tcW w:w="40" w:type="dxa"/>
            <w:vAlign w:val="bottom"/>
          </w:tcPr>
          <w:p>
            <w:pPr>
              <w:spacing w:after="0"/>
              <w:rPr>
                <w:sz w:val="12"/>
                <w:szCs w:val="12"/>
                <w:color w:val="auto"/>
              </w:rPr>
            </w:pPr>
          </w:p>
        </w:tc>
        <w:tc>
          <w:tcPr>
            <w:tcW w:w="66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7"/>
              </w:rPr>
              <w:t>income</w:t>
            </w:r>
          </w:p>
        </w:tc>
        <w:tc>
          <w:tcPr>
            <w:tcW w:w="220" w:type="dxa"/>
            <w:vAlign w:val="bottom"/>
          </w:tcPr>
          <w:p>
            <w:pPr>
              <w:spacing w:after="0"/>
              <w:rPr>
                <w:sz w:val="12"/>
                <w:szCs w:val="12"/>
                <w:color w:val="auto"/>
              </w:rPr>
            </w:pPr>
          </w:p>
        </w:tc>
        <w:tc>
          <w:tcPr>
            <w:tcW w:w="8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revenues(a)</w:t>
            </w:r>
          </w:p>
        </w:tc>
        <w:tc>
          <w:tcPr>
            <w:tcW w:w="780" w:type="dxa"/>
            <w:vAlign w:val="bottom"/>
            <w:gridSpan w:val="5"/>
          </w:tcPr>
          <w:p>
            <w:pPr>
              <w:ind w:left="40"/>
              <w:spacing w:after="0"/>
              <w:rPr>
                <w:sz w:val="20"/>
                <w:szCs w:val="20"/>
                <w:color w:val="auto"/>
              </w:rPr>
            </w:pPr>
            <w:r>
              <w:rPr>
                <w:rFonts w:ascii="Arial" w:cs="Arial" w:eastAsia="Arial" w:hAnsi="Arial"/>
                <w:sz w:val="14"/>
                <w:szCs w:val="14"/>
                <w:color w:val="auto"/>
              </w:rPr>
              <w:t>revenues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(loss)</w:t>
            </w:r>
          </w:p>
        </w:tc>
        <w:tc>
          <w:tcPr>
            <w:tcW w:w="22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revenues(a)</w:t>
            </w:r>
          </w:p>
        </w:tc>
        <w:tc>
          <w:tcPr>
            <w:tcW w:w="14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9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319,791</w:t>
            </w:r>
          </w:p>
        </w:tc>
        <w:tc>
          <w:tcPr>
            <w:tcW w:w="78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3,750</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89,675</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335,475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760,074</w:t>
            </w:r>
          </w:p>
        </w:tc>
        <w:tc>
          <w:tcPr>
            <w:tcW w:w="780" w:type="dxa"/>
            <w:vAlign w:val="bottom"/>
            <w:gridSpan w:val="5"/>
          </w:tcPr>
          <w:p>
            <w:pPr>
              <w:jc w:val="right"/>
              <w:ind w:right="88"/>
              <w:spacing w:after="0"/>
              <w:rPr>
                <w:sz w:val="20"/>
                <w:szCs w:val="20"/>
                <w:color w:val="auto"/>
              </w:rPr>
            </w:pPr>
            <w:r>
              <w:rPr>
                <w:rFonts w:ascii="Arial" w:cs="Arial" w:eastAsia="Arial" w:hAnsi="Arial"/>
                <w:sz w:val="18"/>
                <w:szCs w:val="18"/>
                <w:color w:val="auto"/>
              </w:rPr>
              <w:t>4,048</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291,828</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741,714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524,160</w:t>
            </w:r>
          </w:p>
        </w:tc>
        <w:tc>
          <w:tcPr>
            <w:tcW w:w="78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2,505</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245,826</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491,433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41,972</w:t>
            </w:r>
          </w:p>
        </w:tc>
        <w:tc>
          <w:tcPr>
            <w:tcW w:w="780" w:type="dxa"/>
            <w:vAlign w:val="bottom"/>
            <w:gridSpan w:val="5"/>
          </w:tcPr>
          <w:p>
            <w:pPr>
              <w:jc w:val="right"/>
              <w:ind w:right="28"/>
              <w:spacing w:after="0"/>
              <w:rPr>
                <w:sz w:val="20"/>
                <w:szCs w:val="20"/>
                <w:color w:val="auto"/>
              </w:rPr>
            </w:pPr>
            <w:r>
              <w:rPr>
                <w:rFonts w:ascii="Arial" w:cs="Arial" w:eastAsia="Arial" w:hAnsi="Arial"/>
                <w:sz w:val="18"/>
                <w:szCs w:val="18"/>
                <w:color w:val="auto"/>
                <w:w w:val="98"/>
              </w:rPr>
              <w:t>(38,200)</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18,992</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(11,162)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(60,990)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324,168</w:t>
            </w:r>
          </w:p>
        </w:tc>
        <w:tc>
          <w:tcPr>
            <w:tcW w:w="78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55,528</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81,235</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341,699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100,350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898,295</w:t>
            </w:r>
          </w:p>
        </w:tc>
        <w:tc>
          <w:tcPr>
            <w:tcW w:w="780" w:type="dxa"/>
            <w:vAlign w:val="bottom"/>
            <w:gridSpan w:val="5"/>
          </w:tcPr>
          <w:p>
            <w:pPr>
              <w:jc w:val="right"/>
              <w:ind w:right="88"/>
              <w:spacing w:after="0"/>
              <w:rPr>
                <w:sz w:val="20"/>
                <w:szCs w:val="20"/>
                <w:color w:val="auto"/>
              </w:rPr>
            </w:pPr>
            <w:r>
              <w:rPr>
                <w:rFonts w:ascii="Arial" w:cs="Arial" w:eastAsia="Arial" w:hAnsi="Arial"/>
                <w:sz w:val="18"/>
                <w:szCs w:val="18"/>
                <w:color w:val="auto"/>
              </w:rPr>
              <w:t>10,206</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157,815</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939,409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557,244</w:t>
            </w:r>
          </w:p>
        </w:tc>
        <w:tc>
          <w:tcPr>
            <w:tcW w:w="78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w w:val="98"/>
              </w:rPr>
              <w:t>(37,837)</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31,687</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306,632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(62,185)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(149,412)</w:t>
            </w: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3,425,704</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917,058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3,145,200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color w:val="auto"/>
              </w:rPr>
              <w:t>Average total assets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10"/>
          </w:tcPr>
          <w:p>
            <w:pPr>
              <w:spacing w:after="0" w:line="129" w:lineRule="exact"/>
              <w:rPr>
                <w:sz w:val="20"/>
                <w:szCs w:val="20"/>
                <w:color w:val="auto"/>
              </w:rPr>
            </w:pPr>
            <w:r>
              <w:rPr>
                <w:rFonts w:ascii="Arial" w:cs="Arial" w:eastAsia="Arial" w:hAnsi="Arial"/>
                <w:sz w:val="14"/>
                <w:szCs w:val="14"/>
                <w:color w:val="auto"/>
              </w:rPr>
              <w:t>Nine months ended</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Year ended</w:t>
            </w:r>
          </w:p>
        </w:tc>
        <w:tc>
          <w:tcPr>
            <w:tcW w:w="20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9"/>
          </w:tcPr>
          <w:p>
            <w:pPr>
              <w:jc w:val="right"/>
              <w:ind w:right="960"/>
              <w:spacing w:after="0" w:line="157" w:lineRule="exact"/>
              <w:rPr>
                <w:sz w:val="20"/>
                <w:szCs w:val="20"/>
                <w:color w:val="auto"/>
              </w:rPr>
            </w:pPr>
            <w:r>
              <w:rPr>
                <w:rFonts w:ascii="Arial" w:cs="Arial" w:eastAsia="Arial" w:hAnsi="Arial"/>
                <w:sz w:val="14"/>
                <w:szCs w:val="14"/>
                <w:color w:val="auto"/>
                <w:w w:val="88"/>
              </w:rPr>
              <w:t>September 30</w:t>
            </w:r>
          </w:p>
        </w:tc>
        <w:tc>
          <w:tcPr>
            <w:tcW w:w="98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w w:val="90"/>
              </w:rPr>
              <w:t>December 31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right"/>
              <w:ind w:right="340"/>
              <w:spacing w:after="0"/>
              <w:rPr>
                <w:sz w:val="20"/>
                <w:szCs w:val="20"/>
                <w:color w:val="auto"/>
              </w:rPr>
            </w:pPr>
            <w:r>
              <w:rPr>
                <w:rFonts w:ascii="Arial" w:cs="Arial" w:eastAsia="Arial" w:hAnsi="Arial"/>
                <w:sz w:val="14"/>
                <w:szCs w:val="14"/>
                <w:color w:val="auto"/>
                <w:w w:val="98"/>
              </w:rPr>
              <w:t>(in millions)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4"/>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5,041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4,918</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Banking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w w:val="87"/>
              </w:rPr>
              <w:t>21,554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w w:val="94"/>
              </w:rPr>
              <w:t>19,691</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17,112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4"/>
              </w:rPr>
              <w:t>16,364</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w w:val="87"/>
              </w:rPr>
              <w:t>16,224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w w:val="94"/>
              </w:rPr>
              <w:t>16,428</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2,783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Retail Banking</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11,304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11,746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9,082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8,055</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83,100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79,518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2" w:lineRule="auto"/>
        <w:tabs>
          <w:tab w:leader="none" w:pos="460" w:val="left"/>
        </w:tabs>
        <w:numPr>
          <w:ilvl w:val="0"/>
          <w:numId w:val="64"/>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pricing allocation methodology. Segments are charged a cost to fund any assets (e.g. loans) and are paid a funding credit for any funds provided (e.g. deposits). The taxable-equivalent adjustment aggregated $6,105,000 and $6,534,000 for the three-month periods ended September 30, 2013 and 2012, respectively, and $18,772,000 and $19,884,000 for the nine-month periods ended September 30, 2013 and 2012,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10" w:lineRule="exact"/>
        <w:rPr>
          <w:rFonts w:ascii="Arial" w:cs="Arial" w:eastAsia="Arial" w:hAnsi="Arial"/>
          <w:sz w:val="17"/>
          <w:szCs w:val="17"/>
          <w:i w:val="1"/>
          <w:iCs w:val="1"/>
          <w:color w:val="auto"/>
        </w:rPr>
      </w:pPr>
    </w:p>
    <w:p>
      <w:pPr>
        <w:ind w:left="5620" w:hanging="101"/>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M&amp;T holds a 20% interest in Bayview Lending Group LLC (“BLG”), a privately-held commercial mortgage company. M&amp;T recognizes income or loss from BLG using the equity method of accounting. The carrying value of that investment was $80 million at September 30, 2013.</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$3.4 billion and $3.8 billion at September 30, 2013 and December 31, 2012, respectively. In addition, the Company has servicing rights that were obtained from Bayview Financial related to residential mortgage loans with outstanding principal balances of $2.4 billion at September 30, 2013 and $2.7 billion at December 31, 2012. Revenues from servicing residential and small-balance commercial mortgage loans obtained from BLG and Bayview Financial were $7 million and $9 million during the three months ended September 30, 2013 and 2012, respectively, and $23 million and $27 million for the nine months ended September 30, 2013 and 2012, respectively. The Company sub-services residential mortgage loans for Bayview Financial and affiliates having outstanding principal balances totaling $45.5 billion and $11.4 billion at September 30, 2013 and December 31, 2012, respectively. During the third quarter of 2013, the Company added approximately $35 billion of residential real estate loans to the loans sub-serviced for Bayview Financial and affiliates. Revenues earned for sub-servicing loans for Bayview Financial and affiliates were $8 million and $2 million for the three-month periods ended September 30, 2013 and 2012, respectively, and $12 million and $7 million for the nine-month periods ended September 30, 2013 and 2012, respectively. In addition, at September 30, 2013 and December 31, 2012, the Company held $4 million and $11 million, respectively, of mortgage-backed securities in its available-for-sale investment securities portfolio that were securitized by Bayview Financial. Finally, the Company held $225 million and $242 million of similar investment securities in its held-to-maturity portfolio at September 30, 2013 and December 31, 2012,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M&amp;T Bank Corporation (“M&amp;T”) recorded net income in the third quarter of 2013 of $294 million or $2.11 of diluted earnings per common share, compared with $293 million or $2.17 of diluted earnings per common share in the year-earlier quarter. During the second quarter of 2013, net income aggregated $348 million or $2.55 of diluted earnings per common share. Basic earnings per common share were $2.13 in the recent quarter, compared with $2.18 in the third quarter of 2012 and $2.56 in the second quarter of 2013. The after-tax impact of net acquisition and integration-related expenses (included herein as merger-related expenses) was $5 million ($8 million pre-tax) or $.04 of basic and diluted earnings per common share in the second quarter of 2013. Such expenses were associated with M&amp;T’s pending acquisition of Hudson City Bancorp, Inc. (“Hudson City”) headquartered in Paramus, New Jersey. There were no merger-related expenses in either of the third quarters of 2013 or 2012. For the first nine months of 2013, net income was $917 million or $6.64 of diluted earnings per common share, compared with $733 million or $5.37 of diluted earnings per common share during the corresponding period of 2012. Basic earnings per common share were $6.69 and $5.39 for the first nine months of 2013 and 2012, respectively. The after-tax impact of merger-related expenses during the first nine months of 2013 was $8 million ($12 million pre-tax) or $.06 of basic and diluted earnings per common share, compared with $6 million ($10 million pre-tax) or $.05 of basic and diluted earnings per common share during the nine-month period ended September 30, 2012.</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1.39%, compared with 1.45% in the third quarter of 2012 and 1.68% in the second quarter of 2013. The annualized rate of return on average common shareholders’ equity was 11.06% in the third quarter of 2013, compared with 12.40% in the year-earlier quarter and 13.78% in 2013’s second quarter. During the nine-month period ended September 30, 2013, the annualized rates of return on average assets and average common shareholders’ equity were 1.48% and 11.98%, respectively, compared with 1.23% and 10.55%, respectively, in the first nine months of 2012.</w:t>
      </w:r>
    </w:p>
    <w:p>
      <w:pPr>
        <w:spacing w:after="0" w:line="1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Reflected in the recent quarter’s results were after-tax gains from loan securitization transactions of $34 million ($56 million pre-tax), or $.26 per diluted common share. During the recent quarter, the Company securitized approximately $1.0 billion of one-to four family residential real estate loans previously held in the Company’s loan portfolio into guaranteed mortgage-backed securities with the Government National Mortgage Association (“Ginnie Mae”) and recognized gains of $35 million. The Company retained the substantial majority of those securities in its investment securities portfolio. In addition, the Company securitized and sold in September 2013 approximately $1.4 billion of automobile loans held in its loan portfolio, resulting in a gain of $21 million. The Company retained the servicing rights for such loans, resulting in capitalized servicing rights of $9 million being recorded.</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Reflected in the results for the second quarter of 2013 were certain noteworthy items. The Company sold the majority of its privately issued mortgage-backed securities (“MBS”) that had been held in the available-for-sale investment securities portfolio for an after-tax loss of $28 million ($46 million pre-tax), or $.22 per diluted common share. In addition, the Company’s holdings of Visa and MasterCard shares were sold for an after-tax gain of $62 million ($103 million pre-tax), or $.48 per diluted common share. Finally, during the second quarter the Company reversed an accrual for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contingent compensation obligation assumed in the May 2011 acquisition of Wilmington Trust that expired, resulting in a $26 million reduction of “other expense – other costs of operations” having an after-tax impact of $15 million, or $.12 of diluted earnings per common share.</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September 30, 2013, total consideration to be paid was valued at approximately $4.8 billion. At September 30, 2013, Hudson City had $39.2 billion of assets, including $24.7 billion of loans and $10.0 billion of investment securities, and $34.5 billion of liabilities, including $22.1 billion of deposits. The merger has received the approval of the common shareholders of M&amp;T and Hudson City. However, the merger is subject to a number of other conditions, including regulatory approvals.</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April 12, 2013, M&amp;T announced that additional time would be required to obtain a regulatory determination on the applications for the proposed merger with Hudson City. M&amp;T had learned that regulators identified certain concerns with the Company’s procedures, systems and processes related to the Company’s Bank Secrecy Act and anti-money-laundering compliance program. 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anti-money-laundering laws and regulations and to take certain other steps to enhance their compliance practices. M&amp;T has commenced a major initiative, including the hiring of outside consulting firms, intended to fully address those regulator concerns. In view of the potential timeframe required to implement this initiative, demonstrate its efficacy to the satisfaction of the regulators and otherwise meet any other regulatory requirements that may be imposed in connection with these matters, M&amp;T and Hudson City believe that the timeframe for closing the transaction will be extended substantially beyond the date previously expected. Accordingly, M&amp;T and Hudson City extended the date after which either party may elect to terminate the merger agreement if the merger has not yet been completed from August 27, 2013 to January 31, 2014. Nevertheless, there can be no assurances that the merger will be completed by that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discussed in the Company’s Form 10-K for the year ended December 31, 2012,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discussion of the provisions of the Dodd-Frank Act is included in Part II, Item 7 of the Company’s Form 10-K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July 31, 2013, the U.S. District Court for the District of Columbia issued an order granting summary judgment to the plaintiffs in a case challenging certain provisions of the Federal Reserve’s rule concerning electronic debit card transaction fees and network exclusivity arrangements (the “Current Rule”) that were adopted to implement Section 1075 of the Dodd-Frank Act – the so-called “Durbin Amendment.” The Court held that, in adopting the Current Rule, the Federal Reserve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The Court’s judgment was stayed in September 2013 pending appeal by the Federal Reserve. The Federal Reserve filed its appeal in October 2013. The fee limits in the Current Rule will remain in effect until the Federal Reserve revises the rule, if it is ultimately required to do so. If the Federal Reserve is not successful in its appeal and re-issues rules for purposes of implementing the Durbin Amendment in a manner consistent with this decision, the amount of debit card interchange fees the Company would be permitted to charge likely would be reduced. The amount of such reduction cannot be estimated at this time.</w:t>
      </w:r>
    </w:p>
    <w:p>
      <w:pPr>
        <w:spacing w:after="0" w:line="183"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and replace the existing general risk-weighting approach, which was derived from the Basel Committee’s 1988 “Basel I” capital accords, with a more risk-sensitive approach based, in part, on the “standardized approach” in the Basel Committee’s 2004 “Basel II” capital accords. In addition, the New Capital Rules implement certain provisions of the Dodd-Frank Act, including the requirements of Section 939A to remove references to credit ratings from the federal agencies’ rules. The New Capital Rules are effective for the Company on January 1, 2015, subject to phase-in periods for certain of their components and other provisions.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 (iv) expand the scope of the deductions from and adjustments to capital as compared to existing regulations. Under the New Capital Rules, for most banking organizations, including M&amp;T, the most common form of Additional Tier 1 capital is non-cumulative perpetual preferred stock and the most common forms of Tier 2 capital are subordinated notes and a portion of the allocation for loan and lease losses, in each case, subject to the New Capital Rules’ specific requirements.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New Capital Rules, the minimum capital ratios as of January 1, 2015 will be as follows:</w:t>
      </w:r>
    </w:p>
    <w:p>
      <w:pPr>
        <w:spacing w:after="0" w:line="131"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4.0% Tier 1 capital to average consolidated assets as reported on consolidated financial statements (known as the “leverage ratio”).</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the Company will include an additional capital conservation buffer of 2.5% of CET1, effectively resulting in minimum ratios inclusive of the capital conservation buffer of (i) CET1 to risk-weighted assets of at least 7%, (ii) Tier 1 capital to risk-weighted assets of at least 8.5%, and (iii) Total capital to risk-weighted assets of at least 10.5%.</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under the current general risk-based capital rules, the effects of accumulated other comprehensive income or loss (“AOCI”) items included in shareholders’ equity (for example, marks-to-market of securities held in the available-for-sale portfolio) under U.S. GAAP are reversed for the purposes of determining regulatory capital ratios. Pursuant to the New Capital Rules, the effects of certain AOCI items are not excluded; however, non-advanced approaches banking organizations, including the Company, may make a one-time permanent election to continue to exclude these items. This election must be made concurrently with the first filing of certain of the Company’s periodic regulatory reports in the beginning of 2015. The New Capital Rules also preclude certain hybrid securities, such as trust preferred securities, from inclusion in bank holding companies’ Tier 1</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capital, subject to phase-out in the case of bank holding companies, such as M&amp;T, that had $15 billion or more in total consolidated assets as of December 31, 2009. As a result, beginning in 2015, only 25% of M&amp;T’s $1.2 billion of trust preferred securities currently outstanding will be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Implementation of the deductions and other adjustments to CET1 will begin on January 1, 2015 and will be phased-in over a 4-year period (beginning at 40% on January 1, 2015 and an additional 20% per year thereafter). The implementation of the capital conservation buffer will begin on January 1, 2016 at the 0.625% level and increase by 0.625% on each subsequent January 1, until it reaches 2.5% on January 1, 2019.</w:t>
      </w:r>
    </w:p>
    <w:p>
      <w:pPr>
        <w:spacing w:after="0" w:line="166"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With respect to the insured depository institution subsidiaries of the Company, the New Capital Rules revise the “prompt corrective action” (“PCA”) regulations adopted pursuant to Section 38 of the Federal Deposit Insurance Act, by: (i) introducing a CET1 ratio requirement at each PCA category (other than critically undercapitalized), with the required CET1 ratio being 6.5% for well-capitalized status; (ii) increasing the minimum Tier 1 capital ratio requirement for each category, with the minimum Tier 1 capital ratio for well-capitalized status being 8% (as compared to the current 6%); and</w:t>
      </w:r>
    </w:p>
    <w:p>
      <w:pPr>
        <w:spacing w:after="0" w:line="2" w:lineRule="exact"/>
        <w:rPr>
          <w:sz w:val="20"/>
          <w:szCs w:val="20"/>
          <w:color w:val="auto"/>
        </w:rPr>
      </w:pPr>
    </w:p>
    <w:p>
      <w:pPr>
        <w:ind w:right="100" w:firstLine="8"/>
        <w:spacing w:after="0" w:line="261" w:lineRule="auto"/>
        <w:tabs>
          <w:tab w:leader="none" w:pos="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eliminating the current provision that provides that a bank with a composite supervisory rating of 1 may have a 3% leverage ratio and still be adequately capitalized. The New Capital Rules do not change the total risk-based capital requirement for any PCA category.</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New Capital Rules prescribe a new standardized approach for risk weightings that expand the risk-weighting categories from the current four Basel I-derived categories (0%, 20%, 50% and 100%) to a larger and more risk-sensitive number of categories, depending on the nature of the assets, generally ranging from 0% for U.S. government and agency securities, to 600% for certain equity exposures, and resulting in higher risk weights for a variety of asset classes.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Management believes that the Company will be able to comply with the targeted capital ratios upon implementation of the revised requirements, as finalized. More specifically, management estimates that the Company’s ratio of CET1 to risk-weighted assets under the New Capital Rules on a fully phased-in basis was approximately 8.75% as of September 30, 2013, reflecting a good faith estimate of the computation of CET1 and the Company’s risk-weighted assets under the methodologies set forth in the New Capital Rules.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regulatory capital ratios under risk-based capital rules currently in effect are presented herein under the heading “Capital.”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$3.6 billion at each of September 30, 2013 and December 31, 2012 and $3.7 billion at September 30, 2012. Included in such intangible assets was goodwill of $3.5 billion at each of those dates. Amortization of core deposit and other intangible assets, after tax effect, totaled $6 million ($.05 per diluted common share) during the third quarter of 2013, compared with $9 million ($.07 per diluted common share) during the year-earlier quarter and $8 million ($.06 per diluted common share) during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second quarter of 2013. For the nine-month periods ended September 30, 2013 and 2012, amortization of core deposit and other intangible assets, after tax effect, totaled $22 million ($.17 per diluted common share) and $29 million ($.22 per diluted share), respectively.</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Net operating income was $301 million in the recent quarter, compared with $302 million in the third quarter of 2012. Diluted net operating earnings per common share for the third quarter of 2013 were $2.16, compared with $2.24 in the year-earlier quarter. Net operating income and diluted net operating earnings per common share were $361 million and $2.65, respectively, in the second quarter of 2013. For the first nine months of 2013, net operating income and diluted net operating earnings per common share were $947 million and $6.87, respectively, compared with $768 million and $5.64, respectively, in the similar 2012 period.</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Net operating income in the recent quarter expressed as an annualized rate of return on average tangible assets was 1.48%, compared with 1.56% in the year-earlier quarter and 1.81% in the second quarter of 2013. Net operating income represented an annualized return on average tangible common equity of 17.64% in the recently completed quarter, compared with 21.53% in the third quarter of 2012 and 22.72% in 2013’s second quarter. For the first nine months of 2013, net operating income represented an annualized return on average tangible assets and average tangible common shareholders’ equity of 1.59% and 19.66%, respectively, compared with 1.35% and 19.03%, respectively, in the corresponding period of 2012.</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Taxable-equivalent net interest income totaled $679 million in the third quarter of 2013, compared with $669 million in the year-earlier quarter. That improvement reflected a $4.0 billion, or 6%, increase in average earning assets, offset in part by a 16 basis point (hundredths of one percent) narrowing of the Company’s net interest margin, or taxable-equivalent net interest income expressed as an annualized percentage of average earning assets. The increase in average earning assets was attributable to a $2.3 billion increase in lower yielding average interest-bearing deposits held at the Federal Reserve Bank and higher average loan balances of $1.4 billion. The higher average loan balances outstanding were largely attributable to increased demand for commercial loans and commercial real estate loans. Taxable-equivalent net interest income was $684 million in the second quarter of 2013. The decline in such income in the recent quarter as compared with the immediately preceding quarter was largely due to a 10 basis point narrowing of the net interest margin, partially offset by a $706 million increase in average earning assets. The narrowing of the net interest margin was largely the result of lower levels of prepayment fees and interest on nonaccrual loans. The rise in average earning assets resulted largely from recent quarter purchases of Ginnie Mae mortgage-backed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For the first three quarters of 2013, taxable-equivalent net interest income was $2.03 billion, up 4% from $1.95 billion in the corresponding period of 2012. That increase was largely attributable to higher average earning assets, which rose $3.8 billion or 5% to $73.7 billion in the first nine months of 2013, partially offset by a 5 basis point narrowing of the net interest margin. Contributing to the growth in average earning assets were higher balances of commercial loans and commercial real estate loans due to increased demand for such loans, and higher residential real estate loan balances resulting from the Company’s decision to retain more of such loans rather than selling them during the first eight months of 2012.</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Average loans and leases rose $1.4 billion, or 2%, to $64.9 billion in the recent quarter from $63.5 billion in the third quarter of 2012. Commercial loans and leases averaged $17.8 billion in the third quarter of 2013, up $1.3 billion or 8% from $16.5 billion in the year-earlier quarter. Average commercial real estate loans increased to $26.1 billion in the recent quarter, up $1.1 billion or 5% from $25.0 billion in the third quarter of 2012. The growth in commercial loans and commercial real estate loans reflects higher loan demand by customers. Average residential real estate loans outstanding declined $660 million or 6% to $9.6 billion in 2013’s third quarter from $10.3 billion in the year-earlier quarter. Included in that portfolio were loans originated for sale, which averaged $1.1 billion in the recently completed quarter, compared with $549 million in the third quarter of 2012. Excluding loans held for sale, average residential real estate loans decreased $1.2 billion from the third quarter of 2012 to the third quarter of 2013. That decrease was largely due to securitizations during the second and third quarters of 2013 of residential real estate loans previously held by the Company in its loan portfolio. During the second quarter of 2013, the Company securitized approximately $296 million of residential real estate loans and during 2013’s third quarter approximately $1.0 billion of residential real estate loans were securitized. The residential real estate loans were guaranteed by the Federal Housing Administration (“FHA”) and a substantial majority of the resulting Ginnie Mae mortgage-backed investment securities have been retained by the Company in the investment securities portfolio. Consumer loans averaged $11.3 billion in the recent quarter, $365 million or 3% below 2012’s third quarter average of $11.7 billion. That decline was largely due to lower average balances of automobile loans and home equity loans and lines of credit. In September 2013, the Company securitized and sold approximately $1.4 billion of automobile loans held in its loan portfolio. The Company has securitized loans to improve its regulatory capital ratios and strengthen its liquidity and risk profile, including the ability to pledge any of the retained assets, as a result of changing regulatory requirements.</w:t>
      </w:r>
    </w:p>
    <w:p>
      <w:pPr>
        <w:spacing w:after="0" w:line="16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Average loan balances in the recent quarter declined $1.1 billion, or 2%, from the second quarter of 2013. Average outstanding commercial loan and lease balances increased $85 million and commercial real estate loan average balances rose $78 million, while average residential real estate loans decreased $1.2 billion, or 11%, and average consumer loans declined $114 million, or 1%, from 2013’s second quarter. The significant decline in average outstanding residential real estate loans balances was the result of the second and third quarter FHA loan securitization transactions previously noted and payments received. The accompanying table summarizes quarterly changes in the major components of the loan and lease portfolio.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4"/>
          </w:tcPr>
          <w:p>
            <w:pPr>
              <w:jc w:val="right"/>
              <w:ind w:right="49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gridSpan w:val="4"/>
          </w:tcPr>
          <w:p>
            <w:pPr>
              <w:jc w:val="right"/>
              <w:ind w:right="51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3rd Qtr.</w:t>
            </w: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2"/>
              </w:rPr>
              <w:t>3rd Qtr.</w:t>
            </w:r>
          </w:p>
        </w:tc>
        <w:tc>
          <w:tcPr>
            <w:tcW w:w="720" w:type="dxa"/>
            <w:vAlign w:val="bottom"/>
            <w:gridSpan w:val="2"/>
          </w:tcPr>
          <w:p>
            <w:pPr>
              <w:jc w:val="right"/>
              <w:ind w:right="170"/>
              <w:spacing w:after="0" w:line="149" w:lineRule="exact"/>
              <w:rPr>
                <w:sz w:val="20"/>
                <w:szCs w:val="20"/>
                <w:color w:val="auto"/>
              </w:rPr>
            </w:pPr>
            <w:r>
              <w:rPr>
                <w:rFonts w:ascii="Arial" w:cs="Arial" w:eastAsia="Arial" w:hAnsi="Arial"/>
                <w:sz w:val="14"/>
                <w:szCs w:val="14"/>
                <w:color w:val="auto"/>
                <w:w w:val="86"/>
              </w:rPr>
              <w:t>2nd Qtr.</w:t>
            </w:r>
          </w:p>
        </w:tc>
        <w:tc>
          <w:tcPr>
            <w:tcW w:w="0" w:type="dxa"/>
            <w:vAlign w:val="bottom"/>
          </w:tcPr>
          <w:p>
            <w:pPr>
              <w:spacing w:after="0"/>
              <w:rPr>
                <w:sz w:val="1"/>
                <w:szCs w:val="1"/>
                <w:color w:val="auto"/>
              </w:rPr>
            </w:pPr>
          </w:p>
        </w:tc>
      </w:tr>
      <w:tr>
        <w:trPr>
          <w:trHeight w:val="167"/>
        </w:trPr>
        <w:tc>
          <w:tcPr>
            <w:tcW w:w="65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$17,798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26,129</w:t>
            </w:r>
          </w:p>
        </w:tc>
        <w:tc>
          <w:tcPr>
            <w:tcW w:w="56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9,636</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Consumer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5,771</w:t>
            </w:r>
          </w:p>
        </w:tc>
        <w:tc>
          <w:tcPr>
            <w:tcW w:w="5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10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64,858</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first nine months of 2013, average loans and leases aggregated $65.6 billion, up $3.6 billion or 6% from $61.9 billion in the similar 2012 period. That growth was due, in part, to increased demand for commercial loans and commercial real estate loans. In addition, for the first eight months of 2012 the Company was retaining for portfolio a majority of originated residential real estate loans.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investment securities portfolio averaged $7.0 billion in the recent quarter, up $169 million or 2% from $6.8 billion in the third quarter of 2012. The increase from the year-earlier quarter reflects the impact of recent quarter purchases of Ginnie Mae residential mortgage-backed securities and additions of similar securities resulting from loan securitization transactions during the two most recent quarters, partially offset by maturities and paydowns of mortgage-backed securities and the sale of $1.0 billion of privately held mortgage-backed securities late in 2013’s second quarter. Average investment securities balances in the third quarter of 2013 rose $1.7 billion from the immediately preceding quarter, due predominantly to the impact of the recent quarter purchases of Ginnie Mae securities and additions resulting from the securitizations of FHA residential real estate loans. Purchases of Ginnie Mae securities aggregated $1.6 billion in the third quarter of 2013. For the first nine months of 2013 and 2012, average investment securities were $6.0 billion and $7.2 billion, respectively. Late in the second quarter of 2013, the Company undertook certain actions to improve its regulatory capital and liquidity positions in response to evolving regulatory requirements. As a result, approximately $1.0 billion of privately issued MBS held in the available-for-sale portfolio were sold in 2013’s second quarter, as were the Company’s holdings of Visa and MasterCard common stock. Also in the second quarter of 2013, the Company securitized approximately $296 million of residential real estate loans guaranteed by the FHA. An additional $1.0 billion of similar FHA loans were securitized in the third quarter. In both quarters, a substantial majority of the resulting Ginnie Mae securities were retained by the Company. During 2013’s second quarter, the Company also began originating FHA residential real estate loans for purposes of securitizing such loans into Ginnie Mae mortgage-backed securities to be retained in the Company’s investment securities portfolio. Approximately $627 million and $811 million of such loans were securitized during 2013’s second and third quarters, respectively. Finally, during the third quarter of 2013, the Company also purchased approximately $1.6 billion of Ginnie Mae securities that were added to the portfolio.</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overall interest-rate risk profile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Nevertheless, there were no other-than-temporary impairment charges recognized in either of the second or third quarters of 2013. Other-than-temporary impairment charges recognized during the quarter ended September 30, 2012 totaled $6 million. That impairment charge related to certain privately issued MBS backed by residential and commercial real estate loans. Persistently high unemployment, loan delinquencies and foreclosures that led to a backlog of homes held for sale by financial institutions and others were significant factors contributing to the recognition of the other-than-temporary impairment charge related to the MBS. As noted earlier, substantially all of the privately issued MBS held in the available-for-sale investment securities portfolio were sold late in the second quarter of 2013. The impairment charge in the third quarter of 2012 predominantly related to a subset of those sold MBS. Additional information about the investment securities portfolio is included in notes 3 and 12 of Notes to Financial Statements.</w:t>
      </w:r>
    </w:p>
    <w:p>
      <w:pPr>
        <w:spacing w:after="0" w:line="16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earning assets include interest-bearing deposits at the Federal Reserve Bank and other banks, trading account assets, federal funds sold and agreements to resell securities. Those other earning assets in the aggregate averaged $2.8 billion, $397 million and $2.7 billion for the quarters ended September 30, 2013, September 30, 2012 and June 30, 2013, respectively. Interest-bearing deposits at banks averaged $2.6 billion in the recent quarter, compared with $298 million in the third quarter of 2012 and $2.4 billion in 2013’s second quarter. For the nine-month periods ended September 30, 2013 and 2012, average balances of other earning assets were $2.1 billion and $715 million, respectively, including $1.9 billion and $614 million, respectively, of interest-bearing deposits at banks. The rise in average interest-bearing deposits at banks in the second and third quarters of 2013 and in the nine-month period ended September 30, 2013 as compared with the 2012 periods was largely due to higher Wilmington Trust-related customer deposits.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$74.7 billion in the third quarter of 2013, compared with $70.7 billion in the year-earlier quarter and $74.0 billion in the second quarter of 2013. Average earning assets totaled $73.7 billion and $69.8 billion during the nine-month periods ended September 30, 2013 and 2012, respectively.</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Core deposits averaged $64.1 billion in the third quarter of 2013, up 7% from $60.0 billion in the year-earlier quarter and 1% higher than $63.7 billion in the second quarter of 2013. Average core deposits of Wilmington Trust, National Association (“Wilmington Trust, N.A.”), a wholly owned bank subsidiary of M&amp;T, including both noninterest-bearing trust deposits and certificates of deposit of $250,000 or less generated on a nationwide basis, were $1.6 billion, $1.4 billion and $1.5 billion during the three-month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periods ended September 30, 2013, September 30, 2012 and June 30, 2013, respectively. The growth in core deposits since the third quarter of 2012 was due, in part, to the lack of attractive alternative investments available to the Company’s customers resulting from lower interest rates and from the economic environment in the U.S. and higher balances held on behalf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 For the nine-month periods ended September 30, 2013 and 2012, core deposits averaged $63.2 billion and $58.3 billion,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color w:val="auto"/>
              </w:rPr>
              <w:t>Percent increase</w:t>
            </w:r>
          </w:p>
        </w:tc>
      </w:tr>
      <w:tr>
        <w:trPr>
          <w:trHeight w:val="149"/>
        </w:trPr>
        <w:tc>
          <w:tcPr>
            <w:tcW w:w="4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8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4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3rd Qtr.</w:t>
            </w: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3rd Qtr.</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2nd Qtr.</w:t>
            </w:r>
          </w:p>
        </w:tc>
      </w:tr>
      <w:tr>
        <w:trPr>
          <w:trHeight w:val="167"/>
        </w:trPr>
        <w:tc>
          <w:tcPr>
            <w:tcW w:w="43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Savings deposits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35,830</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3,365</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23,998</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r>
      <w:tr>
        <w:trPr>
          <w:trHeight w:val="27"/>
        </w:trPr>
        <w:tc>
          <w:tcPr>
            <w:tcW w:w="4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64,098</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4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$333 million in the third quarter of 2013, compared with $375 million and $318 million in the third quarter of 2012 and the second quarter of 2013, respectively. Cayman Islands office deposits averaged $392 million, $702 million and $326 million for the three-month periods ended September 30, 2013, September 30, 2012 and June 30, 2013, respectively. Brokered time deposits averaged $229 million in the recent quarter, compared with $680 million in the third quarter of 2012 and $396 million in the second quarter of 2013. The Company also had brokered NOW and brokered money-market deposit accounts, which in the aggregate averaged $1.2 billion during the recently completed quarter, compared with $1.0 billion and $936 million during the third quarter of 2012 and the second quarter of 2013, respectively.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and brokered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and others as sources of funding. Average short-term borrowings totaled $299 million in the recent quarter, compared with $976 million in the third quarter of 2012 and $343 million in the second quarter of 2013. Included in short-term borrowings were unsecured federal funds borrowings, which generally mature on the next business day, that averaged $206 million in the third quarter of 2013, $808 million in the year-earlier quarter and $239 million in the second quarter of 2013. Overnight federal funds borrowings represented the largest component of short-term borrowings and totaled $158 million at September 30, 2013, $437 million at September 30, 2012 and $939 million at December 31, 2012.</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Long-term borrowings averaged $5.0 billion during each of the quarters ended September 30, 2013 and September 30, 2012, and $5.1 billion in the second quarter of 2013. Included in average long-term borrowings were subordinated capital notes of $1.6 billion in the two most recent quarters, compared with $1.8 billion in the third quarter of 2012. On April 15, 2013, $250 million of 4.875% subordinated notes of the Company matured and were redeemed. On July 2, 2012, the Company redeemed $400 million of subordinated capital notes of M&amp;T Bank that were due to mature in 2013, as such notes ceased to qualify as regulatory capital during the one-year period before their contractual maturity date. Junior subordinated debentures associated with trust preferred securities that were included in average long-term borrowings were $1.2 billion in each of the quarters ended September 30, 2013, September 30, 2012 and June 30, 2013. Additional information regarding junior subordinated debentures is provided in note 5 of Notes to Financial Statements. Also included in long-term borrowings were agreements to repurchase securities, which averaged $1.4 billion during each of the third quarters of 2013 and 2012 and the second quarter of 2013. The agreements have various repurchase dates through 2017, however, the contractual maturities of the underlying securities extend beyond such repurchase dates. During the first quarter of 2013, M&amp;T Bank initiated a Bank Note Program whereby M&amp;T Bank may offer up to $5 billion of unsecured senior and subordinated notes. During March 2013, three-year floating rate senior notes due March 2016 were issued for $300 million and five-year 1.45% fixed rate senior notes due March 2018 were issued for $500 million. The Company has utilized interest rate swap agreements to modify the repricing characteristics of certain components of long-term debt. As of September 30, 2013 interest rate swap agreements were used to hedge approximately $900 million of fixed rate subordinated notes and $500 million of fixed rate senior notes. Further information on interest rate swap agreements is provided in note 10 of Notes to Financial Statements.</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3.40% in the third quarter of 2013, compared with 3.52% in the third quarter of 2012 and 3.48% in the second quarter of 2013. The yield on earning assets during the recent quarter was 3.98%, down 25 basis points from 4.23% in the year-earlier quarter, while the rate paid on interest-bearing liabilities declined 13 basis points to .58% from .71%. In the second quarter of 2013, the yield on earning assets was 4.10% and the rate paid on interest-bearing liabilities was .62%. For the first nine months of 2013, the net interest spread was 3.46%, down 2 basis points from the year-earlier period. The yield on earning assets and the rate paid on interest-bearing liabilities for the nine-month period ended September 30, 2013 were 4.07% and .61%, respectively, compared with 4.24% and .76%, respectively, in the corresponding 2012 period.</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$27.1 billion in the recent quarter, compared with $24.6 billion in the third quarter of 2012 and $26.6 billion in the second quarter of 2013. The increases in average net interest-free funds in the two most recent quarters as compared with the third quarter of 2012 reflect higher average balances of noninterest-bearing deposits. Such deposits averaged $24.0 billion, $22.7 billion and $23.7 billion in the quarters ended September 30, 2013, September 30, 2012 and June 30, 2013, respectively. During the first nine months of 2013 and 2012, average net interest-free funds were $26.4 billion and $23.1 billion, respectively. Goodwill and core deposit and other intangible assets averaged $3.6 billion during the quarters ended September 30, 2013 and June 30, 2013, compared with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$3.7 billion during the quarter ended September 30, 2012. The cash surrender value of bank owned life insurance averaged $1.6 billion in each of the three-month periods ended September 30, 2013, September 30, 2012 and June 30, 2013. Increases in the cash surrender value of bank owned life insurance and benefits received are not included in interest income, but rather are recorded in “other revenues from operations.” The contribution of net interest-free funds to net interest margin was .21% in the recent quarter, compared with .25% in the third quarter of 2012 and .23% in the second quarter of 2013. That contribution for the first nine months of 2013 and 2012 was .22% and .25%, respectively.</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 was 3.61% in the recent quarter, compared with 3.77% in the third quarter of 2012 and 3.71% in the second quarter of 2013. During the nine-month periods ended September 30, 2013 and 2012, the net interest margin was 3.68% and 3.73%,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$1.4 billion at each of September 30, 2013 and June 30, 2013, compared with $900 million at each of September 30, 2012 and December 31, 2012.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September 30, 2013 and 2012 and the quarter ended June 30, 2013 were not material to the Company’s results of operations. The estimated aggregate fair value of interest rate swap agreements designated as fair value hedges represented gains of approximately $114 million at September 30 and June 30, 2013, $153 million at September 30, 2012 and $143 million at December 31, 2012. The fair values of such swap agreements were substantially offset by changes in the fair values of the hedged items. The changes in the fair values of the interest rate swap agreements and the hedged items primarily result from the effects of changing</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interest rates and spreads. The Company’s credit exposure as of September 30, 2013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$94 million of collateral with the Company.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1.22%, respectively, at September 30, 2013.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color w:val="auto"/>
                <w:w w:val="95"/>
              </w:rPr>
              <w:t>Three months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68"/>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spacing w:after="0" w:line="142" w:lineRule="exact"/>
              <w:rPr>
                <w:sz w:val="20"/>
                <w:szCs w:val="20"/>
                <w:color w:val="auto"/>
              </w:rPr>
            </w:pPr>
            <w:r>
              <w:rPr>
                <w:rFonts w:ascii="Arial" w:cs="Arial" w:eastAsia="Arial" w:hAnsi="Arial"/>
                <w:sz w:val="14"/>
                <w:szCs w:val="14"/>
                <w:color w:val="auto"/>
                <w:w w:val="89"/>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(11,088)</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4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4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9"/>
              </w:rPr>
              <w:t>1,400,000</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900,000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w w:val="96"/>
              </w:rPr>
              <w:t>Nine months ended September 30</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68"/>
              <w:spacing w:after="0" w:line="142" w:lineRule="exact"/>
              <w:rPr>
                <w:sz w:val="20"/>
                <w:szCs w:val="20"/>
                <w:color w:val="auto"/>
              </w:rPr>
            </w:pPr>
            <w:r>
              <w:rPr>
                <w:rFonts w:ascii="Arial" w:cs="Arial" w:eastAsia="Arial" w:hAnsi="Arial"/>
                <w:sz w:val="14"/>
                <w:szCs w:val="14"/>
                <w:color w:val="auto"/>
              </w:rPr>
              <w:t>Amount</w:t>
            </w:r>
          </w:p>
        </w:tc>
        <w:tc>
          <w:tcPr>
            <w:tcW w:w="440" w:type="dxa"/>
            <w:vAlign w:val="bottom"/>
          </w:tcPr>
          <w:p>
            <w:pPr>
              <w:spacing w:after="0" w:line="142" w:lineRule="exact"/>
              <w:rPr>
                <w:sz w:val="20"/>
                <w:szCs w:val="20"/>
                <w:color w:val="auto"/>
              </w:rPr>
            </w:pPr>
            <w:r>
              <w:rPr>
                <w:rFonts w:ascii="Arial" w:cs="Arial" w:eastAsia="Arial" w:hAnsi="Arial"/>
                <w:sz w:val="14"/>
                <w:szCs w:val="14"/>
                <w:color w:val="auto"/>
                <w:w w:val="89"/>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Pr>
          <w:p>
            <w:pPr>
              <w:ind w:left="20"/>
              <w:spacing w:after="0" w:line="142" w:lineRule="exact"/>
              <w:rPr>
                <w:sz w:val="20"/>
                <w:szCs w:val="20"/>
                <w:color w:val="auto"/>
              </w:rPr>
            </w:pPr>
            <w:r>
              <w:rPr>
                <w:rFonts w:ascii="Arial" w:cs="Arial" w:eastAsia="Arial" w:hAnsi="Arial"/>
                <w:sz w:val="14"/>
                <w:szCs w:val="14"/>
                <w:color w:val="auto"/>
                <w:w w:val="85"/>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(30,180)</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(27,135)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4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27,135</w:t>
            </w:r>
          </w:p>
        </w:tc>
        <w:tc>
          <w:tcPr>
            <w:tcW w:w="4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9"/>
              </w:rPr>
              <w:t>1,079,487</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900,000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from time to time, issued subordinated capital notes to provide liquidity and enhance regulatory capital ratios. Such notes qualify for inclusion in the Company’s total capital as defined by Federal regulators. However, pursuant to the Dodd-Frank Act, the Company’s junior subordinated debentures associated with trust preferred securities will be phased-out of the definition of Tier 1 capital. Effective January 1, 2015, 75% of such junior subordinated debentures will be excluded from the Company’s Tier 1 capital, and beginning January 1, 2016, 100% will be excluded. The amounts excluded from Tier 1 capital will be includable in total capital.</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totaled $158 million, $437 million and $939 million at September 30, 2013, September 30, 2012 and December 31, 2012, respectively. In general, those borrowings were unsecured and matured on the next business day. In addition to satisfying customer demand, Cayman Islands office deposits and brokered certificates of deposit may be used by the Company as an alternative to short-term borrowings. Cayman Islands office deposits also generally mature on the next business day and totaled $317 million at September 30, 2013, $1.4 billion at September 30, 2012 and $1.0 billion at December 31, 2012. Outstanding brokered time deposits at September 30, 2013, September 30, 2012 and December 31, 2012 were $178 million, $625 million and $462 million, respectively. At September 30, 2013, the weighted-average remaining term to maturity of brokered time deposits was one month. The Company also has brokered NOW and brokered money-market deposit accounts which totaled $1.2 billion at September 30, 2013 and $1.1 billion at each of September 30, 2012 and December 31, 2012.</w:t>
      </w:r>
    </w:p>
    <w:p>
      <w:pPr>
        <w:spacing w:after="0" w:line="16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$14 million and $10 million at September 30, 2013 and 2012, respectively, and $7 million at December 31, 2012. The total amount of VRDBs outstanding backed by M&amp;T Bank letters of credit was $1.8 billion at September 30, 2013 and $1.9 billion at each of September 30 and December 31, 2012. M&amp;T Bank also serves as remarketing agent for most of those bonds.</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2013 approximately $1.03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of which there were no borrowings outstanding at September 30, 2013 or at December 31, 2012.</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accompanying table as of September 30, 2013 and December 31, 2012 displays the estimated impact on net interest income from non-trading financial instruments in the base scenario described above resulting from parallel changes in interest rates across repricing categories during the first modeling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5"/>
          </w:tcPr>
          <w:p>
            <w:pPr>
              <w:jc w:val="right"/>
              <w:ind w:right="82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6"/>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3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5"/>
          </w:tcPr>
          <w:p>
            <w:pPr>
              <w:jc w:val="right"/>
              <w:ind w:right="80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00" w:type="dxa"/>
            <w:vAlign w:val="bottom"/>
            <w:gridSpan w:val="4"/>
          </w:tcPr>
          <w:p>
            <w:pPr>
              <w:ind w:left="3980"/>
              <w:spacing w:after="0"/>
              <w:rPr>
                <w:sz w:val="20"/>
                <w:szCs w:val="20"/>
                <w:color w:val="auto"/>
              </w:rPr>
            </w:pPr>
            <w:r>
              <w:rPr>
                <w:rFonts w:ascii="Arial" w:cs="Arial" w:eastAsia="Arial" w:hAnsi="Arial"/>
                <w:sz w:val="14"/>
                <w:szCs w:val="14"/>
                <w:color w:val="auto"/>
              </w:rPr>
              <w:t>September 30, 2013</w:t>
            </w:r>
          </w:p>
        </w:tc>
        <w:tc>
          <w:tcPr>
            <w:tcW w:w="166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3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211,933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116,118</w:t>
            </w:r>
          </w:p>
        </w:tc>
        <w:tc>
          <w:tcPr>
            <w:tcW w:w="4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9"/>
              </w:rPr>
              <w:t>–100 basis points</w:t>
            </w:r>
          </w:p>
        </w:tc>
        <w:tc>
          <w:tcPr>
            <w:tcW w:w="3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(64,649)</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(69,687)</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w w:val="99"/>
              </w:rPr>
              <w:t>–200 basis points</w:t>
            </w: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(91,141)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(90,333)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181" w:lineRule="exact"/>
        <w:rPr>
          <w:sz w:val="20"/>
          <w:szCs w:val="20"/>
          <w:color w:val="auto"/>
        </w:rPr>
      </w:pPr>
    </w:p>
    <w:p>
      <w:pPr>
        <w:jc w:val="both"/>
        <w:ind w:right="720" w:firstLine="456"/>
        <w:spacing w:after="0" w:line="264" w:lineRule="auto"/>
        <w:rPr>
          <w:sz w:val="20"/>
          <w:szCs w:val="20"/>
          <w:color w:val="auto"/>
        </w:rPr>
      </w:pPr>
      <w:r>
        <w:rPr>
          <w:rFonts w:ascii="Arial" w:cs="Arial" w:eastAsia="Arial" w:hAnsi="Arial"/>
          <w:sz w:val="18"/>
          <w:szCs w:val="18"/>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interest rate contracts, such as swap agreements, and forward and futures contracts related to foreign currencies, but have also included investments in U.S. Treasury and other government securities,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notional amounts of interest rate contracts entered into for trading purposes totaled $15.9 billion at September 30, 2013, compared with $15.1 billion at September 30, 2012 and $15.5 billion at December 31, 2012. The notional amounts of foreign currency and other option and futures contracts entered into for trading purposes were $904 million, $1.2 billion and $869 million at September 30, 2013, September 30, 2012 and December 31, 2012,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$371 million and $261 million, respectively, at September 30, 2013, $527 million and $424 million, respectively, at September 30, 2012, and $489 million and $374 million, respectively, at December 31, 2012. Included in trading account assets at September 30, 2013 were $27 million of assets related to deferred compensation plans, compared with $36 million at each of September 30, 2012 and December 31, 2012. Changes in the fair value of such assets are recorded as “trading account and foreign exchange gains” in the consolidated statement of income. Included in “other liabilities” in the consolidated balance sheet at each of September 30, 2013 and December 31, 2012 were $30 million of liabilities related to deferred compensation plans, while at September 30, 2012, such liabilities related to deferred compensation plans totaled $31 million. Changes in the balances of such liabilities due to the valuation of allocated investment options to which the liabilities are indexed are recorded in “other costs of operations” in the consolidated statement of income.</w:t>
      </w:r>
    </w:p>
    <w:p>
      <w:pPr>
        <w:spacing w:after="0" w:line="16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2013 was $48 million, compared with $46 million in the year-earlier quarter and $57 million in the second quarter of 2013. For the nine-month periods ended September 30, 2013 and 2012, the provision for credit losses was $143 million and $155 million, respectively.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Net loan charge-offs were $48 million in the recent quarter, compared with $42 million in the third quarter of 2012 and $57 million in the second quarter of 2013. Net charge-offs as an annualized percentage of average loans and leases were .29% in the third quarter of 2013, compared with .26% and</w:t>
      </w:r>
    </w:p>
    <w:p>
      <w:pPr>
        <w:spacing w:after="0"/>
        <w:rPr>
          <w:sz w:val="20"/>
          <w:szCs w:val="20"/>
          <w:color w:val="auto"/>
        </w:rPr>
      </w:pPr>
      <w:r>
        <w:rPr>
          <w:rFonts w:ascii="Arial" w:cs="Arial" w:eastAsia="Arial" w:hAnsi="Arial"/>
          <w:sz w:val="16"/>
          <w:szCs w:val="16"/>
          <w:color w:val="auto"/>
        </w:rPr>
        <w:t>.35% in the third quarter of 2012 and the second quarter of 2013, respectively. Net charge-offs for the nine-month periods ended September 30 aggregated</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$141 million in 2013 and $142 million in 2012, representing an annualized .29% and .31% of average loans and leases. A summary of net charge–offs by loan type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5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color w:val="auto"/>
              </w:rPr>
              <w:t>1st Qtr.</w:t>
            </w:r>
          </w:p>
        </w:tc>
        <w:tc>
          <w:tcPr>
            <w:tcW w:w="20" w:type="dxa"/>
            <w:vAlign w:val="bottom"/>
          </w:tcPr>
          <w:p>
            <w:pPr>
              <w:spacing w:after="0"/>
              <w:rPr>
                <w:sz w:val="14"/>
                <w:szCs w:val="14"/>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4"/>
                <w:szCs w:val="14"/>
                <w:color w:val="auto"/>
                <w:w w:val="94"/>
              </w:rPr>
              <w:t>2nd Qtr.</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3rd Qtr.</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44,631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25,781</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Real estate: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(7,161)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3,373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2,921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10,015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17,461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16,209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16,043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49,713</w:t>
            </w:r>
          </w:p>
        </w:tc>
      </w:tr>
      <w:tr>
        <w:trPr>
          <w:trHeight w:val="223"/>
        </w:trPr>
        <w:tc>
          <w:tcPr>
            <w:tcW w:w="4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57,052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47,695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141,490</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45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r>
      <w:tr>
        <w:trPr>
          <w:trHeight w:val="167"/>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80"/>
              <w:spacing w:after="0"/>
              <w:rPr>
                <w:sz w:val="20"/>
                <w:szCs w:val="20"/>
                <w:color w:val="auto"/>
              </w:rPr>
            </w:pPr>
            <w:r>
              <w:rPr>
                <w:rFonts w:ascii="Arial" w:cs="Arial" w:eastAsia="Arial" w:hAnsi="Arial"/>
                <w:sz w:val="14"/>
                <w:szCs w:val="14"/>
                <w:color w:val="auto"/>
              </w:rPr>
              <w:t>1st Qtr.</w:t>
            </w:r>
          </w:p>
        </w:tc>
        <w:tc>
          <w:tcPr>
            <w:tcW w:w="20" w:type="dxa"/>
            <w:vAlign w:val="bottom"/>
          </w:tcPr>
          <w:p>
            <w:pPr>
              <w:spacing w:after="0"/>
              <w:rPr>
                <w:sz w:val="14"/>
                <w:szCs w:val="14"/>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4"/>
                <w:szCs w:val="14"/>
                <w:color w:val="auto"/>
                <w:w w:val="94"/>
              </w:rPr>
              <w:t>2nd Qtr.</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3rd Qtr.</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26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13,648</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Real estate: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10,844</w:t>
            </w:r>
          </w:p>
        </w:tc>
        <w:tc>
          <w:tcPr>
            <w:tcW w:w="260" w:type="dxa"/>
            <w:vAlign w:val="bottom"/>
          </w:tcPr>
          <w:p>
            <w:pPr>
              <w:spacing w:after="0"/>
              <w:rPr>
                <w:sz w:val="18"/>
                <w:szCs w:val="18"/>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9,619</w:t>
            </w:r>
          </w:p>
        </w:tc>
        <w:tc>
          <w:tcPr>
            <w:tcW w:w="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7,548</w:t>
            </w:r>
          </w:p>
        </w:tc>
        <w:tc>
          <w:tcPr>
            <w:tcW w:w="640" w:type="dxa"/>
            <w:vAlign w:val="bottom"/>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23,747</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16,987</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19,996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60,730</w:t>
            </w:r>
          </w:p>
        </w:tc>
      </w:tr>
      <w:tr>
        <w:trPr>
          <w:trHeight w:val="223"/>
        </w:trPr>
        <w:tc>
          <w:tcPr>
            <w:tcW w:w="4560" w:type="dxa"/>
            <w:vAlign w:val="bottom"/>
          </w:tcPr>
          <w:p>
            <w:pPr>
              <w:spacing w:after="0"/>
              <w:rPr>
                <w:sz w:val="19"/>
                <w:szCs w:val="19"/>
                <w:color w:val="auto"/>
              </w:rPr>
            </w:pPr>
          </w:p>
        </w:tc>
        <w:tc>
          <w:tcPr>
            <w:tcW w:w="26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48,284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51,978</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41,805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142,067</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Reflected in net charge-offs of commercial loans in the recent quarter and in the second quarter of 2013 were $19 million and $30 million, respectively, of charge-offs for a relationship with a motor vehicle-related parts wholesaler. Included in net charge-offs (recoveries) of commercial real estate loans were net recoveries of previously charged-off loans to residential homebuilders and developers of $2 million and $9 million for the quarters ended September 30, 2013 and June 30, 2013, respectively, and net charge-offs of loans of $1 million in the third quarter of 2012. Reflected in net charge-offs of residential real estate loans were net charge-offs of alternative (“Alt-A”) loans of $1 million in the recent quarter, compared with $5 million in the third quarter of 2012 and $2 million in 2013’s second quarter.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Included in net charge-offs of consumer loans and leases were net charge-offs during the quarters ended September 30,</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2013, September 30, 2012 and June 30, 2013, respectively, of: automobile loans of $2 million, $3 million and $3 million; recreational vehicle loans of $3 million, $4 million and $3 million; and home equity loans and lines of credit, including Alt-A second lien loans, of $4 million, $7 million and $5 million. Including both first and second lien mortgages, net charge-offs of Alt-A loans totaled $1 million and $5 million in the quarters ended September 30, 2013 and 2012, respectively, compared with $2 million in the second quarter of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$4.6 billion, $6.4 billion, $5.8 billion and $4.9 billion at September 30, 2013, September 30, 2012, December 31, 2012 and June 30, 2013, respectively. The portion of the nonaccretable balance related to remaining principal losses as well as life-to-date principal losses charged against the nonaccretable balance as of September 30, 2013 and December 31, 2012 are presented in the accompanying table.</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color w:val="auto"/>
                <w:w w:val="93"/>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4"/>
          </w:tcPr>
          <w:p>
            <w:pPr>
              <w:ind w:left="380"/>
              <w:spacing w:after="0" w:line="142" w:lineRule="exact"/>
              <w:rPr>
                <w:sz w:val="20"/>
                <w:szCs w:val="20"/>
                <w:color w:val="auto"/>
              </w:rPr>
            </w:pPr>
            <w:r>
              <w:rPr>
                <w:rFonts w:ascii="Arial" w:cs="Arial" w:eastAsia="Arial" w:hAnsi="Arial"/>
                <w:sz w:val="14"/>
                <w:szCs w:val="14"/>
                <w:color w:val="auto"/>
              </w:rPr>
              <w:t>Remaining balance</w:t>
            </w:r>
          </w:p>
        </w:tc>
        <w:tc>
          <w:tcPr>
            <w:tcW w:w="2180" w:type="dxa"/>
            <w:vAlign w:val="bottom"/>
            <w:gridSpan w:val="3"/>
          </w:tcPr>
          <w:p>
            <w:pPr>
              <w:ind w:left="52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23"/>
        </w:trPr>
        <w:tc>
          <w:tcPr>
            <w:tcW w:w="550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540" w:type="dxa"/>
            <w:vAlign w:val="bottom"/>
          </w:tcPr>
          <w:p>
            <w:pPr>
              <w:spacing w:after="0"/>
              <w:rPr>
                <w:sz w:val="10"/>
                <w:szCs w:val="10"/>
                <w:color w:val="auto"/>
              </w:rPr>
            </w:pPr>
          </w:p>
        </w:tc>
        <w:tc>
          <w:tcPr>
            <w:tcW w:w="13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September 30,</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5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40" w:type="dxa"/>
            <w:vAlign w:val="bottom"/>
            <w:gridSpan w:val="4"/>
          </w:tcPr>
          <w:p>
            <w:pPr>
              <w:jc w:val="center"/>
              <w:ind w:right="560"/>
              <w:spacing w:after="0" w:line="142" w:lineRule="exact"/>
              <w:rPr>
                <w:sz w:val="20"/>
                <w:szCs w:val="20"/>
                <w:color w:val="auto"/>
              </w:rPr>
            </w:pPr>
            <w:r>
              <w:rPr>
                <w:rFonts w:ascii="Arial" w:cs="Arial" w:eastAsia="Arial" w:hAnsi="Arial"/>
                <w:sz w:val="14"/>
                <w:szCs w:val="14"/>
                <w:color w:val="auto"/>
                <w:w w:val="92"/>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33,957</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40,198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67,883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63,190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138,086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285,681</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275,618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262,062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29,684</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36,471</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53,250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36,125</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50,856</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72,050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63,132</w:t>
            </w:r>
          </w:p>
        </w:tc>
      </w:tr>
      <w:tr>
        <w:trPr>
          <w:trHeight w:val="27"/>
        </w:trPr>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237,852</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413,206</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468,801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435,226</w:t>
            </w:r>
          </w:p>
        </w:tc>
      </w:tr>
      <w:tr>
        <w:trPr>
          <w:trHeight w:val="20"/>
        </w:trPr>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Nonaccrual loans totaled $916 million or 1.44% of total loans and leases outstanding at September 30, 2013, compared with $925 million or 1.44% at September 30, 2012, $1.01 billion or 1.52% at December 31, 2012 and $965 million or 1.46% at June 30, 2013. The decline in nonaccrual loans at the recent quarter-end as compared with June 30, 2013 and December 31, 2012 was largely due to lower commercial loans and commercial real estate loans in nonaccrual status.</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Accruing loans past due 90 days or more (excluding acquired loans) were $340 million at each of September 30 and June 30, 2013, or ..53% and .52% of total loans and leases, respectively, compared with $309 million or .48% at September 30, 2012 and $358 million or .54% at December 31, 2012. Those loans included loans guaranteed by government-related entities of $321 million, $280 million, $316 million and $315 million at September 30,</w:t>
      </w:r>
    </w:p>
    <w:p>
      <w:pPr>
        <w:ind w:right="60"/>
        <w:spacing w:after="0" w:line="292" w:lineRule="auto"/>
        <w:rPr>
          <w:sz w:val="20"/>
          <w:szCs w:val="20"/>
          <w:color w:val="auto"/>
        </w:rPr>
      </w:pPr>
      <w:r>
        <w:rPr>
          <w:rFonts w:ascii="Arial" w:cs="Arial" w:eastAsia="Arial" w:hAnsi="Arial"/>
          <w:sz w:val="16"/>
          <w:szCs w:val="16"/>
          <w:color w:val="auto"/>
        </w:rPr>
        <w:t>2013, September 30, 2012, December 31, 2012 and June 30, 2013.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$281 million, $263 million, $294 million and $284 million at September 30, 2013, September 30, 2012, December 31, 2012 and June 30, 2013,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$357 million at September 30, 2013, or .56% of total loans. Purchased impaired loans totaled $528 million and $447 million at September 30 and December 31, 2012, respectively. The decline in such loans during the first nine months of 2013 was predominantly the result of payments received from customers.</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$154 million at September 30, 2013, compared with $161 million at September 30, 2012 and $167 million at December 31, 2012.</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$211 million, $165 million and $167 million at September 30, 2013, September 30, 2012 and December 31, 2012, respectively.</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Nonaccrual commercial loans and leases aggregated $111 million at September 30, 2013, $122 million at September 30, 2012, $152 million at December 31, 2012 and $145 million at June 30, 2013. Commercial real estate loans classified as nonaccrual aggregated $348 million at September 30, 2013, $424 million a year earlier, $412 million at December 31, 2012 and $369 million at June 30, 2013. Reflected in such nonaccrual loans were loans to residential homebuilders and developers totaling $113 million, $226 million, $182 million and $132 million at September 30, 2013, September 30,</w:t>
      </w:r>
    </w:p>
    <w:p>
      <w:pPr>
        <w:spacing w:after="0" w:line="2"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2012, December 31, 2012 and June 30, 2013, respectively. Information about the location of nonaccrual and charged–off loans to residential real estate builders and developers as of and for the three-month period ended September 30, 2013 is presented in the accompanying table.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gridSpan w:val="6"/>
          </w:tcPr>
          <w:p>
            <w:pPr>
              <w:jc w:val="right"/>
              <w:ind w:right="1240"/>
              <w:spacing w:after="0"/>
              <w:rPr>
                <w:sz w:val="20"/>
                <w:szCs w:val="20"/>
                <w:color w:val="auto"/>
              </w:rPr>
            </w:pPr>
            <w:r>
              <w:rPr>
                <w:rFonts w:ascii="Arial" w:cs="Arial" w:eastAsia="Arial" w:hAnsi="Arial"/>
                <w:sz w:val="14"/>
                <w:szCs w:val="14"/>
                <w:color w:val="auto"/>
                <w:w w:val="96"/>
              </w:rPr>
              <w:t>September 30, 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September 30, 2013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880"/>
              <w:spacing w:after="0"/>
              <w:rPr>
                <w:sz w:val="20"/>
                <w:szCs w:val="20"/>
                <w:color w:val="auto"/>
              </w:rPr>
            </w:pPr>
            <w:r>
              <w:rPr>
                <w:rFonts w:ascii="Arial" w:cs="Arial" w:eastAsia="Arial" w:hAnsi="Arial"/>
                <w:sz w:val="14"/>
                <w:szCs w:val="14"/>
                <w:color w:val="auto"/>
              </w:rPr>
              <w:t>Nonaccrual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Percent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Outstanding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8"/>
              </w:rPr>
              <w:t>balances(a)</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Balances</w:t>
            </w:r>
          </w:p>
        </w:tc>
        <w:tc>
          <w:tcPr>
            <w:tcW w:w="3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balances</w:t>
            </w:r>
          </w:p>
        </w:tc>
        <w:tc>
          <w:tcPr>
            <w:tcW w:w="14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color w:val="auto"/>
                <w:w w:val="93"/>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color w:val="auto"/>
                <w:w w:val="92"/>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45,435</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30.06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197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59,012</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(1,929)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222,153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1,231,589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114,921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(1,989)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$35 million of loans not secured by real estate, of which approximately $2 million were in nonaccrual status.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Residential real estate loans classified as nonaccrual totaled $334 million at September 30, 2013, compared with $278 million at September 30, 2012, $345 million at December 31, 2012 and $339 million at June 30, 2013. The increase in such nonaccrual loans from September 30, 2012 was predominantly related to the addition during the fourth quarter of 2012 of $64 million of loans to one customer that are secured by residential real estate. Depressed real estate values and high levels of delinquencies have contributed to higher than historical levels of residential real estate loans classified as nonaccrual. Included in residential real estate loans classified as nonaccrual were Alt-A loans, which totaled $81 million at September 30, 2013, compared with $96 million at each of September 30, 2012 and December 31, 2012 and $85 million at June 30, 2013. Residential real estate loans past due 90 days or more and accruing interest (excluding acquired loans) totaled $318 million at September 30, 2013, compared with $276 million a year earlier and $313 million at each of December 31, 2012 and June 30, 2013, respectively. A substantial portion of such amounts related to guaranteed loans repurchased from government-related entities. Information about the location of nonaccrual and charged-off residential real estate loans as of and for the quarter ended September 30, 2013 is presented in the accompanying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Nonaccrual consumer loans and leases totaled $123 million at September 30, 2013, compared with $101 million a year earlier, $104 million 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and $112 million at June 30, 2013. Included in nonaccrual consumer loans and leases at September 30, 2013, September 30,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2012, December 31, 2012 and June 30, 2013 were automobile loans of $22 million, $26 million, $25 million and $21 million, respectively; recreational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vehicle loans of $11 million, $9 million, $10 million and $9 million, respectively; and outstanding balances of home equity loans and lines of credit,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lien Alt-A loans, of $78 million, $56 million, $58 million and $70 million, respectively. The increases in such loans and lines of credit at the two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 quarter-ends as compared with September 30 and December 31, 2012 were largely attributable to the Company’s ability to now identify home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and lines of credit as nonaccrual when those loans are less than 90 days past due but the related senior lien loan that is not owned by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than 90 days past due. These additional nonaccrual loans aggregated $32 million and $28 million at September 30 and June 30, 2013,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location of nonaccrual and charged-off home equity loans and lines of credit as of and for the quarter ended September 30, 2013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presented in the accompanying table.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color w:val="auto"/>
              </w:rPr>
              <w:t>September 30, 2013</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color w:val="auto"/>
                <w:w w:val="91"/>
              </w:rPr>
              <w:t>September 30, 2013</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(recoveries)</w:t>
            </w:r>
          </w:p>
        </w:tc>
        <w:tc>
          <w:tcPr>
            <w:tcW w:w="0" w:type="dxa"/>
            <w:vAlign w:val="bottom"/>
          </w:tcPr>
          <w:p>
            <w:pPr>
              <w:spacing w:after="0"/>
              <w:rPr>
                <w:sz w:val="1"/>
                <w:szCs w:val="1"/>
                <w:color w:val="auto"/>
              </w:rPr>
            </w:pPr>
          </w:p>
        </w:tc>
      </w:tr>
      <w:tr>
        <w:trPr>
          <w:trHeight w:val="123"/>
        </w:trPr>
        <w:tc>
          <w:tcPr>
            <w:tcW w:w="3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Percent of</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7"/>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outstanding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balances</w:t>
            </w:r>
          </w:p>
        </w:tc>
        <w:tc>
          <w:tcPr>
            <w:tcW w:w="3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balances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Balances</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balances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3,646,611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68,568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1,225,823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19,146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1,076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2,164,524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35,843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1,755,329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127,648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8,792,287</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251,205</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1,888</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8,393</w:t>
            </w: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38,708</w:t>
            </w:r>
          </w:p>
        </w:tc>
        <w:tc>
          <w:tcPr>
            <w:tcW w:w="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1,782</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64,899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17,949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77,376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10,773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397,008</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80,905</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1,025</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13,906</w:t>
            </w:r>
          </w:p>
        </w:tc>
        <w:tc>
          <w:tcPr>
            <w:tcW w:w="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1,126</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156</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27,225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1,454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106,557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852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222,990</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1,397,750</w:t>
            </w: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9,936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850,277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878,662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3,165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3,157,841</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19,353</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285</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3,097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84,129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1,244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141,234</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5,606</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421</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New York</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966,952</w:t>
            </w: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31,291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1,480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1,206,052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8,433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988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2,633,421</w:t>
            </w:r>
          </w:p>
        </w:tc>
        <w:tc>
          <w:tcPr>
            <w:tcW w:w="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46,494</w:t>
            </w:r>
          </w:p>
        </w:tc>
        <w:tc>
          <w:tcPr>
            <w:tcW w:w="360" w:type="dxa"/>
            <w:vAlign w:val="bottom"/>
            <w:vMerge w:val="continue"/>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3,014</w:t>
            </w:r>
          </w:p>
        </w:tc>
        <w:tc>
          <w:tcPr>
            <w:tcW w:w="38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vMerge w:val="restart"/>
          </w:tcPr>
          <w:p>
            <w:pPr>
              <w:jc w:val="right"/>
              <w:ind w:right="150"/>
              <w:spacing w:after="0"/>
              <w:rPr>
                <w:sz w:val="20"/>
                <w:szCs w:val="20"/>
                <w:color w:val="auto"/>
              </w:rPr>
            </w:pPr>
            <w:r>
              <w:rPr>
                <w:rFonts w:ascii="Arial" w:cs="Arial" w:eastAsia="Arial" w:hAnsi="Arial"/>
                <w:sz w:val="18"/>
                <w:szCs w:val="18"/>
                <w:color w:val="auto"/>
              </w:rPr>
              <w:t>- 78 -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Real estate and other foreclosed assets were $89 million at September 30, 2013, compared with $112 million at September 30, 2012, $104 million at December 31, 2012 and $82 million at June 30, 2013. At September 30, 2013, the Company’s holding of residential real estate-related properties comprised 59% of foreclosed assets.</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comparative summary of nonperforming assets and certain past due, renegotiated and impaired loan data and credit quality ratios as of the end of the periods indicated is presented in the accompanying table.</w:t>
      </w:r>
    </w:p>
    <w:p>
      <w:pPr>
        <w:spacing w:after="0" w:line="170"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2013 Quarters</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4"/>
          </w:tcPr>
          <w:p>
            <w:pPr>
              <w:ind w:left="560"/>
              <w:spacing w:after="0"/>
              <w:rPr>
                <w:sz w:val="20"/>
                <w:szCs w:val="20"/>
                <w:color w:val="auto"/>
              </w:rPr>
            </w:pPr>
            <w:r>
              <w:rPr>
                <w:rFonts w:ascii="Arial" w:cs="Arial" w:eastAsia="Arial" w:hAnsi="Arial"/>
                <w:sz w:val="14"/>
                <w:szCs w:val="14"/>
                <w:color w:val="auto"/>
              </w:rPr>
              <w:t>2012 Quarters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Third</w:t>
            </w: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Second</w:t>
            </w:r>
          </w:p>
        </w:tc>
        <w:tc>
          <w:tcPr>
            <w:tcW w:w="11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Fourth</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915,871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964,906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1,052,794</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1,013,176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82,088</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95,680</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104,279</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1,005,074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1,046,994</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1,148,474</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1,117,455</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1,037,391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339,792</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340,467</w:t>
            </w:r>
          </w:p>
        </w:tc>
        <w:tc>
          <w:tcPr>
            <w:tcW w:w="3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331,283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358,397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309,420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70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68,519</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69,508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63,385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57,420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315,281</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311,579</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259,301</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263,351</w:t>
            </w:r>
          </w:p>
        </w:tc>
        <w:tc>
          <w:tcPr>
            <w:tcW w:w="3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272,285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271,971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266,526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155,686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157,068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166,554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161,424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648,118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725,196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790,048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828,571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357,337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394,697</w:t>
            </w:r>
          </w:p>
        </w:tc>
        <w:tc>
          <w:tcPr>
            <w:tcW w:w="3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425,232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447,114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528,001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w w:val="93"/>
              </w:rPr>
              <w:t>Nonperforming assets to total net loans and leases and real estate and other</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Accruing loans past due 90 days or more (a) to total loans and leases, net of</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88"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2013 in light of: (i) residential real estate values and the level of delinquencies of loans secured by residential real estate; (ii) economic conditions in the markets served by the Company;</w:t>
      </w:r>
    </w:p>
    <w:p>
      <w:pPr>
        <w:ind w:firstLine="8"/>
        <w:spacing w:after="0" w:line="252"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of such improvements in both national and international markets; the slowly strengthening housing market; the troubled state of financial and credit markets; Federal Reserve positioning of monetary policy; high levels of unemployment; continued stagnant population growth in the upstate New York and central Pennsylvania regions (approximately 60% of the Company’s loans are to customers in New York State and Pennsylvania); and continued uncertainty about possible responses to state and local government budget deficits.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increased to $2.2 billion at September 30, 2013 from $2.1 billion at June 30, 2013. Such loans totaled $2.4 billion at December 31, 2012 and $2.5 billion at September 30, 2012. The rise in criticized loans from June 30, 2013 resulted from higher commercial real estate loans in this classification. Loan officers with the support of loan review personnel in different geographic locations are responsible to continuously review and reassign loan grades to pass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September 30, 2013, approximately 55% of the Company’s home equity portfolio consisted of first lien loans and lines of credit. Of the remaining junior lien loans in the portfolio, approximately 75% (or approximately 34% of the aggregate home equity portfolio) consisted of junior lien loans and lines of credit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2013 and June 30, 2013, the balances of junior lien loans and lines that were in nonaccrual status solely as a result of first lien loan performance were $32 million and $28 million, respectively, compared with $7 million at December 31, 2012 when such determination was based only on the status of related senior lien loans that were owned or serviced by the Company.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remaining first lien loans since the origination of the junior lien loan.</w:t>
      </w:r>
    </w:p>
    <w:p>
      <w:pPr>
        <w:ind w:right="120"/>
        <w:spacing w:after="0" w:line="254" w:lineRule="auto"/>
        <w:rPr>
          <w:sz w:val="20"/>
          <w:szCs w:val="20"/>
          <w:color w:val="auto"/>
        </w:rPr>
      </w:pPr>
      <w:r>
        <w:rPr>
          <w:rFonts w:ascii="Arial" w:cs="Arial" w:eastAsia="Arial" w:hAnsi="Arial"/>
          <w:sz w:val="18"/>
          <w:szCs w:val="18"/>
          <w:color w:val="auto"/>
        </w:rPr>
        <w:t>Home equity line of credit terms vary but such lines are generally originated with an open draw period of ten years followed by an amortization period of up to twenty years. At September 30, 2013, approximately 95% of all outstanding balances of home equity lines of credit related to lines that were still in the draw period, the weighted-average remaining draw periods were approximately five years, and approximately 18% were making contractually allowed payments that do not include any repayment of principal.</w:t>
      </w:r>
    </w:p>
    <w:p>
      <w:pPr>
        <w:spacing w:after="0" w:line="1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6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September 30, 2013 appropriately reflected credit losses inherent in the portfolio as of that date. The allowance for credit losses was $916 million, or 1.44% of total loans and leases at September 30, 2013, compared with $921 million or 1.44% at September 30, 2012, $926 million or 1.39% at December 31, 2012 and $927 million or 1.41% at June 30, 2013.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During the third quarter of 2013, the allowance for credit losses was reduced by $11 million as a result of the automobile loan securitization previously noted. Automobile loans totaling $1.4 billion held in the Company’s loan portfolio were securitized and sold in September 2013.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100% at each of September 30, 2013 and 2012, compared with 91% at December 31, 2012 and 96% at June 30, 2013.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Other income totaled $477 million in the third quarter of 2013, compared with $446 million in the year-earlier quarter and $509 million in the second quarter of 2013. Reflected in those amounts were net gains on investment securities of $56 million in the second quarter of 2013, compared with net losses of $5 million in the third quarter of 2012. There were no gains or losses on investment securities in the recently completed quarter. During the second quarter of 2013, the Company sold privately issued MBS held in its available-for-sale portfolio having an amortized cost of approximately $1.0 billion, resulting in a net pre-tax loss of $46 million. The Company decided to sell the privately issued MBS at that time in order to improve 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regulatory capital and liquidity position through reduced exposure to such relatively higher risk, less liquid, securities in favor of lower risk, highly liquid, Ginnie Mae securities. The Company also realized a $103 million pre-tax gain in 2013’s second quarter from the sale of its holdings of Visa and MasterCard common stock that it had received at no cost as part of the restructuring of those companies several years earlier. Included in net securities gains and losses in the third quarter of 2012 were other-than-temporary impairment charges of $6 million. Those other-than-temporary impairment charges were predominantly related to a subset of the same privately issued MBS that were sold in the second quarter of 2013 and reflected the impact of lower real estate values and higher delinquencies on real estate loans underlying those impaired securities.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Excluding gains and losses on bank investment securities (including other-than-temporary impairment losses) in all periods, other income totaled $477 million in the recent quarter, compared with $451 million in the third quarter of 2012 and $452 million in the second quarter of 2013. Reflected in other income in the quarters ended September 30, 2013 and June 30, 2013 were gains from loan securitization activities of $56 million and $7 million, respectively. Partially offsetting the impact of the recent quarter securitization gains were declines in residential and commercial mortgage banking revenues, as compared with the third quarter of 2012 and the second 2013 quarter.</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Mortgage banking revenues were $65 million in the third quarter of 2013, down 39% from $107 million in the year-earlier quarter and 29% below $91 million in the second quarter of 2013.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$50 million in the recent quarter, compared with $82 million in the third quarter of 2012 and $66 million in 2013’s second quarter. The lower level of residential mortgage banking revenues in the recent quarter as compared with the two earlier quarters was due to decreased volumes of loans originated for sale and narrower margins related to such loans. Loans originated for sale include the impact of the Company’s involvement in the U.S. government’s Home Affordable Refinance Program (“HARP 2.0”), which allows homeowners to refinance their Fannie Mae or Freddie Mac mortgages when they have little or no equity. The HARP 2.0 program was set to expire December 31, 2013, but was extended and will now be available to borrowers through December 31, 2015.</w:t>
      </w:r>
    </w:p>
    <w:p>
      <w:pPr>
        <w:spacing w:after="0" w:line="17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New commitments to originate residential mortgage loans to be sold were approximately $1.1 billion in the recent quarter, compared with $1.8 billion in each of the third quarter of 2012 and the second quarter of 2013. Included in those commitments to originate residential mortgage loans to be sold were HARP 2.0 commitments of $131 million, $585 million and $375 million in the quarters ended September 30, 2013, September 30, 2012 and June 30, 2013,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$17 million in the recently completed quarter, compared with gains of $57 million and $40 million in the third quarter of 2012 and the second quarter of 2013,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were reduced by approximately $3 million, $10 million and $5 million during the three-month periods ended September 30, 2013, September 30, 2012 and June 30, 2013, respectively, related to actual or anticipated settlement of repurchase obligations.</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Loans held for sale that are secured by residential real estate totaled $667 million at September 30, 2013, $801 million at September 30, 2012 and $1.2 billion at December 31, 2012. Commitments to sell residential mortgage loans and commitments to originate residential mortgage loans for sale at pre-determined rates were $1.1 billion and $648 million, respectively, at September 30, 2013, $1.9 billion and $1.6 billion, respectively, at September 30, 2012 and $2.3 billion and $1.6 billion, respectively, at December 31, 2012. Net recognized unrealized gains on residential mortgage loans held for sale, commitments to sell loans, and commitments to originate loans for sale were $22 million at September 30, 2013, $71 million at September 30, 2012 and $83 million at December 31, 2012. Changes in such net unrealized gains are recorded in mortgage banking revenues and resulted in net decreases in revenues of $23 million and $12 million in the third quarter of 2013 and the second quarter of 2013, respectively, and a net increase in revenues of $37 million in the third quarter of 2012.</w:t>
      </w:r>
    </w:p>
    <w:p>
      <w:pPr>
        <w:spacing w:after="0" w:line="19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Revenues from servicing residential mortgage loans for others were $30 million in the recent quarter, up from $24 million in the third quarter of 2012 and $23 million in the second quarter of 2013. Included in such servicing revenues were amounts related to purchased servicing rights associated with small-balance commercial mortgage loans of $4 million in each of the two most recent quarters and $5 million in third quarter of 2012. Residential mortgage loans serviced for others totaled $72.2 billion at September 30, 2013, $36.4 billion at September 30, 2012, and $35.9 billion at each of June 30, 2013 and December 31, 2012, including the small-balance commercial mortgage loans noted above of approximately $3.4 billion at the recent quarter-end, $4.0 billion at September 30, 2012, $3.6 billion at June 30, 2013 and $3.8 billion at December 31, 2012. Reflected in residential mortgage loans serviced for others were loans sub-serviced for others of $46.5 billion at September 30, 2013, $12.8 billion at September 30, 2012, $11.5 billion at June 30, 2013 and $12.5 billion at December 31, 2012. Included in residential mortgage loans sub-serviced for others were loans sub-serviced for affiliates of Bayview Lending Group LLC (“BLG”) of $45.5 billion, $11.7 billion, $10.4 billion and $11.4 billion at September 30, 2013, September 30, 2012, June 30, 2013 and December 31, 2012, respectively. During the third quarter of 2013, the Company added approximately $35 billion of residential real estate loans to its portfolio of loans sub-serviced for affiliates of BLG. That additional sub-servicing added approximately $5 million of revenue in the recent quarter. Additional information about the Company’s relationship with BLG and its affiliates is provided in note 15 of Notes to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servicing rights consist largely of servicing associated with loans sold by the Company. Capitalized residential mortgage servicing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of a valuation allowance for impairment, related to servicing rights owned by the Company were $131 million at September 30, 2013,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 million at September 30, 2012, $118 million at June 30, 2013 and $108 million at December 31, 2012. The valuation allowance for possible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residential mortgage servicing assets totaled $3 million at each of September 30, 2013 and June 30, 2013, and $5 million at each of September 30,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2012. Included in capitalized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residential mortgage servicing assets were purchased servicing rights associated with the small-balance commercial mortgage loans noted above of $4 million at September 30, 2013, $10 million at September 30, 2012, $5 million at June 30, 2013 and $8 million at December 31, 2012.</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Commercial mortgage banking revenues were $15 million in the third quarter of 2013, down from $25 million in each of the year-earlier period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2013. Included in such amounts were revenues from loan origination and sales activities of $7 million in the recent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 million in the third quarter of 2012 and $18 million in the second quarter of 2013. Commercial mortgage loan servicing revenues were $8 million, $6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and $7 million in the three-month periods ended September 30, 2013, September 30, 2012 and June 30, 2013, respectively. Capitalized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servicing assets totaled $69 million at September 30, 2013, $55 million at September 30, 2012 and $60 million at December 31, 2012. Commercial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mortgage loans serviced for other investors totaled $11.1 billion, $10.1 billion and $10.6 billion at September 30, 2013, September 30, 2012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respectively, and included $2.2 billion, $1.9 billion and $2.0 billion of loan balances for which investors had recourse to the Company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balances are ultimately uncollectible. Commitments to sell commercial mortgage loans and commitments to originate commercial mortgage loans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were $212 million and $60 million, respectively, at September 30, 2013, $458 million and $282 million, respectively, at September 30, 2012 and $340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$140 million, respectively, at December 31, 2012. Commercial mortgage loans held for sale at September 30, 2013 and 2012 were $152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$176 million, respectively, and totaled $200 million at December 31, 2012.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charges on deposit accounts totaled $114 million in each of the third quarters of 2013 and 2012, and $112 million in the second quarter of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 income includes fees related to two significant businesses. The Institutional Client Services (“ICS”) business provides a variety of trustee, agency,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management and administrative services for corporations and institutions, investment bankers, corporate tax, finance and legal executives,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institutional clients who: (i) use capital markets financing structures; (ii) use independent trustees to hold retirement plan and other assets; and (iii) need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 and cash management services. Many ICS clients are multinational corporations and institutions. The Wealth Advisory Services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helps high net worth clients grow their wealth, protect it, and transfer it to their heirs. A comprehensive array of wealth management services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including asset management, fiduciary services and family office services. Trust income totaled $124 million in the recent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 million in the third quarter of 2012 and $125 million in the second quarter of 2013. Adversely impacting trust income for the three-month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September 30, 2012 and June 30, 2013 were $17 million, $16 million and $18 million, respectively, of fee waivers by the Company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provide proprietary money-market funds to pay customers a yield on their investments in such funds. Total trust assets, which include assets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assets under administration, aggregated $255.1 billion at September 30, 2013, compared with $251.7 billion at September 30, 2012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$255.9 billion at December 31, 2012. Trust assets under management were $63.2 billion, $60.5 billion and $61.5 billion at September 30,</w:t>
      </w:r>
    </w:p>
    <w:p>
      <w:pPr>
        <w:spacing w:after="0" w:line="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2013, September 30, 2012 and December 31, 2012, respectively. In addition to the asset amounts noted above, trust assets under management of affiliates totaled $16.2 billion at September 30, 2013, $15.1 billion at September 30, 2012 and $15.4 billion at December 31, 2012. Furthermore, the Company’s proprietary mutual funds had assets of $13.2 billion, $12.9 billion and $13.9 billion at September 30, 2013, September 30, 2012 and December 31, 2012, respectively.</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totaled $17 million in each of the second and third quarters of 2013, compared with $14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the third quarter of 2012. Gains from trading account and foreign exchange activity were $9 million during the two most recent quarters and $8 million in 2012’s third quarter.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During the second quarter of 2013, the Company recognized net gains on investment securities of $56 million, compared with net losses on investment securities of $5 million in the third quarter of 2012. During 2013’s second quarter, the Company sold its holdings of Visa Class B shares for a gain of approximately $90 million and its holdings of MasterCard Class B shares for a gain of $13 million. The shares of Visa and MasterCard were sold as a result of favorable market conditions and to enhance the Company’s capital and liquidity. In addition, the Company sold substantially all of its privately issued MBS held in the available-for-sale investment securities portfolio. In total, $1.0 billion of such securities were sold for a net loss of approximately $46 million. The MBS were sold to reduce the Company’s exposure to such relatively higher risk securities in favor of lower risk Ginnie Mae securities in response to changing regulatory capital and liquidity standards. There were no net gains on losses on investment securities in the third quarter of 2013. The net losses in the third quarter of 2012 were the result of other-than-temporary impairment charges of $6 million. The impairment charges were related to certain privately issued MBS. Each reporting period, the Company reviews its investment securities for other-than-temporary impairment. Additional information about other-than-temporary impairment losses is included herein under the heading “Capital.”</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M&amp;T’s share of the operating results of BLG in the recent quarter was a loss of $4 million, compared with losses of $5 million and $2 million in the third quarter of 2012 and the second 2013 quarter, respectively. The operating losses of BLG in the respective quarters resulted from disruptions in the residential and commercial real estate markets and reflected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8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Other revenues from operations totaled $153 million in the recent quarter, compared with $97 million in the third quarter of 2012 and $100 million in the second quarter of 2013. The increase in the recent quarter as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compared with the two earlier quarters was due predominantly to the gains from securitization transactions, which totaled $56 million and $7 million in the third and second quarters of 2013. There were no similar gains in the third quarter of 2012. During the third and second quarters of 2013, the Company securitized approximately $1.0 billion and $296 million, respectively, of one-to-four family residential real estate loans held in the Company’s loan portfolio in guaranteed mortgage securitizations with Ginnie Mae and recognized gains of $35 million and $7 million, respectively. Also during the recent quarter, the Company securitized and sold approximately $1.4 billion of automobile loans held in its loan portfolio, resulting in a gain of $21 million. The Company securitized those loans to improve its regulatory capital ratios and strengthen its liquidity and risk profile as a result of changing regulatory requirements. Also included in other revenues from operations were the following significant components: letter of credit and other credit-related fees of $35 million in the third quarter of 2013, $34 million in the third quarter of 2012 and $31 million in the second quarter of 2013; tax-exempt income from bank owned life insurance, which includes increases in the cash surrender value of life insurance policies and benefits received, of $13 million in each of the third quarters of 2013 and 2012, and $18 million in the second quarter of 2013; revenues from merchant discount and credit card fees of $21 million in each of the two most recent quarters, compared with $20 million in the third quarter of 2012; and insurance-related sales commissions and other revenues of $10 million in each of the quarters ended September 30, 2013, September 30, 2012 and June 30, 2013.</w:t>
      </w:r>
    </w:p>
    <w:p>
      <w:pPr>
        <w:spacing w:after="0" w:line="18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Other income totaled $1.42 billion in the first nine months of 2013, compared with $1.21 billion in the similar 2012 period. Gains and losses on bank investment securities (including other-than-temporary impairment losses) totaled to net gains of $47 million in the first nine months of 2013, compared with net losses of $33 million in the corresponding 2012 period. Also reflected in other income in 2013 were gains from securitization transactions of $63 million. Excluding gains and losses from bank investment securities in both years and the securitization-related gains in 2013, other income aggregated $1.31 billion and $1.25 billion in the nine-month periods ended September 30, 2013 and 2012, respectively. The main contributors to that rise in other income during the 2013 period were higher mortgage banking revenues and trust income.</w:t>
      </w:r>
    </w:p>
    <w:p>
      <w:pPr>
        <w:spacing w:after="0" w:line="17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Mortgage banking revenues totaled $249 million for the nine-month period ended September 30, 2013, up 7% from $233 million in the year-earlier period. Residential mortgage banking revenues rose 14% to $191 million during the first nine months of 2013 from $168 million in the similar 2012 period. New commitments to originate residential mortgage loans to be sold were $4.7 billion and $3.1 billion during the first nine months of 2013 and 2012, respectively. Realized gains from sales of residential mortgage loans and loan servicing rights (net of the impact of costs associated with obligations to repurchase mortgage loans originated for sale) and recognized unrealized gains and losses on residential mortgage loans held for sale, commitments to originate loans for sale and commitments to sell loans totaled to gains of $108 million and $87 million during the nine-month periods ended September 30, 2013 and 2012, respectively. Higher origination activity related to loans originated for sale contributed to the rise in such revenues. Residential mortgage banking revenues during the nine-month periods ended September 30, 2013 and 2012 were reduced by $13 million and $24 million, respectively, related to actual or anticipated settlements of repurchase obligations. Revenues from servicing residential mortgage loans for others were $77 million and $76 million for the first nine-months of 2013 and 2012, respectively. Included in such amounts were revenues related to purchased servicing rights associated with the previously noted small-balance commercial mortgage loans of $13 million and $15 million for the nine-month periods ended September 30, 2013 and 2012, respectively. Commercial mortgage banking revenues totaled $58 million and $65 million during the nine-month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periods ended September 30, 2013 and 2012, respectively. That decline reflected lower origination volumes that aggregated $1.4 billion in the 2013 period, compared with $1.9 billion in the 2012 period, partially offset by higher servicing revenues.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Service charges on deposit accounts aggregated $337 million and $334 million during the first nine months of 2013 and 2012, respectively. Trust income rose 4% to $370 million from $355 million a year earlier. Reducing trust income were $53 million and $42 million of fee waivers during the first nine months of 2013 and 2012, respectively, related to proprietary money-market funds. Brokerage services income rose 13% to $50 million during the first nine months of 2013 from $44 million in the year-earlier period. Trading account and foreign exchange activity resulted in gains of $27 million and $25 million for the nine-month periods ended September 30, 2013 and 2012, respectively. M&amp;T’s investment in BLG resulted in losses of $10 million for the nine months ended September 30, 2013, compared with losses of $17 million in the year-earlier period. Investment securities gains and losses totaled to net gains of $47 million during the first nine months of 2013, compared with net losses of $33 million in the nine-month period ended September 30, 2012. Reflected in those amounts were net gains from sales of investment securities in 2013 of $56 million and other-than-temporary impairment losses of $10 million in 2013 and $33 million in 2012.</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revenues from operations were $350 million in the nine-month period ended September 30, 2013, compared with $273 million in the similar year-earlier period. Reflected in such revenues in 2013 were the $63 million of gains from securitization activities previously discussed. Also included in other revenues from operations during the nine-month periods ended September 30, 2013 and 2012 were the following significant components: letter of credit and other credit related fees of $99 million and $91 million, respectively; income from bank owned life insurance of $44 million and $37 million, respectively; merchant discount and credit card fees of $62 million and $57 million, respectively; and insurance-related sales commissions and other revenues of $32 million and $33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Other expense totaled $659 million in the third quarter of 2013, up 7% from $616 million in the year-earlier period and 10% above $599 million in 2013’s second quarter. Included in those amounts are expenses considered by management to be “nonoperating” in nature consisting of amortization of core deposit and other intangible assets of $11 million and $14 million in the third quarters of 2013 and 2012, respectively, and $13 million in the second quarter of 2013, and merger-related expenses of $8 million in the three-month period ended June 30, 2013. Such merger-related expenses were incurred in connection with the pending Hudson City acquisition. Those expenses consisted largely of professional services and other temporary help fees associated with the planned conversion of systems and/or integration of operations; initial marketing and promotion expenses designed to introduce M&amp;T Bank to its new customers; travel costs; and printing, postage, supplies and other costs. There were no merger-related expenses in the third quarters of 2013 or 2012. Exclusive of these nonoperating expenses, noninterest operating expenses were $648 million in the recent quarter, compared with $602 million in the third quarter of 2012 and $578 million in the second quarter of 2013. The most significant factors for the higher level of expenses in the recent quarter were higher costs for salaries and professional services. The higher salaries expenses reflect costs incurred during the quarter to increase the Company’s loan servicing capacity to accommodate the subservicing arrangement previously discussed whereby the Company added approximately $35 billion of residential real estate loans to its subservicing portfolio. Also contributing to the increased salaries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 the higher professional services expenses in the recent quarter were costs related to risk management, capital planning and stress testing, Bank Secrecy Act/Anti-Money Laundering (“BSA/AML”) compliance, and other operational initiatives. Reducing expenses in the second quarter of 2013 was the reversal of a $26 million accrual for a contingent compensation obligation assumed in the May 2011 acquisition of Wilmington Trust that expired.</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expense for the first nine months of 2013 aggregated $1.89 billion, up $10 million or 1% from $1.88 billion in the year-earlier period. Included in those amounts are expenses considered to be “nonoperating” in nature consisting of amortization of core deposit and other intangible assets of $36 million and $47 million in the nine-month periods ended September 30, 2013 and 2012, respectively, and merger-related expenses of $12 million and $10 million in the first nine months of 2013 and 2012, respectively. Exclusive of these nonoperating expenses, noninterest operating expenses through the first nine months of 2013 increased $18 million or 1% to $1.84 billion from $1.83 billion in the corresponding 2012 period. The most significant factors for that increase were higher salaries and professional services expenses, largely offset by the reversal of the accrual of a Wilmington Trust-related contingent compensation obligation that expired and lower FDIC assessments. Table 2 provides a reconciliation of other expense to noninterest operating expense.</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Salaries and employee benefits expense totaled $339 million in the third quarter of 2013, compared with $322 million in the third quarter of 2012 and $323 million in the second quarter of 2013. The higher salaries expenses in the recent quarter reflect costs incurred during the quarter to increase M&amp;T’s loan servicing capacity to accommodate the subservicing arrangement discussed earlier. Also contributing to the increased salaries expenses in the recent quarter were costs related to risk management, capital planning and stress testing, BSA/AML compliance, and other operational initiatives. For the first three quarters of 2013, salaries and employee benefits expense totaled $1.02 billion, up 3% from $992 million in the year-earlier period.</w:t>
      </w:r>
    </w:p>
    <w:p>
      <w:pPr>
        <w:spacing w:after="0" w:line="1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Salaries and employee benefits included stock-based compensation of $9 million in each of the two most recent quarters, $11 million during the quarter ended September 30, 2012, and $47 million and $46 million for the nine-month periods ended September 30, 2013 and 2012, respectively. The number of full-time equivalent employees was 15,409 at September 30, 2013, 14,434 at September 30, 2012, 14,404 at December 31, 2012 and 14,885 at June 30, 2013.</w:t>
      </w:r>
    </w:p>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Excluding the nonoperating expense items described earlier from each quarter, nonpersonnel operating expenses were $309 million in the third quarter of 2013, compared with $280 million and $256 million in the year-earlier quarter and the second quarter of 2013, respectively. On the same basis, such expenses were $826 million and $840 million during the first nine months of 2013 and 2012, respectively. The recent quarter increase as compared with the third quarter of 2012 was predominantly due to higher costs for professional services and advertising and promotion, partially offset by lower FDIC assessments. The recent quarter increase as compared with the second quarter of 2013 reflects the impact of the expiration of the Wilmington Trust-related contingency in the second quarter of 2013 and higher professional services expenses. The increase in professional services expenses in the recent quarter reflects costs incurred related to risk management, capital planning and stress testing, BSA/AML compliance, and other operational initiatives. The decline in nonpersonnel operating expenses in the first nine months of 2013 as compared with the corresponding 2012 period was due predominantly to the impact of the Wilmington Trust-related accrual and lower FDIC assessments, partially offset by higher costs for professional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efficiency ratio, or noninterest operating expenses (as defined above) divided by the sum of taxable-equivalent net interest income and noninterest income (exclusive of gains and losses from bank investment securities), measures the relationship of operating expenses to revenues. The Company’s efficiency ratio was 56.0% in the recent quarter, compared with 53.7% and 50.9% in the year-earlier quarter and the second quarter of 2013, respectively. The efficiency ratios for the nine-month periods ended September 30, 2013 and 2012 were 54.3% and 57.1%,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provision for income taxes for the third quarter of 2013 was $149 million, compared with $153 million and $182 million in the year-earlier quarter and second quarter of 2013, respectively. The effective tax rates were 33.7% for the quarter ended September 30, 2013 and 34.3% for each of the quarters ended September 30, 2012 and June 30, 2013. For the nine-month periods ended September 30, 2013 and 2012, the provision for income taxes was $473 million and $374 million, respectively, and the effective tax rates were 34.0% and 33.8%,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6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Shareholders’ equity was $11.0 billion at September 30, 2013, representing 13.05% of total assets, compared with $9.9 billion or 12.27% of total assets a year earlier and $10.2 billion or 12.29% at December 31, 2012. Included in shareholders’ equity was preferred stock with financial statement carrying values of $879 million at September 30, 2013, $870 million at September 30, 2012 and $873 million at December 31, 2012.</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August 2012, the U.S. Department of Treasury (“U.S. Treasury”) completed a public offering of its holding of M&amp;T Series A and Series C Preferred Stock, resulting in M&amp;T’s exit from the Troubled Asset Relief Program – Capital Purchase Program (“TARP”) of the U.S. Treasury. In conjunction with the U.S. Treasury’s public offering, M&amp;T agreed to modify certain of the terms of the Series A and Series C Preferred Stock related to the dividend rate on the preferred shares at the reset dates, which was originally set to change from 5% to 9% on November 15, 2013 for the Series C preferred shares and on February 15, 2014 for the Series A preferred shares. In each case, the dividend rate will now change to 6.375% on November 15, 2013.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w:t>
      </w:r>
    </w:p>
    <w:p>
      <w:pPr>
        <w:spacing w:after="0" w:line="16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Common shareholders’ equity was $10.1 billion, or $77.81 per share, at September 30, 2013, compared with $9.1 billion, or $71.17 per share, at September 30, 2012 and $9.3 billion, or $72.73 per share, at December 31,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Tangible equity per common share, which excludes goodwill and core deposit and other intangible assets and applicable deferred tax balances, was $50.32 at the end of the recent quarter, compared with $42.80 a year earlier and $44.61 at December 31, 2012. The Company’s ratio of tangible common equity to tangible assets was 8.11% at September 30, 2013, compared with 7.04% a year earlier and 7.20% at December 31, 2012. Reconciliations of total common shareholders’ equity and tangible common equity and total assets and tangible assets as of each of those respective dates are presented in table 2.</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$64 million, or $.49 per common share, at September 30, 2013, compared with net unrealized gains of $34 million, or $.27 per common share, at September 30, 2012 and $37 million, or $.29 per common share, at December 31, 2012. Information about unrealized gains and losses as of September 30, 2013 and December 31, 2012 is included in note 3 of Notes to Financial Statements.</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Reflected in net unrealized gains at September 30, 2013 were pre-tax effect unrealized losses of $23 million on available-for-sale investment securities with an amortized cost of $324 million and pre-tax effect unrealized gains of $160 million on securities with an amortized cost of $4.2 billion. The pre-tax effect unrealized losses reflect $20 million of losses on trust preferred securities issued by financial institutions having an amortized cost of $123 million and an estimated fair value of $103 million (generally considered Level 2 valuations). Further information concerning the Company’s valuations of available-for-sale investment securities is provided in note 12 of Notes to Financial Statements.</w:t>
      </w:r>
    </w:p>
    <w:p>
      <w:pPr>
        <w:spacing w:after="0" w:line="17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In the second quarter of 2013, the Company sold substantially all of its privately issued residential MBS that were classified as available-for-sale and recorded a pre-tax loss of $46 million. Those privately issued MBS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assesses impairment losses on privately issued MBS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MBS in the held-to-maturity portfolio during the third quarter of 2013. In total, at September 30, 2013 and December 31, 2012, the Company had in its held-to-maturity portfolio MBS with an amortized cost basis of $225 million and $242 million, respectively, and a fair value of $168 million and $148 million, respectively. At September 30, 2013, 93% of the MBS were in the most senior tranche of the securitization structure with 36% being independently rated as investment grade. The MBS had a weighted-average credit enhancement of 21% at September 30, 2013,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MBS in the held-to-maturity portfolio had a current payment status as of September 30, 2013.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At September 30, 2013, the Company also had pre-tax unrealized losses of $21 million on $132 million of trust preferred securities issued by financial institutions, securities backed by trust preferred securities, and other debt securities. Pre-tax unrealized losses of $28 million existed on $130 million of such securities at December 31, 2012. After evaluating the expected repayment performance of those bonds, the Company did not recognize any other-than-temporary impairment losses related to those securities during the quarter ended September 30,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2012 the Company recognized $6 million (pre-tax) of other-than-temporary impairment losses related to privately issued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MBS.</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September 30, 2013,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6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$261 million, or $2.01 per common share, at September 30, 2013, $264 million, or $2.07 per common share, at September 30, 2012 and $277 million, or $2.16 per common share, at December 31, 2012.</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dividends declared on M&amp;T’s common stock totaled approximately $92 million in the recent quarter, compared with $89 million and $91 million in the three-month periods ended September 30, 2012 and June 30, 2013, respectively, and represented a quarterly dividend of $.70 per common share in each of those quarters. Common stock dividends during the nine-month periods ended September 30, 2013 and 2012 were $273 million and $268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during each of 2013 and 2012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1st Qtr.</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2nd Qtr.</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3rd Qtr.</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to-date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ind w:left="26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Series 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1,894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1,894</w:t>
            </w:r>
          </w:p>
        </w:tc>
        <w:tc>
          <w:tcPr>
            <w:tcW w:w="560" w:type="dxa"/>
            <w:vAlign w:val="bottom"/>
          </w:tcPr>
          <w:p>
            <w:pPr>
              <w:jc w:val="right"/>
              <w:spacing w:after="0"/>
              <w:rPr>
                <w:sz w:val="20"/>
                <w:szCs w:val="20"/>
                <w:color w:val="auto"/>
              </w:rPr>
            </w:pPr>
            <w:r>
              <w:rPr>
                <w:rFonts w:ascii="Arial" w:cs="Arial" w:eastAsia="Arial" w:hAnsi="Arial"/>
                <w:sz w:val="18"/>
                <w:szCs w:val="18"/>
                <w:color w:val="auto"/>
              </w:rPr>
              <w:t>1,894</w:t>
            </w: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25,781</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13,363</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13,362</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13,363</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20" w:type="dxa"/>
            <w:vAlign w:val="bottom"/>
            <w:vMerge w:val="restart"/>
          </w:tcPr>
          <w:p>
            <w:pPr>
              <w:jc w:val="right"/>
              <w:ind w:right="1730"/>
              <w:spacing w:after="0"/>
              <w:rPr>
                <w:sz w:val="20"/>
                <w:szCs w:val="20"/>
                <w:color w:val="auto"/>
              </w:rPr>
            </w:pPr>
            <w:r>
              <w:rPr>
                <w:rFonts w:ascii="Arial" w:cs="Arial" w:eastAsia="Arial" w:hAnsi="Arial"/>
                <w:sz w:val="18"/>
                <w:szCs w:val="18"/>
                <w:color w:val="auto"/>
              </w:rPr>
              <w:t>- 93 -</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2012 or the first nine months of 2013.</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At September 30, 2013, Tier 1 capital included trust preferred securities of $1.2 billion as described in note 5 of Notes to Financial Statements and total capital further included subordinated capital notes of $1.4 billion.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September 30, 2013 are presented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00" w:type="dxa"/>
            <w:vAlign w:val="bottom"/>
            <w:gridSpan w:val="2"/>
          </w:tcPr>
          <w:p>
            <w:pPr>
              <w:jc w:val="right"/>
              <w:ind w:right="800"/>
              <w:spacing w:after="0"/>
              <w:rPr>
                <w:sz w:val="20"/>
                <w:szCs w:val="20"/>
                <w:color w:val="auto"/>
              </w:rPr>
            </w:pPr>
            <w:r>
              <w:rPr>
                <w:rFonts w:ascii="Arial" w:cs="Arial" w:eastAsia="Arial" w:hAnsi="Arial"/>
                <w:sz w:val="14"/>
                <w:szCs w:val="14"/>
                <w:color w:val="auto"/>
              </w:rPr>
              <w:t>M&amp;T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Wilmington</w:t>
            </w:r>
          </w:p>
        </w:tc>
      </w:tr>
      <w:tr>
        <w:trPr>
          <w:trHeight w:val="167"/>
        </w:trPr>
        <w:tc>
          <w:tcPr>
            <w:tcW w:w="590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color w:val="auto"/>
                <w:w w:val="92"/>
              </w:rPr>
              <w:t>(Consolidated)</w:t>
            </w:r>
          </w:p>
        </w:tc>
        <w:tc>
          <w:tcPr>
            <w:tcW w:w="1200" w:type="dxa"/>
            <w:vAlign w:val="bottom"/>
            <w:gridSpan w:val="2"/>
          </w:tcPr>
          <w:p>
            <w:pPr>
              <w:jc w:val="right"/>
              <w:ind w:right="820"/>
              <w:spacing w:after="0"/>
              <w:rPr>
                <w:sz w:val="20"/>
                <w:szCs w:val="20"/>
                <w:color w:val="auto"/>
              </w:rPr>
            </w:pPr>
            <w:r>
              <w:rPr>
                <w:rFonts w:ascii="Arial" w:cs="Arial" w:eastAsia="Arial" w:hAnsi="Arial"/>
                <w:sz w:val="14"/>
                <w:szCs w:val="14"/>
                <w:color w:val="auto"/>
              </w:rPr>
              <w:t>Bank</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Trust, N.A.</w:t>
            </w:r>
          </w:p>
        </w:tc>
      </w:tr>
      <w:tr>
        <w:trPr>
          <w:trHeight w:val="88"/>
        </w:trPr>
        <w:tc>
          <w:tcPr>
            <w:tcW w:w="59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10.04%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capital</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15.07%</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78.17%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18.86%</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Business Banking segment recorded net income of $27 million during the quarter ended September 30, 2013, 31% lower than the $38 million earned in the year-earlier quarter and 13% below the $31 million earned in the second quarter of 2013. The recent quarter’s decline as compared with 2012’s third quarter was attributable to the following factors: lower net interest income of $7 million, resulting from a 48 basis point narrowing of the net interest margin on deposits, partially offset by increases of $253 million and $206 million in average outstanding deposit and loan balances, respectively; a $3 million increase in the provision for credit losses, the result of higher net charge-offs; a $2 million increase in personnel costs; and other miscellaneous operating expense increases. As compared with the second quarter of 2013, a $4 million increase in the provision for credit losses, the result of increased net charge-offs, was the largest contributor to the decline in the recent quarter’s net income. Net income recorded by the Business Banking segment totaled $90 million for the first nine months of 2013, 19% below the $111 million earned in the corresponding 2012 period. That decline can be attributed to lower net interest income of $16 million, a $4 million increase in personnel costs, a $2 million decline in fees earned for providing deposit account services, and a $2 million increase in the provision for credit losses. The lower net interest income reflects a 45 basis point narrowing of the net interest margin on deposits, partially offset by a $468 million increase in average outstanding deposit balances.</w:t>
      </w:r>
    </w:p>
    <w:p>
      <w:pPr>
        <w:spacing w:after="0" w:line="18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income recorded by the Commercial Banking segment aggregated $97 million in the third quarter of 2013, 14% lower than the $113 million earned in the year-earlier quarter, but 11% higher than the $87 million recorded in 2013’s second quarter. The recent quarter’s decline in net income as compared with 2012’s third quarter was attributable to a $25 million increase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provision for credit losses, largely resulting from $19 million of loans charged-off for a relationship with a motor vehicle-related parts wholesaler. The impact on net interest income of increases in average outstanding loan and deposit balances of $2.0 billion and $927 million, respectively, was predominantly offset by a 42 basis point narrowing of the net interest margin on deposits. Compared with the second quarter of 2013, the recent quarter’s increase in net income was largely due to a $15 million decrease in the provision for credit losses, reflecting lower net charge-offs, and a $4 million increase in loan syndication fees, partially offset by higher personnel costs of $2 million. Net income for the Commercial Banking segment was $292 million during the first nine months of 2013, down 7% from the $315 million earned in the similar 2012 period. That decline was largely due to a $53 million increase in the provision for credit losses, the result of higher net charge-offs, offset, in part, by higher net interest income of $15 million. The rise in net interest income was the result of higher average outstanding loan and deposit balances of $1.8 billion and $575 million, respectively, partially offset by a 26 basis point narrowing of the net interest margin on deposits.</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Commercial Real Estate segment contributed net income of $79 million in 2013’s third quarter, 5% above the $76 million recorded in the year-earlier quarter, but 12% lower than the $90 million earned in the second quarter of 2013. The improvement in net income as compared with the third quarter of 2012 was largely due to a $9 million improvement in net interest income, resulting from a 17 basis point widening of the net interest margin on loans and increases of $580 million and $445 million in average outstanding loan and deposit balances, respectively, partially offset by a 39 basis point narrowing of the net interest margin on deposits, and a $5 million decrease in the provision for credit losses, the result of lower net charge-offs. Those favorable factors were partially offset by lower mortgage banking revenues of $9 million. Contributing to the recent quarter’s unfavorable performance as compared with the preceding quarter were lower mortgage banking revenues of $10 million and a $7 million decline in the net interest income, resulting from a 17 basis point narrowing of the net interest margin on loans. Through September 30, net income for this segment increased 9% to $246 million in 2013 from $225 million in 2012. The rise in net income was largely attributable to a $35 million increase in net interest income, resulting from growth of $723 million in average outstanding loan balances and a 21 basis point widening of the net interest margin on loans, and a $6 million reduction in the provision for credit losses, the result of lower net charge-offs. Those favorable factors were offset, in part, by lower mortgage banking revenues of $6 million.</w:t>
      </w:r>
    </w:p>
    <w:p>
      <w:pPr>
        <w:spacing w:after="0" w:line="17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Discretionary Portfolio segment recorded net income of $25 million in the recent quarter, compared with net losses of $5 million in the year-earlier quarter and $8 million in the second quarter of 2013. Included in this segment’s results were net pre-tax losses from investment securities of $46 million in the second quarter 2013 associated with the sale of approximately $1.0 billion of privately issued MBS that had been held in the available-for-sale investment securities portfolio, and pre-tax other-than-temporary impairment charges of $6 million in the third quarter of 2012 relating to certain privately issued MBS. Excluding the impact of investment securities losses, this segment contributed net income in the quarters ended September 30, 2013 and June 30, 2013 of $25 million and $19 million, respectively, compared with a net loss of $2 million in the quarter ended September 30, 2012. The recent quarter’s favorable performance as compared with the year-earlier quarter was predominantly due to $35 million of gains related to the securitization of approximately $1.0 billion of one-to-four family residential real estate loans held in the Company’s loan portfolio and a decrease in the provision for credit losses of $8 million, the result of lower net charge-offs. On the same basis, the improvement in net contribution as compared with 2013’s second quarter was due to the recent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quarter securitization gains, compared with similar securitization gains recognized in the second quarter of $7 million. Those favorable factors were partially offset by an $11 million increase in intersegment costs and a $4 million decline in net interest income, resulting from lower average balances of earning assets and an 18 basis point narrowing of the net interest margin on investment securities. The Discretionary Portfolio segment recorded net income of $19 million for the first nine months of 2013, compared with a net loss of $28 million in the corresponding 2012 period. Adjusted to exclude the impact of pre-tax losses on investment securities of $56 million in 2013 and $34 million in 2012, this segment earned net income of $52 million for the first nine months of 2013, compared with a net loss of $8 million in the year-earlier period. The most significant contributing factors in the improved performance in 2013 include: $42 million of gains from securitization transactions; a $23 million decline in the provision for credit losses, predominantly the result of lower net charge-offs; a $21 million decrease in intersegment costs related to a lower proportion of residential real estate loans being retained for portfolio rather than being sold; and a $4 million increase in net interest income, resulting from a 5 basis point widening of the net interest margin.</w:t>
      </w:r>
    </w:p>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Net contribution from the Residential Mortgage Banking segment totaled $13 million in the recent quarter, compared with $45 million in the third quarter of 2012 and $34 million in 2013’s second quarter. The decline in net income in the recent quarter as compared with the year-earlier period resulted largely from a $56 million decline in revenues from residential mortgage origination and sales activities (including intersegment revenues), reflecting decreased volumes of loans originated for sale and narrower margins related to such loans. Partially offsetting that decline were higher net interest income of $6 million, reflecting increases of $248 million and $508 million in average loan and deposit balances outstanding, respectively, and a $4 million increase in revenues from servicing residential real estate loans. As compared with the second 2013 quarter, contributing to the recent quarter’s unfavorable performance were a $25 million decline in revenues from residential mortgage origination and sales activities (including intersegment revenues), due to lower origination volumes and narrower margins on loans originated for sale, and an $8 million increase in the provision for credit losses, as the second quarter 2013 reflected a recovery of a previously charged-off loan to a residential real estate builder and developer of $9 million. Partially offsetting those factors was an increase of $5 million in revenues from servicing residential real estate loans. Year-to-date net income for this segment totaled $81 million and $94 million in 2013 and 2012, respectively. The 14% decrease in net income was due to a $43 million decrease in revenues from residential mortgage origination and sales activities (including intersegment revenues), due to lower origination volumes and narrower margins on loans originated for sale, and a $14 million increase in personnel costs. Those unfavorable factors were offset, in part, by a $16 million increase in net interest income, resulting from a $403 million increase in average loan balances outstanding and a 51 basis point widening of the net interest margin on loans, and higher revenues from servicing residential real estate loans (including intersegment revenues).</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contribution from the Retail Banking segment totaled $54 million in the third quarter of 2013, compared with $58 million in the year-earlier quarter and $52 million in the second quarter of 2013. The 8% decline in the recent quarter’s net income as compared with the similar 2012 quarter was largely due to a $24 million decrease in net interest income, resulting from a 37 basis point narrowing of the net interest margin on deposits and a $425 million decrease in average outstanding loans. That unfavorable factor was partially offset by a $21 million gain on the securitization and sale of approximately $1.4 billion of automobile loans previously held in the Company’s loan portfolio. As compared with the second quarter of 2013, the $21 million gain on the automobile loan securitization transaction was offset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by higher noninterest operating expenses, including costs related to BSA/AML compliance and other operational initiatives, and a $2 million decline in net interest income, resulting from a 4 basis point narrowing of the net interest margin on deposits. The Retail Banking segment recorded net income of $158 million in the first nine months of 2013, 5% below the $165 million earned in the corresponding 2012 period. Contributing to the unfavorable performance was a $63 million decrease in net interest income, largely due to a 33 basis point narrowing of the net interest margin on deposits and a decrease in average outstanding loans of $410 million, partially offset by a 15 basis point widening of the net interest margin on loans and an $804 million increase in average outstanding deposit balances. Partially offsetting the decline in net interest income were the $21 million gain on the securitization of automobile loans, an $11 million decline in the provision for credit losses largely due to lower net charge-offs, and lower personnel costs.</w:t>
      </w:r>
    </w:p>
    <w:p>
      <w:pPr>
        <w:spacing w:after="0" w:line="16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activities of the Company. The various components of the “All Other” category resulted in losses of $1 million and $32 million in the quarters ended September 30, 2013 and 2012, respectively, compared with net income of $63 million in the second quarter of 2013. The improved performance in the recent quarter as compared with the year-earlier period resulted largely from increased trust income of $8 million, a $9 million decrease in FDIC assessments, and the favorable impact from the Company’s allocation methodologies for internal transfers for funding and other charges of the Company’s reportable segments and the provision for credit losses. The most significant factors contributing to the recent quarter’s unfavorable results as compared with the second quarter of 2013 were the realized gains on the sale of Visa and MasterCard common stock totaling $103 million and the reversal of the accrual for a contingent compensation obligation assumed in the May 2011 acquisition of Wilmington Trust in the amount of $26 million, each recorded in the 2013’s second quarter. The “All Other” category recorded net income of $32 million for the first nine months of 2013, compared with a net loss of $149 million for the corresponding 2012 period. In addition to the gain on investment securities and the reversal of the contingent compensation obligation, the favorable performance in 2013 as compared with 2012 resulted largely from the favorable impact from the Company’s allocation methodologies for internal transfers for funding and other charges of the Company’s reportable segments and the provision for credit losses, a $26 million decrease in FDIC assessments, and higher trust income of $15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2013, the Financial Accounting Standards Board (“FASB”) issued amended accounting guidance permitting the Overnight Index Swap Rate (also referred to as the Fed Funds Effective Swap Rate) to be used as a U.S. benchmark interest rate for hedge accounting purposes, in addition to the interest rate on direct Treasury obligations of the U.S. government and the London Interbank Offered Rate. The amendments also remove the restriction on using different benchmark rates for similar hedges. The guidance was effective prospectively for qualifying new or redesignated hedging relationships entered into on or after July 17, 2013. In the past, the Company has not attempted to hedge its assets or its liabilities for changes in the Overnight Index Swap Rate, but could do so in the future.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October 2012, the FASB issued amended accounting guidance relating to subsequent accounting for an indemnification asset recognized at the acquisition date as a result of a government-assisted acquisition of a financial institution. The amendment clarifies the existing subsequent measurement guidance for indemnification assets recognized as a result of a government-assisted acquisition of a financial institution that includes a loss-sharing agreement. Specifically, when an entity recognizes an indemnification asset as a result of a government-assisted acquisition of a financial institution and subsequently a change in the cash flows expected to be collected on the indemnification asset occurs (as a result of a change in cash flows expected to be collected on the assets subject to indemnification), the entity should account for the change in the measurement of the indemnification asset on the same basis as the change in the assets subject to indemnification. Any amortization of changes in value would be limited to the lesser of the contractual term of the indemnification agreement and the remaining life of the indemnified assets. The guidance is effective for fiscal years, and interim periods within those years, beginning on or after December 15, 2012. The guidance should be applied prospectively to any new indemnification assets recognized after the date of adoption and to indemnification assets existing as of the date of adoption. The adoption of this guidance did not have a significant effect on the Company’s financial position or results of operations.</w:t>
      </w:r>
    </w:p>
    <w:p>
      <w:pPr>
        <w:spacing w:after="0" w:line="18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Company’s disclosures relating to offsetting assets and liabilities can be found in notes 5 and 10 of Notes to the Financial Statements.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The presentation guidance was effective for fiscal years, and interim periods within those years, beginning after December 15, 2011 and was to be applied retrospectively. The Company has complied with the new presentation guidance using separate but consecutive statements. In February 2013, the FASB again amended presentation guidance relating to comprehensive income to require disclosures of significant amounts reclassified out of accumulated other comprehensive income by component for reporting periods beginning after December 15, 2012. The Company’s disclosures relating to accumulated other comprehensive income can be found in note 9 of Notes to the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Financial Condition and Results of Operations and other sections of this quarterly report contain forward-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w w:val="89"/>
              </w:rPr>
              <w:t>2013 Quarters</w:t>
            </w: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2012 Quarters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Third</w:t>
            </w: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Second</w:t>
            </w:r>
          </w:p>
        </w:tc>
        <w:tc>
          <w:tcPr>
            <w:tcW w:w="640" w:type="dxa"/>
            <w:vAlign w:val="bottom"/>
          </w:tcPr>
          <w:p>
            <w:pPr>
              <w:jc w:val="right"/>
              <w:ind w:right="90"/>
              <w:spacing w:after="0" w:line="142" w:lineRule="exact"/>
              <w:rPr>
                <w:sz w:val="20"/>
                <w:szCs w:val="20"/>
                <w:color w:val="auto"/>
              </w:rPr>
            </w:pPr>
            <w:r>
              <w:rPr>
                <w:rFonts w:ascii="Arial" w:cs="Arial" w:eastAsia="Arial" w:hAnsi="Arial"/>
                <w:sz w:val="14"/>
                <w:szCs w:val="14"/>
                <w:color w:val="auto"/>
              </w:rPr>
              <w:t>First</w:t>
            </w:r>
          </w:p>
        </w:tc>
        <w:tc>
          <w:tcPr>
            <w:tcW w:w="30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Fourth</w:t>
            </w: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Third</w:t>
            </w: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748,791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756,424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736,425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751,860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751,385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744,031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69,578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72,620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73,925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77,931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82,129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89,403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679,213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683,804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662,500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673,929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669,256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654,628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627,094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48,000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57,000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38,000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477,388</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508,689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432,882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453,164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445,733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391,650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658,626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598,591</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635,596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626,146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616,027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627,392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639,695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449,975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536,902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421,786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451,947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452,962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358,886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149,391</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182,219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141,223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149,247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152,966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118,861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6,217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294,479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348,466</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274,113</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296,193</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293,462</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233,380</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206,463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275,356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328,557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255,096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276,605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273,896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214,716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129,171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128,252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127,669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126,918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125,819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125,488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130,265</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129,017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128,636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127,800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126,292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125,897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11.06%</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13.78%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interest margin on average earning assets (taxable-equivalent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Nonaccrual loans to total loans and leases, net of unearned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discount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1.46%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300,968</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360,734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285,136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304,657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302,060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247,433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22.72%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18.71%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20.46%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21.53%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18.54%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81,913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81,366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80,087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80,427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79,760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78,311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77,755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76,810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76,455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74,667</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73,960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72,339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70,662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70,450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6,979</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5,293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5,803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6,295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6,811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7,271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64,858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65,979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65,852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65,011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61,826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66,232</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65,680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64,540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64,269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62,743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61,530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9,687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6,419</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6,095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5,846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5,622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5,297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84,427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83,229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82,812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83,009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81,085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80,808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80,847</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79,641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79,215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79,402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77,181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74,085</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73,927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73,543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72,859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71,220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71,065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5,211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63,659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65,972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65,924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66,571</w:t>
            </w:r>
          </w:p>
        </w:tc>
        <w:tc>
          <w:tcPr>
            <w:tcW w:w="660" w:type="dxa"/>
            <w:vAlign w:val="bottom"/>
          </w:tcPr>
          <w:p>
            <w:pPr>
              <w:jc w:val="right"/>
              <w:spacing w:after="0"/>
              <w:rPr>
                <w:sz w:val="20"/>
                <w:szCs w:val="20"/>
                <w:color w:val="auto"/>
              </w:rPr>
            </w:pPr>
            <w:r>
              <w:rPr>
                <w:rFonts w:ascii="Arial" w:cs="Arial" w:eastAsia="Arial" w:hAnsi="Arial"/>
                <w:sz w:val="18"/>
                <w:szCs w:val="18"/>
                <w:color w:val="auto"/>
              </w:rPr>
              <w:t>64,112</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62,851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66,552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65,661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65,090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65,611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62,549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shareholders’ equity, net of undeclared cumulative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preferred dividends (c)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10,133</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9,836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9,545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9,327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9,071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8,758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6,248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77.81</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75.98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73.99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72.73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71.17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69.15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48.26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112.01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105.90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109.47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95.68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99.59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95.02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82.29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76.92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111.75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0" w:gutter="0" w:footer="0" w:header="0"/>
        </w:sectPr>
      </w:pPr>
    </w:p>
    <w:bookmarkStart w:id="100" w:name="page101"/>
    <w:bookmarkEnd w:id="100"/>
    <w:p>
      <w:pPr>
        <w:ind w:left="452" w:right="140" w:hanging="452"/>
        <w:spacing w:after="0" w:line="256" w:lineRule="auto"/>
        <w:tabs>
          <w:tab w:leader="none" w:pos="45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452" w:hanging="452"/>
        <w:spacing w:after="0"/>
        <w:tabs>
          <w:tab w:leader="none" w:pos="45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rFonts w:ascii="Arial" w:cs="Arial" w:eastAsia="Arial" w:hAnsi="Arial"/>
          <w:sz w:val="16"/>
          <w:szCs w:val="16"/>
          <w:i w:val="1"/>
          <w:iCs w:val="1"/>
          <w:color w:val="auto"/>
        </w:rPr>
      </w:pPr>
    </w:p>
    <w:p>
      <w:pPr>
        <w:ind w:left="5572" w:hanging="106"/>
        <w:spacing w:after="0"/>
        <w:tabs>
          <w:tab w:leader="none" w:pos="55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100 -</w:t>
      </w:r>
    </w:p>
    <w:p>
      <w:pPr>
        <w:sectPr>
          <w:pgSz w:w="11900" w:h="16838" w:orient="portrait"/>
          <w:cols w:equalWidth="0" w:num="1">
            <w:col w:w="11232"/>
          </w:cols>
          <w:pgMar w:left="248" w:top="125" w:right="419" w:bottom="1440" w:gutter="0" w:footer="0" w:header="0"/>
        </w:sectPr>
      </w:pPr>
    </w:p>
    <w:bookmarkStart w:id="101" w:name="page102"/>
    <w:bookmarkEnd w:id="10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32"/>
        </w:trPr>
        <w:tc>
          <w:tcPr>
            <w:tcW w:w="6160" w:type="dxa"/>
            <w:vAlign w:val="bottom"/>
            <w:gridSpan w:val="9"/>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3"/>
              </w:rPr>
              <w:t>2013 Quarters</w:t>
            </w:r>
          </w:p>
        </w:tc>
        <w:tc>
          <w:tcPr>
            <w:tcW w:w="7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rPr>
              <w:t>2012 Quarters</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50"/>
              <w:spacing w:after="0" w:line="142" w:lineRule="exact"/>
              <w:rPr>
                <w:sz w:val="20"/>
                <w:szCs w:val="20"/>
                <w:color w:val="auto"/>
              </w:rPr>
            </w:pPr>
            <w:r>
              <w:rPr>
                <w:rFonts w:ascii="Arial" w:cs="Arial" w:eastAsia="Arial" w:hAnsi="Arial"/>
                <w:sz w:val="14"/>
                <w:szCs w:val="14"/>
                <w:color w:val="auto"/>
              </w:rPr>
              <w:t>First</w:t>
            </w:r>
          </w:p>
        </w:tc>
        <w:tc>
          <w:tcPr>
            <w:tcW w:w="300" w:type="dxa"/>
            <w:vAlign w:val="bottom"/>
          </w:tcPr>
          <w:p>
            <w:pPr>
              <w:spacing w:after="0"/>
              <w:rPr>
                <w:sz w:val="12"/>
                <w:szCs w:val="12"/>
                <w:color w:val="auto"/>
              </w:rPr>
            </w:pPr>
          </w:p>
        </w:tc>
        <w:tc>
          <w:tcPr>
            <w:tcW w:w="106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rPr>
              <w:t>Fourth</w:t>
            </w: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Third</w:t>
            </w: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294,479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348,466</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274,113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296,193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293,462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233,380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4,636</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2,875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300,968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360,734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285,136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304,657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302,060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247,433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218,360</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assets (a)</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w w:val="99"/>
              </w:rPr>
              <w:t>Diluted net operating earnings per common</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658,626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598,591</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635,596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626,146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616,027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627,392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639,695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Amortization of core deposit and other intangible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(10,628)</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Merger-related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(7,632)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(4,732)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(7,151)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operating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647,998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578,457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617,521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612,281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601,942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604,334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620,193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Merger-related expenses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489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5,845</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3,168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4,127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647,998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578,457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617,521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612,281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601,942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604,334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620,193</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683,804</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662,500</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673,929</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669,256</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654,628</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627,094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477,388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508,689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432,882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453,164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445,733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391,650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Less: Gain (loss) on bank investment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56,457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Net OTTI losses recognized in earnings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1,156,601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1,136,036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1,105,182</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1,141,584</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1,120,289</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1,062,859</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1,015,258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56.03%</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84,011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81,913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81,366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80,087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80,427</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79,760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78,311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77,755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76,810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76,455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common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10,563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10,322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(876)</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(874)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84,427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83,229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82,812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83,009</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81,085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80,808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79,641</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79,215</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79,402</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77,469</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77,181</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equity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11,016</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10,716</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10,423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10,203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9,945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9,630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Undeclared dividends - cumulative preferred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equity, net of undeclared cumulative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8,559</w:t>
            </w:r>
          </w:p>
        </w:tc>
      </w:tr>
      <w:tr>
        <w:trPr>
          <w:trHeight w:val="230"/>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dividends</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tangible common equity</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w:t>
            </w: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134"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6820" w:type="dxa"/>
            <w:vAlign w:val="bottom"/>
            <w:gridSpan w:val="12"/>
          </w:tcPr>
          <w:p>
            <w:pPr>
              <w:spacing w:after="0"/>
              <w:rPr>
                <w:sz w:val="20"/>
                <w:szCs w:val="20"/>
                <w:color w:val="auto"/>
              </w:rPr>
            </w:pPr>
            <w:r>
              <w:rPr>
                <w:rFonts w:ascii="Arial" w:cs="Arial" w:eastAsia="Arial" w:hAnsi="Arial"/>
                <w:sz w:val="18"/>
                <w:szCs w:val="18"/>
                <w:color w:val="auto"/>
                <w:w w:val="99"/>
              </w:rPr>
              <w:t>AVERAGE BALANCE SHEETS AND ANNUALIZED TAXABLE-EQUIVALENT RATES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4"/>
                <w:szCs w:val="14"/>
                <w:color w:val="auto"/>
              </w:rPr>
              <w:t>2013 Third Quarter</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color w:val="auto"/>
              </w:rPr>
              <w:t>2013 Second Quarter</w:t>
            </w:r>
          </w:p>
        </w:tc>
        <w:tc>
          <w:tcPr>
            <w:tcW w:w="2260" w:type="dxa"/>
            <w:vAlign w:val="bottom"/>
            <w:gridSpan w:val="7"/>
          </w:tcPr>
          <w:p>
            <w:pPr>
              <w:jc w:val="right"/>
              <w:ind w:right="700"/>
              <w:spacing w:after="0"/>
              <w:rPr>
                <w:sz w:val="20"/>
                <w:szCs w:val="20"/>
                <w:color w:val="auto"/>
              </w:rPr>
            </w:pPr>
            <w:r>
              <w:rPr>
                <w:rFonts w:ascii="Arial" w:cs="Arial" w:eastAsia="Arial" w:hAnsi="Arial"/>
                <w:sz w:val="14"/>
                <w:szCs w:val="14"/>
                <w:color w:val="auto"/>
              </w:rPr>
              <w:t>2013 First Quarter</w:t>
            </w:r>
          </w:p>
        </w:tc>
        <w:tc>
          <w:tcPr>
            <w:tcW w:w="0" w:type="dxa"/>
            <w:vAlign w:val="bottom"/>
          </w:tcPr>
          <w:p>
            <w:pPr>
              <w:spacing w:after="0"/>
              <w:rPr>
                <w:sz w:val="1"/>
                <w:szCs w:val="1"/>
                <w:color w:val="auto"/>
              </w:rPr>
            </w:pPr>
          </w:p>
        </w:tc>
      </w:tr>
      <w:tr>
        <w:trPr>
          <w:trHeight w:val="149"/>
        </w:trPr>
        <w:tc>
          <w:tcPr>
            <w:tcW w:w="44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5"/>
              </w:rPr>
              <w:t>Average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Average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4420" w:type="dxa"/>
            <w:vAlign w:val="bottom"/>
            <w:gridSpan w:val="4"/>
            <w:vMerge w:val="continue"/>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w w:val="98"/>
              </w:rPr>
              <w:t>Balance</w:t>
            </w: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Rate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Balance</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Interest</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Rate</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Balance</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17,798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$156,915</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17,713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159,639</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17,328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156,204</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Real estate - commercial</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26,129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301,178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26,051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311,111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25,915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285,886</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Real estate - consumer</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9,636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100,364</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4.17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10,806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109,356</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11,142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113,939</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11,295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11,409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130,418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11,467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131,811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ind w:left="480"/>
              <w:spacing w:after="0"/>
              <w:rPr>
                <w:sz w:val="20"/>
                <w:szCs w:val="20"/>
                <w:color w:val="auto"/>
              </w:rPr>
            </w:pPr>
            <w:r>
              <w:rPr>
                <w:rFonts w:ascii="Arial" w:cs="Arial" w:eastAsia="Arial" w:hAnsi="Arial"/>
                <w:sz w:val="18"/>
                <w:szCs w:val="18"/>
                <w:color w:val="auto"/>
              </w:rPr>
              <w:t>Total loans and leases, net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64,858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688,636</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65,979</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710,524</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65,852</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687,840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48,406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28,454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28,869</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2,460</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640" w:type="dxa"/>
            <w:vAlign w:val="bottom"/>
          </w:tcPr>
          <w:p>
            <w:pPr>
              <w:jc w:val="right"/>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660" w:type="dxa"/>
            <w:vAlign w:val="bottom"/>
          </w:tcPr>
          <w:p>
            <w:pPr>
              <w:jc w:val="right"/>
              <w:spacing w:after="0"/>
              <w:rPr>
                <w:sz w:val="20"/>
                <w:szCs w:val="20"/>
                <w:color w:val="auto"/>
              </w:rPr>
            </w:pPr>
            <w:r>
              <w:rPr>
                <w:rFonts w:ascii="Arial" w:cs="Arial" w:eastAsia="Arial" w:hAnsi="Arial"/>
                <w:sz w:val="18"/>
                <w:szCs w:val="18"/>
                <w:color w:val="auto"/>
              </w:rPr>
              <w:t>2,573</w:t>
            </w:r>
          </w:p>
        </w:tc>
        <w:tc>
          <w:tcPr>
            <w:tcW w:w="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ind w:left="480"/>
              <w:spacing w:after="0"/>
              <w:rPr>
                <w:sz w:val="20"/>
                <w:szCs w:val="20"/>
                <w:color w:val="auto"/>
              </w:rPr>
            </w:pPr>
            <w:r>
              <w:rPr>
                <w:rFonts w:ascii="Arial" w:cs="Arial" w:eastAsia="Arial" w:hAnsi="Arial"/>
                <w:sz w:val="18"/>
                <w:szCs w:val="18"/>
                <w:color w:val="auto"/>
              </w:rPr>
              <w:t>Total investment securities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58,272</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44,090</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earning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74,667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748,791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73,960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756,424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72,339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736,425</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442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8,905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9,003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9,103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84,011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83,352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81,913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36,990</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13,733</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36,459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13,790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35,394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14,037</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213</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42,234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20,408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41,936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21,795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41,584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22,943</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42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50,729</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50,751</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47,543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47,330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1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46,909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23,998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23,744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22,956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1,715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1,726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73,130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72,789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71,591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10,563</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10,322</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84,011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83,352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81,913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8"/>
                <w:szCs w:val="18"/>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line="20" w:lineRule="exact"/>
              <w:rPr>
                <w:sz w:val="1"/>
                <w:szCs w:val="1"/>
                <w:color w:val="auto"/>
              </w:rPr>
            </w:pPr>
          </w:p>
        </w:tc>
      </w:tr>
      <w:tr>
        <w:trPr>
          <w:trHeight w:val="210"/>
        </w:trPr>
        <w:tc>
          <w:tcPr>
            <w:tcW w:w="44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679,213</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683,804</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662,500</w:t>
            </w:r>
          </w:p>
        </w:tc>
        <w:tc>
          <w:tcPr>
            <w:tcW w:w="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41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Includes nonaccrual loans.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500"/>
              <w:spacing w:after="0"/>
              <w:rPr>
                <w:sz w:val="20"/>
                <w:szCs w:val="20"/>
                <w:color w:val="auto"/>
              </w:rPr>
            </w:pPr>
            <w:r>
              <w:rPr>
                <w:rFonts w:ascii="Arial" w:cs="Arial" w:eastAsia="Arial" w:hAnsi="Arial"/>
                <w:sz w:val="14"/>
                <w:szCs w:val="14"/>
                <w:color w:val="auto"/>
                <w:w w:val="99"/>
              </w:rPr>
              <w:t>2012 Fourth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92"/>
              </w:rPr>
              <w:t>2012 Third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Average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88"/>
              </w:rPr>
              <w:t>Average</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Average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6200" w:type="dxa"/>
            <w:vAlign w:val="bottom"/>
            <w:gridSpan w:val="3"/>
            <w:vMerge w:val="continue"/>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rPr>
              <w:t>Balance</w:t>
            </w:r>
          </w:p>
        </w:tc>
        <w:tc>
          <w:tcPr>
            <w:tcW w:w="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Rate</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Balance</w:t>
            </w:r>
          </w:p>
        </w:tc>
        <w:tc>
          <w:tcPr>
            <w:tcW w:w="2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16,995</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$157,414</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16,504</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154,840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25,332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291,267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24,995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288,193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11,087</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113,698</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4.10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10,296</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110,346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11,597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136,615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139,524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65,011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698,994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63,455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692,903</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32,265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36,412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2,695</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2,899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17,449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18,761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58,072</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71,679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751,860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70,662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751,385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300" w:type="dxa"/>
            <w:vAlign w:val="bottom"/>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9,158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81,366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80,432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34,587</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16,378</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33,298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16,510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9,396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10,843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763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336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40,958</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26,432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40,039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28,016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53,748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46,145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46,021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82,129</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23,311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22,704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71,261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70,643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10,105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81,366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80,432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3.50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673,929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669,256</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Includes available for 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117" w:lineRule="exact"/>
        <w:rPr>
          <w:sz w:val="20"/>
          <w:szCs w:val="20"/>
          <w:color w:val="auto"/>
        </w:rPr>
      </w:pPr>
    </w:p>
    <w:p>
      <w:pPr>
        <w:ind w:right="60" w:firstLine="464"/>
        <w:spacing w:after="0" w:line="312" w:lineRule="auto"/>
        <w:tabs>
          <w:tab w:leader="none" w:pos="701"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2013.</w:t>
      </w:r>
    </w:p>
    <w:p>
      <w:pPr>
        <w:spacing w:after="0" w:line="146" w:lineRule="exact"/>
        <w:rPr>
          <w:rFonts w:ascii="Arial" w:cs="Arial" w:eastAsia="Arial" w:hAnsi="Arial"/>
          <w:sz w:val="16"/>
          <w:szCs w:val="16"/>
          <w:color w:val="auto"/>
        </w:rPr>
      </w:pPr>
    </w:p>
    <w:p>
      <w:pPr>
        <w:ind w:right="420" w:firstLine="464"/>
        <w:spacing w:after="0" w:line="302" w:lineRule="auto"/>
        <w:tabs>
          <w:tab w:leader="none" w:pos="7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2013 that have materially affected, or are reasonably likely to materially affect, M&amp;T’s internal control over financial reporting.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$70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SEC Investigation</w:t>
      </w:r>
      <w:r>
        <w:rPr>
          <w:rFonts w:ascii="Arial" w:cs="Arial" w:eastAsia="Arial" w:hAnsi="Arial"/>
          <w:sz w:val="18"/>
          <w:szCs w:val="18"/>
          <w:color w:val="auto"/>
        </w:rPr>
        <w:t>: Prior to M&amp;T’s acquisition of Wilmington Trust, the Securities and Exchange Commission (“SEC”) commenced an investigation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relating to the financial reporting and securities filings of Wilmington Trust prior to its acquisition by M&amp;T. Counsel for Wilmington Trust has met with the SEC to discuss the investigation and its possible resolution. On August 5, 2013, the SEC issued a Wells Notice to Wilmington Trust. On September 20, 2013, Wilmington Trust filed a Wells submission. The SEC investigation is ongoing.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DOJ Investigation</w:t>
      </w:r>
      <w:r>
        <w:rPr>
          <w:rFonts w:ascii="Arial" w:cs="Arial" w:eastAsia="Arial" w:hAnsi="Arial"/>
          <w:sz w:val="17"/>
          <w:szCs w:val="17"/>
          <w:color w:val="auto"/>
        </w:rPr>
        <w:t>: Prior to M&amp;T’s acquisition of Wilmington Trust, the Department of Justice (“DOJ”) also commenced an investigation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Wilmington 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Either of these investigations could lead to administrative or legal proceedings resulting in potential civil and/or criminal remedies, or settlements, including, among other things, enforcement actions, fines, penalties, restitution or additional costs and expenses.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 Re Wilmington Trust Securities Litigation (U.S. District Court, District of Delaware, Case No. 10-CV-0990-SLR)</w:t>
      </w:r>
      <w:r>
        <w:rPr>
          <w:rFonts w:ascii="Arial" w:cs="Arial" w:eastAsia="Arial" w:hAnsi="Arial"/>
          <w:sz w:val="18"/>
          <w:szCs w:val="18"/>
          <w:color w:val="auto"/>
        </w:rPr>
        <w:t>: Beginning on November 18, 2010,</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On March 29, 2012, the Court granted Wilmington Trust’s motion to dismiss in its entirety, but allowed plaintiffs to re-file their Complaint. Plaintiffs subsequently filed a Second Amended Complaint and a Third Amended Complaint. On June 11, 2013, plaintiffs filed a motion to serve a Fourth Amended Complaint, which was granted, and the Fourth Amended Complaint was filed. On July 17, 2013, Wilmington Trust filed a motion to dismiss the Fourth Amended Complaint.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Company Litigation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Mennen, et al v. Mennen, Wilmington Trust Company, et al (Delaware Chancery Court, Case No-8432-ML)</w:t>
      </w:r>
      <w:r>
        <w:rPr>
          <w:rFonts w:ascii="Arial" w:cs="Arial" w:eastAsia="Arial" w:hAnsi="Arial"/>
          <w:sz w:val="18"/>
          <w:szCs w:val="18"/>
          <w:color w:val="auto"/>
        </w:rPr>
        <w:t>: In March 2013, plaintiffs, the beneficiaries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 a trust, commenced a lawsuit against Wilmington Trust Company in Delaware Chancery Court. Plaintiffs assert claims against the co-trustee/direction trustee and Wilmington Trust Company, in its capacity as corporate trustee, for alleged breach of trust related to certain investments made by the co-trustee/direction trustee. Plaintiffs seek, among other things, damages, disgorgement of fees, attorneys’ fees and interest. The trial in this matter is currently scheduled to commence on February 11, 2014.</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Due to their complex nature, it is difficult to estimate when litigation and investigatory matters such as these may be resolved. As set forth in the introductory paragraph to this Item 1 – Legal Proceedings, current litigation and regulatory matters which the Company is subject to, including those involving Wilmington Trust-related entities, although not currently considered probable, are within a range of reasonably possible losses for such matters in the aggregate, beyond the existing recorded liability, and are included in the range of reasonably possible losses set forth above.</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7" w:lineRule="exact"/>
        <w:rPr>
          <w:sz w:val="20"/>
          <w:szCs w:val="20"/>
          <w:color w:val="auto"/>
        </w:rPr>
      </w:pPr>
    </w:p>
    <w:p>
      <w:pPr>
        <w:ind w:left="700" w:hanging="23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225" w:lineRule="exact"/>
        <w:rPr>
          <w:rFonts w:ascii="Arial" w:cs="Arial" w:eastAsia="Arial" w:hAnsi="Arial"/>
          <w:sz w:val="18"/>
          <w:szCs w:val="18"/>
          <w:color w:val="auto"/>
        </w:rPr>
      </w:pPr>
    </w:p>
    <w:p>
      <w:pPr>
        <w:spacing w:after="0"/>
        <w:tabs>
          <w:tab w:leader="none" w:pos="0" w:val="left"/>
        </w:tabs>
        <w:numPr>
          <w:ilvl w:val="0"/>
          <w:numId w:val="78"/>
        </w:numPr>
        <w:rPr>
          <w:rFonts w:ascii="Arial" w:cs="Arial" w:eastAsia="Arial" w:hAnsi="Arial"/>
          <w:sz w:val="18"/>
          <w:szCs w:val="18"/>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7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(a)Total</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(b)Average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4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Price Paid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4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per Share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4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67"/>
        </w:trPr>
        <w:tc>
          <w:tcPr>
            <w:tcW w:w="6120" w:type="dxa"/>
            <w:vAlign w:val="bottom"/>
            <w:gridSpan w:val="3"/>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88"/>
              </w:rPr>
              <w:t>Purchased(1)</w:t>
            </w:r>
          </w:p>
        </w:tc>
        <w:tc>
          <w:tcPr>
            <w:tcW w:w="48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rPr>
              <w:t>(or Unit)</w:t>
            </w: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4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7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$ 118.67</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20" w:type="dxa"/>
            <w:vAlign w:val="bottom"/>
            <w:gridSpan w:val="3"/>
          </w:tcPr>
          <w:p>
            <w:pPr>
              <w:spacing w:after="0"/>
              <w:rPr>
                <w:sz w:val="20"/>
                <w:szCs w:val="20"/>
                <w:color w:val="auto"/>
              </w:rPr>
            </w:pPr>
            <w:r>
              <w:rPr>
                <w:rFonts w:ascii="Arial" w:cs="Arial" w:eastAsia="Arial" w:hAnsi="Arial"/>
                <w:sz w:val="18"/>
                <w:szCs w:val="18"/>
                <w:color w:val="auto"/>
              </w:rPr>
              <w:t>August 1 – August 31, 2013</w:t>
            </w:r>
          </w:p>
        </w:tc>
        <w:tc>
          <w:tcPr>
            <w:tcW w:w="760" w:type="dxa"/>
            <w:vAlign w:val="bottom"/>
          </w:tcPr>
          <w:p>
            <w:pPr>
              <w:jc w:val="right"/>
              <w:spacing w:after="0"/>
              <w:rPr>
                <w:sz w:val="20"/>
                <w:szCs w:val="20"/>
                <w:color w:val="auto"/>
              </w:rPr>
            </w:pPr>
            <w:r>
              <w:rPr>
                <w:rFonts w:ascii="Arial" w:cs="Arial" w:eastAsia="Arial" w:hAnsi="Arial"/>
                <w:sz w:val="18"/>
                <w:szCs w:val="18"/>
                <w:color w:val="auto"/>
              </w:rPr>
              <w:t>19,760</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118.75</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112.64</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80,830</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$ 118.22</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88" w:lineRule="auto"/>
        <w:tabs>
          <w:tab w:leader="none" w:pos="46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200" w:hanging="452"/>
        <w:spacing w:after="0" w:line="261" w:lineRule="auto"/>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260"/>
          </w:cols>
          <w:pgMar w:left="240" w:top="459"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380" w:type="dxa"/>
            <w:vAlign w:val="bottom"/>
          </w:tcPr>
          <w:p>
            <w:pPr>
              <w:ind w:left="140"/>
              <w:spacing w:after="0"/>
              <w:rPr>
                <w:sz w:val="20"/>
                <w:szCs w:val="20"/>
                <w:color w:val="auto"/>
              </w:rPr>
            </w:pPr>
            <w:r>
              <w:rPr>
                <w:rFonts w:ascii="Arial" w:cs="Arial" w:eastAsia="Arial" w:hAnsi="Arial"/>
                <w:sz w:val="18"/>
                <w:szCs w:val="18"/>
                <w:color w:val="auto"/>
              </w:rPr>
              <w:t>Exhibits.</w:t>
            </w:r>
          </w:p>
        </w:tc>
      </w:tr>
      <w:tr>
        <w:trPr>
          <w:trHeight w:val="324"/>
        </w:trPr>
        <w:tc>
          <w:tcPr>
            <w:tcW w:w="60" w:type="dxa"/>
            <w:vAlign w:val="bottom"/>
          </w:tcPr>
          <w:p>
            <w:pPr>
              <w:spacing w:after="0"/>
              <w:rPr>
                <w:sz w:val="24"/>
                <w:szCs w:val="24"/>
                <w:color w:val="auto"/>
              </w:rPr>
            </w:pPr>
          </w:p>
        </w:tc>
        <w:tc>
          <w:tcPr>
            <w:tcW w:w="11220" w:type="dxa"/>
            <w:vAlign w:val="bottom"/>
            <w:gridSpan w:val="3"/>
          </w:tcPr>
          <w:p>
            <w:pPr>
              <w:ind w:left="40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405"/>
        </w:trPr>
        <w:tc>
          <w:tcPr>
            <w:tcW w:w="900" w:type="dxa"/>
            <w:vAlign w:val="bottom"/>
            <w:gridSpan w:val="3"/>
          </w:tcPr>
          <w:p>
            <w:pPr>
              <w:ind w:left="60"/>
              <w:spacing w:after="0"/>
              <w:rPr>
                <w:sz w:val="20"/>
                <w:szCs w:val="20"/>
                <w:color w:val="auto"/>
              </w:rPr>
            </w:pPr>
            <w:r>
              <w:rPr>
                <w:rFonts w:ascii="Arial" w:cs="Arial" w:eastAsia="Arial" w:hAnsi="Arial"/>
                <w:sz w:val="14"/>
                <w:szCs w:val="14"/>
                <w:color w:val="auto"/>
              </w:rPr>
              <w:t>Exhibit No.</w:t>
            </w:r>
          </w:p>
        </w:tc>
        <w:tc>
          <w:tcPr>
            <w:tcW w:w="10380" w:type="dxa"/>
            <w:vAlign w:val="bottom"/>
          </w:tcPr>
          <w:p>
            <w:pPr>
              <w:spacing w:after="0"/>
              <w:rPr>
                <w:sz w:val="24"/>
                <w:szCs w:val="24"/>
                <w:color w:val="auto"/>
              </w:rPr>
            </w:pPr>
          </w:p>
        </w:tc>
      </w:tr>
      <w:tr>
        <w:trPr>
          <w:trHeight w:val="304"/>
        </w:trPr>
        <w:tc>
          <w:tcPr>
            <w:tcW w:w="60" w:type="dxa"/>
            <w:vAlign w:val="bottom"/>
          </w:tcPr>
          <w:p>
            <w:pPr>
              <w:spacing w:after="0"/>
              <w:rPr>
                <w:sz w:val="24"/>
                <w:szCs w:val="24"/>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380" w:type="dxa"/>
            <w:vAlign w:val="bottom"/>
          </w:tcPr>
          <w:p>
            <w:pPr>
              <w:ind w:left="32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380" w:type="dxa"/>
            <w:vAlign w:val="bottom"/>
          </w:tcPr>
          <w:p>
            <w:pPr>
              <w:ind w:left="32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240" w:hanging="212"/>
        <w:spacing w:after="0" w:line="277"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November 12, 2013</w:t>
            </w: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By:  /s/ René F. Jones</w:t>
            </w:r>
          </w:p>
        </w:tc>
      </w:tr>
      <w:tr>
        <w:trPr>
          <w:trHeight w:val="209"/>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René F. Jones</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378"/>
        </w:trPr>
        <w:tc>
          <w:tcPr>
            <w:tcW w:w="368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- 107 -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80" w:type="dxa"/>
            <w:vAlign w:val="bottom"/>
          </w:tcPr>
          <w:p>
            <w:pPr>
              <w:ind w:left="4060"/>
              <w:spacing w:after="0"/>
              <w:rPr>
                <w:sz w:val="20"/>
                <w:szCs w:val="20"/>
                <w:color w:val="auto"/>
              </w:rPr>
            </w:pPr>
            <w:r>
              <w:rPr>
                <w:rFonts w:ascii="Arial" w:cs="Arial" w:eastAsia="Arial" w:hAnsi="Arial"/>
                <w:sz w:val="18"/>
                <w:szCs w:val="18"/>
                <w:color w:val="auto"/>
              </w:rPr>
              <w:t>EXHIBIT INDEX</w:t>
            </w:r>
          </w:p>
        </w:tc>
      </w:tr>
      <w:tr>
        <w:trPr>
          <w:trHeight w:val="405"/>
        </w:trPr>
        <w:tc>
          <w:tcPr>
            <w:tcW w:w="1000" w:type="dxa"/>
            <w:vAlign w:val="bottom"/>
            <w:gridSpan w:val="3"/>
          </w:tcPr>
          <w:p>
            <w:pPr>
              <w:ind w:left="60"/>
              <w:spacing w:after="0"/>
              <w:rPr>
                <w:sz w:val="20"/>
                <w:szCs w:val="20"/>
                <w:color w:val="auto"/>
              </w:rPr>
            </w:pPr>
            <w:r>
              <w:rPr>
                <w:rFonts w:ascii="Arial" w:cs="Arial" w:eastAsia="Arial" w:hAnsi="Arial"/>
                <w:sz w:val="14"/>
                <w:szCs w:val="14"/>
                <w:color w:val="auto"/>
              </w:rPr>
              <w:t>Exhibit No.</w:t>
            </w:r>
          </w:p>
        </w:tc>
        <w:tc>
          <w:tcPr>
            <w:tcW w:w="10280" w:type="dxa"/>
            <w:vAlign w:val="bottom"/>
          </w:tcPr>
          <w:p>
            <w:pPr>
              <w:spacing w:after="0"/>
              <w:rPr>
                <w:sz w:val="24"/>
                <w:szCs w:val="24"/>
                <w:color w:val="auto"/>
              </w:rPr>
            </w:pPr>
          </w:p>
        </w:tc>
      </w:tr>
      <w:tr>
        <w:trPr>
          <w:trHeight w:val="304"/>
        </w:trPr>
        <w:tc>
          <w:tcPr>
            <w:tcW w:w="60" w:type="dxa"/>
            <w:vAlign w:val="bottom"/>
          </w:tcPr>
          <w:p>
            <w:pPr>
              <w:spacing w:after="0"/>
              <w:rPr>
                <w:sz w:val="24"/>
                <w:szCs w:val="24"/>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100" w:hanging="212"/>
        <w:spacing w:after="0" w:line="277"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02" w:lineRule="exact"/>
        <w:rPr>
          <w:rFonts w:ascii="Arial" w:cs="Arial" w:eastAsia="Arial" w:hAnsi="Arial"/>
          <w:sz w:val="18"/>
          <w:szCs w:val="18"/>
          <w:color w:val="auto"/>
        </w:rPr>
      </w:pPr>
    </w:p>
    <w:p>
      <w:pPr>
        <w:ind w:left="5580" w:hanging="106"/>
        <w:spacing w:after="0"/>
        <w:tabs>
          <w:tab w:leader="none" w:pos="5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280"/>
          </w:cols>
          <w:pgMar w:left="240" w:top="459" w:right="3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120" w:hanging="446"/>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2013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2013</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12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Quarterly Report on Form 10-Q of M&amp;T Bank Corporation for the quarterly period ended September 30, 2013 (the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2013</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2"/>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1."/>
      <w:numFmt w:val="decimal"/>
      <w:start w:val="3"/>
    </w:lvl>
  </w:abstractNum>
  <w:abstractNum w:abstractNumId="6">
    <w:nsid w:val="684A481A"/>
    <w:multiLevelType w:val="hybridMultilevel"/>
    <w:lvl w:ilvl="0">
      <w:lvlJc w:val="left"/>
      <w:lvlText w:val="%1."/>
      <w:numFmt w:val="decimal"/>
      <w:start w:val="3"/>
    </w:lvl>
  </w:abstractNum>
  <w:abstractNum w:abstractNumId="7">
    <w:nsid w:val="579478FE"/>
    <w:multiLevelType w:val="hybridMultilevel"/>
    <w:lvl w:ilvl="0">
      <w:lvlJc w:val="left"/>
      <w:lvlText w:val="%1."/>
      <w:numFmt w:val="decimal"/>
      <w:start w:val="3"/>
    </w:lvl>
  </w:abstractNum>
  <w:abstractNum w:abstractNumId="8">
    <w:nsid w:val="749ABB43"/>
    <w:multiLevelType w:val="hybridMultilevel"/>
    <w:lvl w:ilvl="0">
      <w:lvlJc w:val="left"/>
      <w:lvlText w:val="%1."/>
      <w:numFmt w:val="decimal"/>
      <w:start w:val="4"/>
    </w:lvl>
  </w:abstractNum>
  <w:abstractNum w:abstractNumId="9">
    <w:nsid w:val="3DC240FB"/>
    <w:multiLevelType w:val="hybridMultilevel"/>
    <w:lvl w:ilvl="0">
      <w:lvlJc w:val="left"/>
      <w:lvlText w:val="%1."/>
      <w:numFmt w:val="decimal"/>
      <w:start w:val="4"/>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1."/>
      <w:numFmt w:val="decimal"/>
      <w:start w:val="4"/>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decimal"/>
      <w:start w:val="4"/>
    </w:lvl>
  </w:abstractNum>
  <w:abstractNum w:abstractNumId="14">
    <w:nsid w:val="70C6A529"/>
    <w:multiLevelType w:val="hybridMultilevel"/>
    <w:lvl w:ilvl="0">
      <w:lvlJc w:val="left"/>
      <w:lvlText w:val="%1."/>
      <w:numFmt w:val="decimal"/>
      <w:start w:val="4"/>
    </w:lvl>
  </w:abstractNum>
  <w:abstractNum w:abstractNumId="15">
    <w:nsid w:val="520EEDD1"/>
    <w:multiLevelType w:val="hybridMultilevel"/>
    <w:lvl w:ilvl="0">
      <w:lvlJc w:val="left"/>
      <w:lvlText w:val="%1."/>
      <w:numFmt w:val="decimal"/>
      <w:start w:val="4"/>
    </w:lvl>
  </w:abstractNum>
  <w:abstractNum w:abstractNumId="16">
    <w:nsid w:val="374A3FE6"/>
    <w:multiLevelType w:val="hybridMultilevel"/>
    <w:lvl w:ilvl="0">
      <w:lvlJc w:val="left"/>
      <w:lvlText w:val="%1."/>
      <w:numFmt w:val="decimal"/>
      <w:start w:val="4"/>
    </w:lvl>
  </w:abstractNum>
  <w:abstractNum w:abstractNumId="17">
    <w:nsid w:val="4F4EF005"/>
    <w:multiLevelType w:val="hybridMultilevel"/>
    <w:lvl w:ilvl="0">
      <w:lvlJc w:val="left"/>
      <w:lvlText w:val="%1."/>
      <w:numFmt w:val="decimal"/>
      <w:start w:val="4"/>
    </w:lvl>
  </w:abstractNum>
  <w:abstractNum w:abstractNumId="18">
    <w:nsid w:val="23F9C13C"/>
    <w:multiLevelType w:val="hybridMultilevel"/>
    <w:lvl w:ilvl="0">
      <w:lvlJc w:val="left"/>
      <w:lvlText w:val="%1."/>
      <w:numFmt w:val="decimal"/>
      <w:start w:val="4"/>
    </w:lvl>
  </w:abstractNum>
  <w:abstractNum w:abstractNumId="19">
    <w:nsid w:val="649BB77C"/>
    <w:multiLevelType w:val="hybridMultilevel"/>
    <w:lvl w:ilvl="0">
      <w:lvlJc w:val="left"/>
      <w:lvlText w:val="%1."/>
      <w:numFmt w:val="decimal"/>
      <w:start w:val="4"/>
    </w:lvl>
  </w:abstractNum>
  <w:abstractNum w:abstractNumId="20">
    <w:nsid w:val="275AC794"/>
    <w:multiLevelType w:val="hybridMultilevel"/>
    <w:lvl w:ilvl="0">
      <w:lvlJc w:val="left"/>
      <w:lvlText w:val="%1."/>
      <w:numFmt w:val="decimal"/>
      <w:start w:val="4"/>
    </w:lvl>
  </w:abstractNum>
  <w:abstractNum w:abstractNumId="21">
    <w:nsid w:val="39386575"/>
    <w:multiLevelType w:val="hybridMultilevel"/>
    <w:lvl w:ilvl="0">
      <w:lvlJc w:val="left"/>
      <w:lvlText w:val="(%1)"/>
      <w:numFmt w:val="lowerLetter"/>
      <w:start w:val="1"/>
    </w:lvl>
    <w:lvl w:ilvl="1">
      <w:lvlJc w:val="left"/>
      <w:lvlText w:val="-"/>
      <w:numFmt w:val="bullet"/>
      <w:start w:val="1"/>
    </w:lvl>
  </w:abstractNum>
  <w:abstractNum w:abstractNumId="22">
    <w:nsid w:val="1CF10FD8"/>
    <w:multiLevelType w:val="hybridMultilevel"/>
    <w:lvl w:ilvl="0">
      <w:lvlJc w:val="left"/>
      <w:lvlText w:val="%1."/>
      <w:numFmt w:val="decimal"/>
      <w:start w:val="4"/>
    </w:lvl>
  </w:abstractNum>
  <w:abstractNum w:abstractNumId="23">
    <w:nsid w:val="180115BE"/>
    <w:multiLevelType w:val="hybridMultilevel"/>
    <w:lvl w:ilvl="0">
      <w:lvlJc w:val="left"/>
      <w:lvlText w:val="(%1)"/>
      <w:numFmt w:val="lowerLetter"/>
      <w:start w:val="1"/>
    </w:lvl>
    <w:lvl w:ilvl="1">
      <w:lvlJc w:val="left"/>
      <w:lvlText w:val="-"/>
      <w:numFmt w:val="bullet"/>
      <w:start w:val="1"/>
    </w:lvl>
  </w:abstractNum>
  <w:abstractNum w:abstractNumId="24">
    <w:nsid w:val="235BA861"/>
    <w:multiLevelType w:val="hybridMultilevel"/>
    <w:lvl w:ilvl="0">
      <w:lvlJc w:val="left"/>
      <w:lvlText w:val="%1."/>
      <w:numFmt w:val="decimal"/>
      <w:start w:val="4"/>
    </w:lvl>
  </w:abstractNum>
  <w:abstractNum w:abstractNumId="25">
    <w:nsid w:val="47398C89"/>
    <w:multiLevelType w:val="hybridMultilevel"/>
    <w:lvl w:ilvl="0">
      <w:lvlJc w:val="left"/>
      <w:lvlText w:val="(%1)"/>
      <w:numFmt w:val="lowerLetter"/>
      <w:start w:val="1"/>
    </w:lvl>
    <w:lvl w:ilvl="1">
      <w:lvlJc w:val="left"/>
      <w:lvlText w:val="-"/>
      <w:numFmt w:val="bullet"/>
      <w:start w:val="1"/>
    </w:lvl>
  </w:abstractNum>
  <w:abstractNum w:abstractNumId="26">
    <w:nsid w:val="354FE9F9"/>
    <w:multiLevelType w:val="hybridMultilevel"/>
    <w:lvl w:ilvl="0">
      <w:lvlJc w:val="left"/>
      <w:lvlText w:val="%1."/>
      <w:numFmt w:val="decimal"/>
      <w:start w:val="4"/>
    </w:lvl>
  </w:abstractNum>
  <w:abstractNum w:abstractNumId="27">
    <w:nsid w:val="15B5AF5C"/>
    <w:multiLevelType w:val="hybridMultilevel"/>
    <w:lvl w:ilvl="0">
      <w:lvlJc w:val="left"/>
      <w:lvlText w:val="(%1)"/>
      <w:numFmt w:val="lowerLetter"/>
      <w:start w:val="1"/>
    </w:lvl>
    <w:lvl w:ilvl="1">
      <w:lvlJc w:val="left"/>
      <w:lvlText w:val="-"/>
      <w:numFmt w:val="bullet"/>
      <w:start w:val="1"/>
    </w:lvl>
  </w:abstractNum>
  <w:abstractNum w:abstractNumId="28">
    <w:nsid w:val="741226BB"/>
    <w:multiLevelType w:val="hybridMultilevel"/>
    <w:lvl w:ilvl="0">
      <w:lvlJc w:val="left"/>
      <w:lvlText w:val="%1."/>
      <w:numFmt w:val="decimal"/>
      <w:start w:val="4"/>
    </w:lvl>
  </w:abstractNum>
  <w:abstractNum w:abstractNumId="29">
    <w:nsid w:val="D34B6A8"/>
    <w:multiLevelType w:val="hybridMultilevel"/>
    <w:lvl w:ilvl="0">
      <w:lvlJc w:val="left"/>
      <w:lvlText w:val="%1."/>
      <w:numFmt w:val="decimal"/>
      <w:start w:val="5"/>
    </w:lvl>
  </w:abstractNum>
  <w:abstractNum w:abstractNumId="30">
    <w:nsid w:val="10233C99"/>
    <w:multiLevelType w:val="hybridMultilevel"/>
    <w:lvl w:ilvl="0">
      <w:lvlJc w:val="left"/>
      <w:lvlText w:val="%1."/>
      <w:numFmt w:val="decimal"/>
      <w:start w:val="5"/>
    </w:lvl>
  </w:abstractNum>
  <w:abstractNum w:abstractNumId="31">
    <w:nsid w:val="3F6AB60F"/>
    <w:multiLevelType w:val="hybridMultilevel"/>
    <w:lvl w:ilvl="0">
      <w:lvlJc w:val="left"/>
      <w:lvlText w:val="%1."/>
      <w:numFmt w:val="decimal"/>
      <w:start w:val="6"/>
    </w:lvl>
  </w:abstractNum>
  <w:abstractNum w:abstractNumId="32">
    <w:nsid w:val="61574095"/>
    <w:multiLevelType w:val="hybridMultilevel"/>
    <w:lvl w:ilvl="0">
      <w:lvlJc w:val="left"/>
      <w:lvlText w:val="%1."/>
      <w:numFmt w:val="decimal"/>
      <w:start w:val="6"/>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decimal"/>
      <w:start w:val="7"/>
    </w:lvl>
  </w:abstractNum>
  <w:abstractNum w:abstractNumId="35">
    <w:nsid w:val="579BE4F1"/>
    <w:multiLevelType w:val="hybridMultilevel"/>
    <w:lvl w:ilvl="0">
      <w:lvlJc w:val="left"/>
      <w:lvlText w:val="%1."/>
      <w:numFmt w:val="decimal"/>
      <w:start w:val="7"/>
    </w:lvl>
  </w:abstractNum>
  <w:abstractNum w:abstractNumId="36">
    <w:nsid w:val="310C50B3"/>
    <w:multiLevelType w:val="hybridMultilevel"/>
    <w:lvl w:ilvl="0">
      <w:lvlJc w:val="left"/>
      <w:lvlText w:val="%1."/>
      <w:numFmt w:val="decimal"/>
      <w:start w:val="8"/>
    </w:lvl>
  </w:abstractNum>
  <w:abstractNum w:abstractNumId="37">
    <w:nsid w:val="5FF87E05"/>
    <w:multiLevelType w:val="hybridMultilevel"/>
    <w:lvl w:ilvl="0">
      <w:lvlJc w:val="left"/>
      <w:lvlText w:val="%1."/>
      <w:numFmt w:val="decimal"/>
      <w:start w:val="9"/>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1."/>
      <w:numFmt w:val="decimal"/>
      <w:start w:val="10"/>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decimal"/>
      <w:start w:val="10"/>
    </w:lvl>
  </w:abstractNum>
  <w:abstractNum w:abstractNumId="42">
    <w:nsid w:val="1F48EAA1"/>
    <w:multiLevelType w:val="hybridMultilevel"/>
    <w:lvl w:ilvl="0">
      <w:lvlJc w:val="left"/>
      <w:lvlText w:val="(%1)"/>
      <w:numFmt w:val="lowerLetter"/>
      <w:start w:val="1"/>
    </w:lvl>
    <w:lvl w:ilvl="1">
      <w:lvlJc w:val="left"/>
      <w:lvlText w:val="-"/>
      <w:numFmt w:val="bullet"/>
      <w:start w:val="1"/>
    </w:lvl>
  </w:abstractNum>
  <w:abstractNum w:abstractNumId="43">
    <w:nsid w:val="1381823A"/>
    <w:multiLevelType w:val="hybridMultilevel"/>
    <w:lvl w:ilvl="0">
      <w:lvlJc w:val="left"/>
      <w:lvlText w:val="%1."/>
      <w:numFmt w:val="decimal"/>
      <w:start w:val="10"/>
    </w:lvl>
  </w:abstractNum>
  <w:abstractNum w:abstractNumId="44">
    <w:nsid w:val="5DB70AE5"/>
    <w:multiLevelType w:val="hybridMultilevel"/>
    <w:lvl w:ilvl="0">
      <w:lvlJc w:val="left"/>
      <w:lvlText w:val="%1."/>
      <w:numFmt w:val="decimal"/>
      <w:start w:val="11"/>
    </w:lvl>
  </w:abstractNum>
  <w:abstractNum w:abstractNumId="45">
    <w:nsid w:val="100F8FCA"/>
    <w:multiLevelType w:val="hybridMultilevel"/>
    <w:lvl w:ilvl="0">
      <w:lvlJc w:val="left"/>
      <w:lvlText w:val="%1."/>
      <w:numFmt w:val="decimal"/>
      <w:start w:val="11"/>
    </w:lvl>
  </w:abstractNum>
  <w:abstractNum w:abstractNumId="46">
    <w:nsid w:val="6590700B"/>
    <w:multiLevelType w:val="hybridMultilevel"/>
    <w:lvl w:ilvl="0">
      <w:lvlJc w:val="left"/>
      <w:lvlText w:val="%1."/>
      <w:numFmt w:val="decimal"/>
      <w:start w:val="12"/>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decimal"/>
      <w:start w:val="12"/>
    </w:lvl>
  </w:abstractNum>
  <w:abstractNum w:abstractNumId="49">
    <w:nsid w:val="98A3148"/>
    <w:multiLevelType w:val="hybridMultilevel"/>
    <w:lvl w:ilvl="0">
      <w:lvlJc w:val="left"/>
      <w:lvlText w:val="%1."/>
      <w:numFmt w:val="decimal"/>
      <w:start w:val="12"/>
    </w:lvl>
  </w:abstractNum>
  <w:abstractNum w:abstractNumId="50">
    <w:nsid w:val="799D0247"/>
    <w:multiLevelType w:val="hybridMultilevel"/>
    <w:lvl w:ilvl="0">
      <w:lvlJc w:val="left"/>
      <w:lvlText w:val="%1."/>
      <w:numFmt w:val="decimal"/>
      <w:start w:val="12"/>
    </w:lvl>
  </w:abstractNum>
  <w:abstractNum w:abstractNumId="51">
    <w:nsid w:val="6B94764"/>
    <w:multiLevelType w:val="hybridMultilevel"/>
    <w:lvl w:ilvl="0">
      <w:lvlJc w:val="left"/>
      <w:lvlText w:val="(%1)"/>
      <w:numFmt w:val="lowerLetter"/>
      <w:start w:val="1"/>
    </w:lvl>
    <w:lvl w:ilvl="1">
      <w:lvlJc w:val="left"/>
      <w:lvlText w:val="-"/>
      <w:numFmt w:val="bullet"/>
      <w:start w:val="1"/>
    </w:lvl>
  </w:abstractNum>
  <w:abstractNum w:abstractNumId="52">
    <w:nsid w:val="42C296BD"/>
    <w:multiLevelType w:val="hybridMultilevel"/>
    <w:lvl w:ilvl="0">
      <w:lvlJc w:val="left"/>
      <w:lvlText w:val="%1."/>
      <w:numFmt w:val="decimal"/>
      <w:start w:val="12"/>
    </w:lvl>
  </w:abstractNum>
  <w:abstractNum w:abstractNumId="53">
    <w:nsid w:val="168E121F"/>
    <w:multiLevelType w:val="hybridMultilevel"/>
    <w:lvl w:ilvl="0">
      <w:lvlJc w:val="left"/>
      <w:lvlText w:val="%1."/>
      <w:numFmt w:val="decimal"/>
      <w:start w:val="12"/>
    </w:lvl>
  </w:abstractNum>
  <w:abstractNum w:abstractNumId="54">
    <w:nsid w:val="1EBA5D23"/>
    <w:multiLevelType w:val="hybridMultilevel"/>
    <w:lvl w:ilvl="0">
      <w:lvlJc w:val="left"/>
      <w:lvlText w:val="%1."/>
      <w:numFmt w:val="decimal"/>
      <w:start w:val="12"/>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decimal"/>
      <w:start w:val="12"/>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decimal"/>
      <w:start w:val="12"/>
    </w:lvl>
  </w:abstractNum>
  <w:abstractNum w:abstractNumId="59">
    <w:nsid w:val="51D9C564"/>
    <w:multiLevelType w:val="hybridMultilevel"/>
    <w:lvl w:ilvl="0">
      <w:lvlJc w:val="left"/>
      <w:lvlText w:val="%1."/>
      <w:numFmt w:val="decimal"/>
      <w:start w:val="12"/>
    </w:lvl>
  </w:abstractNum>
  <w:abstractNum w:abstractNumId="60">
    <w:nsid w:val="613EFDC5"/>
    <w:multiLevelType w:val="hybridMultilevel"/>
    <w:lvl w:ilvl="0">
      <w:lvlJc w:val="left"/>
      <w:lvlText w:val="%1."/>
      <w:numFmt w:val="decimal"/>
      <w:start w:val="13"/>
    </w:lvl>
  </w:abstractNum>
  <w:abstractNum w:abstractNumId="61">
    <w:nsid w:val="BF72B14"/>
    <w:multiLevelType w:val="hybridMultilevel"/>
    <w:lvl w:ilvl="0">
      <w:lvlJc w:val="left"/>
      <w:lvlText w:val="%1."/>
      <w:numFmt w:val="decimal"/>
      <w:start w:val="13"/>
    </w:lvl>
  </w:abstractNum>
  <w:abstractNum w:abstractNumId="62">
    <w:nsid w:val="11447B73"/>
    <w:multiLevelType w:val="hybridMultilevel"/>
    <w:lvl w:ilvl="0">
      <w:lvlJc w:val="left"/>
      <w:lvlText w:val="%1."/>
      <w:numFmt w:val="decimal"/>
      <w:start w:val="14"/>
    </w:lvl>
  </w:abstractNum>
  <w:abstractNum w:abstractNumId="63">
    <w:nsid w:val="42963E5A"/>
    <w:multiLevelType w:val="hybridMultilevel"/>
    <w:lvl w:ilvl="0">
      <w:lvlJc w:val="left"/>
      <w:lvlText w:val="(%1)"/>
      <w:numFmt w:val="lowerLetter"/>
      <w:start w:val="1"/>
    </w:lvl>
    <w:lvl w:ilvl="1">
      <w:lvlJc w:val="left"/>
      <w:lvlText w:val="-"/>
      <w:numFmt w:val="bullet"/>
      <w:start w:val="1"/>
    </w:lvl>
  </w:abstractNum>
  <w:abstractNum w:abstractNumId="64">
    <w:nsid w:val="A0382C5"/>
    <w:multiLevelType w:val="hybridMultilevel"/>
    <w:lvl w:ilvl="0">
      <w:lvlJc w:val="left"/>
      <w:lvlText w:val="%1."/>
      <w:numFmt w:val="decimal"/>
      <w:start w:val="15"/>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lowerRoman"/>
      <w:start w:val="3"/>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1"/>
    </w:lvl>
    <w:lvl w:ilvl="1">
      <w:lvlJc w:val="left"/>
      <w:lvlText w:val="-"/>
      <w:numFmt w:val="bullet"/>
      <w:start w:val="1"/>
    </w:lvl>
  </w:abstractNum>
  <w:abstractNum w:abstractNumId="70">
    <w:nsid w:val="60B6DF70"/>
    <w:multiLevelType w:val="hybridMultilevel"/>
    <w:lvl w:ilvl="0">
      <w:lvlJc w:val="left"/>
      <w:lvlText w:val="(%1)"/>
      <w:numFmt w:val="lowerRoman"/>
      <w:start w:val="3"/>
    </w:lvl>
  </w:abstractNum>
  <w:abstractNum w:abstractNumId="71">
    <w:nsid w:val="6A5EE64"/>
    <w:multiLevelType w:val="hybridMultilevel"/>
    <w:lvl w:ilvl="0">
      <w:lvlJc w:val="left"/>
      <w:lvlText w:val="(%1)"/>
      <w:numFmt w:val="lowerLetter"/>
      <w:start w:val="1"/>
    </w:lvl>
    <w:lvl w:ilvl="1">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3"/>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lvl w:ilvl="1">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5"/>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2019-12-05T10:00:05Z</dcterms:created>
  <dcterms:modified xsi:type="dcterms:W3CDTF">2019-12-05T10:00:05Z</dcterms:modified>
</cp:coreProperties>
</file>