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323"/>
              <w:spacing w:after="0"/>
              <w:rPr>
                <w:sz w:val="20"/>
                <w:szCs w:val="20"/>
                <w:color w:val="auto"/>
              </w:rPr>
            </w:pPr>
            <w:r>
              <w:rPr>
                <w:rFonts w:ascii="Arial" w:cs="Arial" w:eastAsia="Arial" w:hAnsi="Arial"/>
                <w:sz w:val="18"/>
                <w:szCs w:val="18"/>
                <w:b w:val="1"/>
                <w:bCs w:val="1"/>
                <w:color w:val="auto"/>
              </w:rPr>
              <w:t>16-0968385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20" w:type="dxa"/>
            <w:vAlign w:val="bottom"/>
          </w:tcPr>
          <w:p>
            <w:pPr>
              <w:jc w:val="center"/>
              <w:ind w:right="78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7"/>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88"/>
              <w:spacing w:after="0"/>
              <w:rPr>
                <w:sz w:val="20"/>
                <w:szCs w:val="20"/>
                <w:color w:val="auto"/>
              </w:rPr>
            </w:pPr>
            <w:r>
              <w:rPr>
                <w:rFonts w:ascii="Arial" w:cs="Arial" w:eastAsia="Arial" w:hAnsi="Arial"/>
                <w:sz w:val="18"/>
                <w:szCs w:val="18"/>
                <w:b w:val="1"/>
                <w:bCs w:val="1"/>
                <w:color w:val="auto"/>
                <w:w w:val="92"/>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543"/>
              <w:spacing w:after="0"/>
              <w:rPr>
                <w:sz w:val="20"/>
                <w:szCs w:val="20"/>
                <w:color w:val="auto"/>
              </w:rPr>
            </w:pPr>
            <w:r>
              <w:rPr>
                <w:rFonts w:ascii="Arial" w:cs="Arial" w:eastAsia="Arial" w:hAnsi="Arial"/>
                <w:sz w:val="18"/>
                <w:szCs w:val="18"/>
                <w:b w:val="1"/>
                <w:bCs w:val="1"/>
                <w:color w:val="auto"/>
              </w:rPr>
              <w:t>14203</w:t>
            </w:r>
          </w:p>
        </w:tc>
        <w:tc>
          <w:tcPr>
            <w:tcW w:w="0" w:type="dxa"/>
            <w:vAlign w:val="bottom"/>
          </w:tcPr>
          <w:p>
            <w:pPr>
              <w:spacing w:after="0"/>
              <w:rPr>
                <w:sz w:val="1"/>
                <w:szCs w:val="1"/>
                <w:color w:val="auto"/>
              </w:rPr>
            </w:pPr>
          </w:p>
        </w:tc>
      </w:tr>
      <w:tr>
        <w:trPr>
          <w:trHeight w:val="186"/>
        </w:trPr>
        <w:tc>
          <w:tcPr>
            <w:tcW w:w="26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(716) 635-4000</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spacing w:after="0"/>
              <w:rPr>
                <w:sz w:val="19"/>
                <w:szCs w:val="19"/>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3"/>
              </w:rPr>
              <w:t>Trading Symbols</w:t>
            </w:r>
          </w:p>
        </w:tc>
        <w:tc>
          <w:tcPr>
            <w:tcW w:w="2820" w:type="dxa"/>
            <w:vAlign w:val="bottom"/>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value</w:t>
            </w: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gridSpan w:val="2"/>
          </w:tcPr>
          <w:p>
            <w:pPr>
              <w:spacing w:after="0"/>
              <w:rPr>
                <w:sz w:val="20"/>
                <w:szCs w:val="20"/>
                <w:color w:val="auto"/>
              </w:rPr>
            </w:pPr>
            <w:r>
              <w:rPr>
                <w:rFonts w:ascii="Arial" w:cs="Arial" w:eastAsia="Arial" w:hAnsi="Arial"/>
                <w:sz w:val="14"/>
                <w:szCs w:val="14"/>
                <w:color w:val="auto"/>
                <w:w w:val="94"/>
              </w:rPr>
              <w:t>Common Stock, $.50 par</w:t>
            </w:r>
          </w:p>
        </w:tc>
        <w:tc>
          <w:tcPr>
            <w:tcW w:w="1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color w:val="auto"/>
              </w:rPr>
              <w:t>MTB</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30, 2021: 128,653,702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M&amp;T BANK CORPORATION</w:t>
            </w:r>
          </w:p>
        </w:tc>
        <w:tc>
          <w:tcPr>
            <w:tcW w:w="41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12"/>
          </w:tcPr>
          <w:p>
            <w:pPr>
              <w:jc w:val="center"/>
              <w:ind w:right="4780"/>
              <w:spacing w:after="0"/>
              <w:rPr>
                <w:sz w:val="20"/>
                <w:szCs w:val="20"/>
                <w:color w:val="auto"/>
              </w:rPr>
            </w:pPr>
            <w:r>
              <w:rPr>
                <w:rFonts w:ascii="Arial" w:cs="Arial" w:eastAsia="Arial" w:hAnsi="Arial"/>
                <w:sz w:val="18"/>
                <w:szCs w:val="18"/>
                <w:color w:val="auto"/>
                <w:w w:val="93"/>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For the Quarterly Period Ended March 31, 2021</w:t>
            </w:r>
          </w:p>
        </w:tc>
        <w:tc>
          <w:tcPr>
            <w:tcW w:w="35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60" w:type="dxa"/>
            <w:vAlign w:val="bottom"/>
            <w:gridSpan w:val="30"/>
          </w:tcPr>
          <w:p>
            <w:pPr>
              <w:spacing w:after="0"/>
              <w:rPr>
                <w:sz w:val="20"/>
                <w:szCs w:val="20"/>
                <w:color w:val="auto"/>
              </w:rPr>
            </w:pPr>
            <w:r>
              <w:rPr>
                <w:rFonts w:ascii="Arial" w:cs="Arial" w:eastAsia="Arial" w:hAnsi="Arial"/>
                <w:sz w:val="18"/>
                <w:szCs w:val="18"/>
                <w:color w:val="auto"/>
              </w:rPr>
              <w:t>Table of Contents of Information Required in Report</w:t>
            </w:r>
          </w:p>
        </w:tc>
        <w:tc>
          <w:tcPr>
            <w:tcW w:w="380" w:type="dxa"/>
            <w:vAlign w:val="bottom"/>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06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800" w:type="dxa"/>
            <w:vAlign w:val="bottom"/>
            <w:tcBorders>
              <w:bottom w:val="single" w:sz="8" w:color="0000EE"/>
            </w:tcBorders>
            <w:gridSpan w:val="10"/>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06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March 31, 2021 and December 31, 2020</w:t>
              </w:r>
            </w:hyperlink>
          </w:p>
        </w:tc>
        <w:tc>
          <w:tcPr>
            <w:tcW w:w="36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months ended March 31, 2021 and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 – Three months ended March 31, 2021 and 2020</w:t>
              </w:r>
            </w:hyperlink>
          </w:p>
        </w:tc>
        <w:tc>
          <w:tcPr>
            <w:tcW w:w="10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2021 and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CHANGES IN SHAREHOLDERS' EQUITY – Three months ended March 31, 2021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gridSpan w:val="3"/>
          </w:tcPr>
          <w:p>
            <w:pPr>
              <w:ind w:left="220"/>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2020</w:t>
              </w:r>
            </w:hyperlink>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Controls and Procedures.</w:t>
              </w:r>
            </w:hyperlink>
          </w:p>
        </w:tc>
        <w:tc>
          <w:tcPr>
            <w:tcW w:w="77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Part II. OTHER INFORMATION</w:t>
              </w:r>
            </w:hyperlink>
          </w:p>
        </w:tc>
        <w:tc>
          <w:tcPr>
            <w:tcW w:w="842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Legal Proceedings</w:t>
              </w:r>
            </w:hyperlink>
          </w:p>
        </w:tc>
        <w:tc>
          <w:tcPr>
            <w:tcW w:w="824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Defaults Upon Senior Securities.</w:t>
              </w:r>
            </w:hyperlink>
          </w:p>
        </w:tc>
        <w:tc>
          <w:tcPr>
            <w:tcW w:w="5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2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Other Information.</w:t>
              </w:r>
            </w:hyperlink>
          </w:p>
        </w:tc>
        <w:tc>
          <w:tcPr>
            <w:tcW w:w="822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790"/>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gridSpan w:val="19"/>
          </w:tcPr>
          <w:p>
            <w:pPr>
              <w:jc w:val="center"/>
              <w:ind w:left="381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4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1,258,989</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1,552,743</w:t>
            </w:r>
          </w:p>
        </w:tc>
        <w:tc>
          <w:tcPr>
            <w:tcW w:w="120" w:type="dxa"/>
            <w:vAlign w:val="bottom"/>
          </w:tcPr>
          <w:p>
            <w:pPr>
              <w:spacing w:after="0"/>
              <w:rPr>
                <w:sz w:val="15"/>
                <w:szCs w:val="15"/>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31,407,227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23,663,810</w:t>
            </w:r>
          </w:p>
        </w:tc>
        <w:tc>
          <w:tcPr>
            <w:tcW w:w="120" w:type="dxa"/>
            <w:vAlign w:val="bottom"/>
            <w:shd w:val="clear" w:color="auto" w:fill="CFF0FC"/>
          </w:tcPr>
          <w:p>
            <w:pPr>
              <w:spacing w:after="0"/>
              <w:rPr>
                <w:sz w:val="15"/>
                <w:szCs w:val="15"/>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Federal funds sold</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Trading account</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687,359</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1,068,581</w:t>
            </w:r>
          </w:p>
        </w:tc>
        <w:tc>
          <w:tcPr>
            <w:tcW w:w="120" w:type="dxa"/>
            <w:vAlign w:val="bottom"/>
            <w:shd w:val="clear" w:color="auto" w:fill="CFF0FC"/>
          </w:tcPr>
          <w:p>
            <w:pPr>
              <w:spacing w:after="0"/>
              <w:rPr>
                <w:sz w:val="15"/>
                <w:szCs w:val="15"/>
                <w:color w:val="auto"/>
              </w:rPr>
            </w:pPr>
          </w:p>
        </w:tc>
      </w:tr>
      <w:tr>
        <w:trPr>
          <w:trHeight w:val="162"/>
        </w:trPr>
        <w:tc>
          <w:tcPr>
            <w:tcW w:w="6460" w:type="dxa"/>
            <w:vAlign w:val="bottom"/>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60" w:type="dxa"/>
            <w:vAlign w:val="bottom"/>
          </w:tcPr>
          <w:p>
            <w:pPr>
              <w:ind w:left="120"/>
              <w:spacing w:after="0"/>
              <w:rPr>
                <w:sz w:val="20"/>
                <w:szCs w:val="20"/>
                <w:color w:val="auto"/>
              </w:rPr>
            </w:pPr>
            <w:r>
              <w:rPr>
                <w:rFonts w:ascii="Arial" w:cs="Arial" w:eastAsia="Arial" w:hAnsi="Arial"/>
                <w:sz w:val="15"/>
                <w:szCs w:val="15"/>
                <w:color w:val="auto"/>
              </w:rPr>
              <w:t>$89,522 at March 31, 2021; $105,136 at December 31, 2020)</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64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Available for sale (cost: $4,194,886 at March 31, 2021;</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4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$4,621,027 at December 31, 2020</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4,364,437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4,822,606</w:t>
            </w:r>
          </w:p>
        </w:tc>
        <w:tc>
          <w:tcPr>
            <w:tcW w:w="120" w:type="dxa"/>
            <w:vAlign w:val="bottom"/>
            <w:shd w:val="clear" w:color="auto" w:fill="CFF0FC"/>
          </w:tcPr>
          <w:p>
            <w:pPr>
              <w:spacing w:after="0"/>
              <w:rPr>
                <w:sz w:val="15"/>
                <w:szCs w:val="15"/>
                <w:color w:val="auto"/>
              </w:rPr>
            </w:pPr>
          </w:p>
        </w:tc>
      </w:tr>
      <w:tr>
        <w:trPr>
          <w:trHeight w:val="162"/>
        </w:trPr>
        <w:tc>
          <w:tcPr>
            <w:tcW w:w="6460" w:type="dxa"/>
            <w:vAlign w:val="bottom"/>
          </w:tcPr>
          <w:p>
            <w:pPr>
              <w:ind w:left="260"/>
              <w:spacing w:after="0" w:line="162" w:lineRule="exact"/>
              <w:rPr>
                <w:sz w:val="20"/>
                <w:szCs w:val="20"/>
                <w:color w:val="auto"/>
              </w:rPr>
            </w:pPr>
            <w:r>
              <w:rPr>
                <w:rFonts w:ascii="Arial" w:cs="Arial" w:eastAsia="Arial" w:hAnsi="Arial"/>
                <w:sz w:val="15"/>
                <w:szCs w:val="15"/>
                <w:color w:val="auto"/>
              </w:rPr>
              <w:t>Held to maturity (fair value: $1,850,210 at March 31, 2021;</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60" w:type="dxa"/>
            <w:vAlign w:val="bottom"/>
          </w:tcPr>
          <w:p>
            <w:pPr>
              <w:ind w:left="360"/>
              <w:spacing w:after="0"/>
              <w:rPr>
                <w:sz w:val="20"/>
                <w:szCs w:val="20"/>
                <w:color w:val="auto"/>
              </w:rPr>
            </w:pPr>
            <w:r>
              <w:rPr>
                <w:rFonts w:ascii="Arial" w:cs="Arial" w:eastAsia="Arial" w:hAnsi="Arial"/>
                <w:sz w:val="15"/>
                <w:szCs w:val="15"/>
                <w:color w:val="auto"/>
              </w:rPr>
              <w:t>$1,842,281 at December 31, 2020)</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1,778,135</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1,748,989</w:t>
            </w:r>
          </w:p>
        </w:tc>
        <w:tc>
          <w:tcPr>
            <w:tcW w:w="120" w:type="dxa"/>
            <w:vAlign w:val="bottom"/>
          </w:tcPr>
          <w:p>
            <w:pPr>
              <w:spacing w:after="0"/>
              <w:rPr>
                <w:sz w:val="15"/>
                <w:szCs w:val="15"/>
                <w:color w:val="auto"/>
              </w:rPr>
            </w:pPr>
          </w:p>
        </w:tc>
      </w:tr>
      <w:tr>
        <w:trPr>
          <w:trHeight w:val="162"/>
        </w:trPr>
        <w:tc>
          <w:tcPr>
            <w:tcW w:w="64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Equity and other securities (cost: $455,286 at March 31, 2021;</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4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$449,008 at December 31, 2020)</w:t>
            </w:r>
          </w:p>
        </w:tc>
        <w:tc>
          <w:tcPr>
            <w:tcW w:w="1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468,095</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474,102</w:t>
            </w:r>
          </w:p>
        </w:tc>
        <w:tc>
          <w:tcPr>
            <w:tcW w:w="120" w:type="dxa"/>
            <w:vAlign w:val="bottom"/>
            <w:shd w:val="clear" w:color="auto" w:fill="CFF0FC"/>
          </w:tcPr>
          <w:p>
            <w:pPr>
              <w:spacing w:after="0"/>
              <w:rPr>
                <w:sz w:val="15"/>
                <w:szCs w:val="15"/>
                <w:color w:val="auto"/>
              </w:rPr>
            </w:pPr>
          </w:p>
        </w:tc>
      </w:tr>
      <w:tr>
        <w:trPr>
          <w:trHeight w:val="169"/>
        </w:trPr>
        <w:tc>
          <w:tcPr>
            <w:tcW w:w="6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6,610,667</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7,045,697</w:t>
            </w:r>
          </w:p>
        </w:tc>
        <w:tc>
          <w:tcPr>
            <w:tcW w:w="120" w:type="dxa"/>
            <w:vAlign w:val="bottom"/>
            <w:tcBorders>
              <w:bottom w:val="single" w:sz="8" w:color="CFF0FC"/>
            </w:tcBorders>
          </w:tcPr>
          <w:p>
            <w:pPr>
              <w:spacing w:after="0"/>
              <w:rPr>
                <w:sz w:val="14"/>
                <w:szCs w:val="14"/>
                <w:color w:val="auto"/>
              </w:rPr>
            </w:pPr>
          </w:p>
        </w:tc>
      </w:tr>
      <w:tr>
        <w:trPr>
          <w:trHeight w:val="169"/>
        </w:trPr>
        <w:tc>
          <w:tcPr>
            <w:tcW w:w="6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Loans and leases</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99,691,141</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98,875,788</w:t>
            </w:r>
          </w:p>
        </w:tc>
        <w:tc>
          <w:tcPr>
            <w:tcW w:w="120" w:type="dxa"/>
            <w:vAlign w:val="bottom"/>
            <w:shd w:val="clear" w:color="auto" w:fill="CFF0FC"/>
          </w:tcPr>
          <w:p>
            <w:pPr>
              <w:spacing w:after="0"/>
              <w:rPr>
                <w:sz w:val="14"/>
                <w:szCs w:val="14"/>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5"/>
                <w:szCs w:val="15"/>
                <w:color w:val="auto"/>
              </w:rPr>
              <w:t>Unearned discount</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5"/>
                <w:szCs w:val="15"/>
                <w:color w:val="auto"/>
              </w:rPr>
              <w:t>(392,061)</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(339,921)</w:t>
            </w:r>
          </w:p>
        </w:tc>
      </w:tr>
      <w:tr>
        <w:trPr>
          <w:trHeight w:val="169"/>
        </w:trPr>
        <w:tc>
          <w:tcPr>
            <w:tcW w:w="646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14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99,299,080</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98,535,867</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5"/>
                <w:szCs w:val="15"/>
                <w:color w:val="auto"/>
              </w:rPr>
              <w:t>Allowance for credit losses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5"/>
                <w:szCs w:val="15"/>
                <w:color w:val="auto"/>
              </w:rPr>
              <w:t>(1,636,206)</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(1,736,387)</w:t>
            </w:r>
          </w:p>
        </w:tc>
      </w:tr>
      <w:tr>
        <w:trPr>
          <w:trHeight w:val="169"/>
        </w:trPr>
        <w:tc>
          <w:tcPr>
            <w:tcW w:w="646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14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97,662,874</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96,799,480</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460" w:type="dxa"/>
            <w:vAlign w:val="bottom"/>
          </w:tcPr>
          <w:p>
            <w:pPr>
              <w:spacing w:after="0" w:line="169" w:lineRule="exact"/>
              <w:rPr>
                <w:sz w:val="20"/>
                <w:szCs w:val="20"/>
                <w:color w:val="auto"/>
              </w:rPr>
            </w:pPr>
            <w:r>
              <w:rPr>
                <w:rFonts w:ascii="Arial" w:cs="Arial" w:eastAsia="Arial" w:hAnsi="Arial"/>
                <w:sz w:val="15"/>
                <w:szCs w:val="15"/>
                <w:color w:val="auto"/>
              </w:rPr>
              <w:t>Premises and equipment</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1,148,941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1,161,558</w:t>
            </w:r>
          </w:p>
        </w:tc>
        <w:tc>
          <w:tcPr>
            <w:tcW w:w="120" w:type="dxa"/>
            <w:vAlign w:val="bottom"/>
          </w:tcPr>
          <w:p>
            <w:pPr>
              <w:spacing w:after="0"/>
              <w:rPr>
                <w:sz w:val="14"/>
                <w:szCs w:val="14"/>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shd w:val="clear" w:color="auto" w:fill="CFF0FC"/>
          </w:tcPr>
          <w:p>
            <w:pPr>
              <w:spacing w:after="0"/>
              <w:rPr>
                <w:sz w:val="15"/>
                <w:szCs w:val="15"/>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Core deposit and other intangible assets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11,427</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14,165</w:t>
            </w:r>
          </w:p>
        </w:tc>
        <w:tc>
          <w:tcPr>
            <w:tcW w:w="120" w:type="dxa"/>
            <w:vAlign w:val="bottom"/>
          </w:tcPr>
          <w:p>
            <w:pPr>
              <w:spacing w:after="0"/>
              <w:rPr>
                <w:sz w:val="15"/>
                <w:szCs w:val="15"/>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assets</w:t>
            </w:r>
          </w:p>
        </w:tc>
        <w:tc>
          <w:tcPr>
            <w:tcW w:w="1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7,099,464</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6,701,959</w:t>
            </w:r>
          </w:p>
        </w:tc>
        <w:tc>
          <w:tcPr>
            <w:tcW w:w="120" w:type="dxa"/>
            <w:vAlign w:val="bottom"/>
            <w:shd w:val="clear" w:color="auto" w:fill="CFF0FC"/>
          </w:tcPr>
          <w:p>
            <w:pPr>
              <w:spacing w:after="0"/>
              <w:rPr>
                <w:sz w:val="15"/>
                <w:szCs w:val="15"/>
                <w:color w:val="auto"/>
              </w:rPr>
            </w:pPr>
          </w:p>
        </w:tc>
      </w:tr>
      <w:tr>
        <w:trPr>
          <w:trHeight w:val="209"/>
        </w:trPr>
        <w:tc>
          <w:tcPr>
            <w:tcW w:w="6460" w:type="dxa"/>
            <w:vAlign w:val="bottom"/>
          </w:tcPr>
          <w:p>
            <w:pPr>
              <w:ind w:left="500"/>
              <w:spacing w:after="0" w:line="169" w:lineRule="exact"/>
              <w:rPr>
                <w:sz w:val="20"/>
                <w:szCs w:val="20"/>
                <w:color w:val="auto"/>
              </w:rPr>
            </w:pPr>
            <w:r>
              <w:rPr>
                <w:rFonts w:ascii="Arial" w:cs="Arial" w:eastAsia="Arial" w:hAnsi="Arial"/>
                <w:sz w:val="15"/>
                <w:szCs w:val="15"/>
                <w:color w:val="auto"/>
              </w:rPr>
              <w:t>Total assets</w:t>
            </w:r>
          </w:p>
        </w:tc>
        <w:tc>
          <w:tcPr>
            <w:tcW w:w="16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150,481,060</w:t>
            </w:r>
          </w:p>
        </w:tc>
        <w:tc>
          <w:tcPr>
            <w:tcW w:w="440" w:type="dxa"/>
            <w:vAlign w:val="bottom"/>
          </w:tcPr>
          <w:p>
            <w:pPr>
              <w:spacing w:after="0"/>
              <w:rPr>
                <w:sz w:val="18"/>
                <w:szCs w:val="18"/>
                <w:color w:val="auto"/>
              </w:rPr>
            </w:pP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tcPr>
          <w:p>
            <w:pPr>
              <w:spacing w:after="0"/>
              <w:rPr>
                <w:sz w:val="18"/>
                <w:szCs w:val="18"/>
                <w:color w:val="auto"/>
              </w:rPr>
            </w:pPr>
          </w:p>
        </w:tc>
      </w:tr>
      <w:tr>
        <w:trPr>
          <w:trHeight w:val="197"/>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5"/>
                <w:szCs w:val="15"/>
                <w:color w:val="auto"/>
              </w:rPr>
              <w:t>Noninterest-bearing deposits</w:t>
            </w: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53,641,419</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47,572,884</w:t>
            </w:r>
          </w:p>
        </w:tc>
        <w:tc>
          <w:tcPr>
            <w:tcW w:w="120" w:type="dxa"/>
            <w:vAlign w:val="bottom"/>
          </w:tcPr>
          <w:p>
            <w:pPr>
              <w:spacing w:after="0"/>
              <w:rPr>
                <w:sz w:val="15"/>
                <w:szCs w:val="15"/>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Savings and interest-checking deposits</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70,679,036</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67,680,840</w:t>
            </w:r>
          </w:p>
        </w:tc>
        <w:tc>
          <w:tcPr>
            <w:tcW w:w="120" w:type="dxa"/>
            <w:vAlign w:val="bottom"/>
            <w:shd w:val="clear" w:color="auto" w:fill="CFF0FC"/>
          </w:tcPr>
          <w:p>
            <w:pPr>
              <w:spacing w:after="0"/>
              <w:rPr>
                <w:sz w:val="15"/>
                <w:szCs w:val="15"/>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Time deposits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3,514,219</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3,899,910</w:t>
            </w:r>
          </w:p>
        </w:tc>
        <w:tc>
          <w:tcPr>
            <w:tcW w:w="120" w:type="dxa"/>
            <w:vAlign w:val="bottom"/>
          </w:tcPr>
          <w:p>
            <w:pPr>
              <w:spacing w:after="0"/>
              <w:rPr>
                <w:sz w:val="15"/>
                <w:szCs w:val="15"/>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Deposits at Cayman Islands office</w:t>
            </w:r>
          </w:p>
        </w:tc>
        <w:tc>
          <w:tcPr>
            <w:tcW w:w="1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641,691</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652,104</w:t>
            </w:r>
          </w:p>
        </w:tc>
        <w:tc>
          <w:tcPr>
            <w:tcW w:w="120" w:type="dxa"/>
            <w:vAlign w:val="bottom"/>
            <w:shd w:val="clear" w:color="auto" w:fill="CFF0FC"/>
          </w:tcPr>
          <w:p>
            <w:pPr>
              <w:spacing w:after="0"/>
              <w:rPr>
                <w:sz w:val="15"/>
                <w:szCs w:val="15"/>
                <w:color w:val="auto"/>
              </w:rPr>
            </w:pPr>
          </w:p>
        </w:tc>
      </w:tr>
      <w:tr>
        <w:trPr>
          <w:trHeight w:val="169"/>
        </w:trPr>
        <w:tc>
          <w:tcPr>
            <w:tcW w:w="6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128,476,365</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119,805,738</w:t>
            </w:r>
          </w:p>
        </w:tc>
        <w:tc>
          <w:tcPr>
            <w:tcW w:w="120" w:type="dxa"/>
            <w:vAlign w:val="bottom"/>
            <w:tcBorders>
              <w:bottom w:val="single" w:sz="8" w:color="CFF0FC"/>
            </w:tcBorders>
          </w:tcPr>
          <w:p>
            <w:pPr>
              <w:spacing w:after="0"/>
              <w:rPr>
                <w:sz w:val="14"/>
                <w:szCs w:val="14"/>
                <w:color w:val="auto"/>
              </w:rPr>
            </w:pPr>
          </w:p>
        </w:tc>
      </w:tr>
      <w:tr>
        <w:trPr>
          <w:trHeight w:val="169"/>
        </w:trPr>
        <w:tc>
          <w:tcPr>
            <w:tcW w:w="6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Short-term borrowings</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58,957</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59,482</w:t>
            </w:r>
          </w:p>
        </w:tc>
        <w:tc>
          <w:tcPr>
            <w:tcW w:w="120" w:type="dxa"/>
            <w:vAlign w:val="bottom"/>
            <w:shd w:val="clear" w:color="auto" w:fill="CFF0FC"/>
          </w:tcPr>
          <w:p>
            <w:pPr>
              <w:spacing w:after="0"/>
              <w:rPr>
                <w:sz w:val="14"/>
                <w:szCs w:val="14"/>
                <w:color w:val="auto"/>
              </w:rPr>
            </w:pPr>
          </w:p>
        </w:tc>
      </w:tr>
      <w:tr>
        <w:trPr>
          <w:trHeight w:val="175"/>
        </w:trPr>
        <w:tc>
          <w:tcPr>
            <w:tcW w:w="6460" w:type="dxa"/>
            <w:vAlign w:val="bottom"/>
          </w:tcPr>
          <w:p>
            <w:pPr>
              <w:spacing w:after="0"/>
              <w:rPr>
                <w:sz w:val="20"/>
                <w:szCs w:val="20"/>
                <w:color w:val="auto"/>
              </w:rPr>
            </w:pPr>
            <w:r>
              <w:rPr>
                <w:rFonts w:ascii="Arial" w:cs="Arial" w:eastAsia="Arial" w:hAnsi="Arial"/>
                <w:sz w:val="15"/>
                <w:szCs w:val="15"/>
                <w:color w:val="auto"/>
              </w:rPr>
              <w:t>Accrued interest and other liabilities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2,000,727</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2,166,409</w:t>
            </w:r>
          </w:p>
        </w:tc>
        <w:tc>
          <w:tcPr>
            <w:tcW w:w="120" w:type="dxa"/>
            <w:vAlign w:val="bottom"/>
          </w:tcPr>
          <w:p>
            <w:pPr>
              <w:spacing w:after="0"/>
              <w:rPr>
                <w:sz w:val="15"/>
                <w:szCs w:val="15"/>
                <w:color w:val="auto"/>
              </w:rPr>
            </w:pPr>
          </w:p>
        </w:tc>
      </w:tr>
      <w:tr>
        <w:trPr>
          <w:trHeight w:val="176"/>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Long-term borrowings</w:t>
            </w:r>
          </w:p>
        </w:tc>
        <w:tc>
          <w:tcPr>
            <w:tcW w:w="1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3,498,503</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4,382,193</w:t>
            </w:r>
          </w:p>
        </w:tc>
        <w:tc>
          <w:tcPr>
            <w:tcW w:w="120" w:type="dxa"/>
            <w:vAlign w:val="bottom"/>
            <w:shd w:val="clear" w:color="auto" w:fill="CFF0FC"/>
          </w:tcPr>
          <w:p>
            <w:pPr>
              <w:spacing w:after="0"/>
              <w:rPr>
                <w:sz w:val="15"/>
                <w:szCs w:val="15"/>
                <w:color w:val="auto"/>
              </w:rPr>
            </w:pPr>
          </w:p>
        </w:tc>
      </w:tr>
      <w:tr>
        <w:trPr>
          <w:trHeight w:val="169"/>
        </w:trPr>
        <w:tc>
          <w:tcPr>
            <w:tcW w:w="6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1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134,034,552</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126,413,822</w:t>
            </w:r>
          </w:p>
        </w:tc>
        <w:tc>
          <w:tcPr>
            <w:tcW w:w="120" w:type="dxa"/>
            <w:vAlign w:val="bottom"/>
            <w:tcBorders>
              <w:bottom w:val="single" w:sz="8" w:color="CFF0FC"/>
            </w:tcBorders>
          </w:tcPr>
          <w:p>
            <w:pPr>
              <w:spacing w:after="0"/>
              <w:rPr>
                <w:sz w:val="14"/>
                <w:szCs w:val="14"/>
                <w:color w:val="auto"/>
              </w:rPr>
            </w:pPr>
          </w:p>
        </w:tc>
      </w:tr>
      <w:tr>
        <w:trPr>
          <w:trHeight w:val="210"/>
        </w:trPr>
        <w:tc>
          <w:tcPr>
            <w:tcW w:w="6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62"/>
        </w:trPr>
        <w:tc>
          <w:tcPr>
            <w:tcW w:w="6460" w:type="dxa"/>
            <w:vAlign w:val="bottom"/>
          </w:tcPr>
          <w:p>
            <w:pPr>
              <w:spacing w:after="0" w:line="162" w:lineRule="exact"/>
              <w:rPr>
                <w:sz w:val="20"/>
                <w:szCs w:val="20"/>
                <w:color w:val="auto"/>
              </w:rPr>
            </w:pPr>
            <w:r>
              <w:rPr>
                <w:rFonts w:ascii="Arial" w:cs="Arial" w:eastAsia="Arial" w:hAnsi="Arial"/>
                <w:sz w:val="15"/>
                <w:szCs w:val="15"/>
                <w:color w:val="auto"/>
              </w:rPr>
              <w:t>Preferred stock, $1.00 par, 1,000,000 shares authorized;</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460" w:type="dxa"/>
            <w:vAlign w:val="bottom"/>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 share: 350,000</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460" w:type="dxa"/>
            <w:vAlign w:val="bottom"/>
          </w:tcPr>
          <w:p>
            <w:pPr>
              <w:ind w:left="120"/>
              <w:spacing w:after="0" w:line="162" w:lineRule="exact"/>
              <w:rPr>
                <w:sz w:val="20"/>
                <w:szCs w:val="20"/>
                <w:color w:val="auto"/>
              </w:rPr>
            </w:pPr>
            <w:r>
              <w:rPr>
                <w:rFonts w:ascii="Arial" w:cs="Arial" w:eastAsia="Arial" w:hAnsi="Arial"/>
                <w:sz w:val="15"/>
                <w:szCs w:val="15"/>
                <w:color w:val="auto"/>
              </w:rPr>
              <w:t>shares at March 31, 2021 and December 31, 2020; Liquidation preference of</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60" w:type="dxa"/>
            <w:vAlign w:val="bottom"/>
          </w:tcPr>
          <w:p>
            <w:pPr>
              <w:ind w:left="120"/>
              <w:spacing w:after="0"/>
              <w:rPr>
                <w:sz w:val="20"/>
                <w:szCs w:val="20"/>
                <w:color w:val="auto"/>
              </w:rPr>
            </w:pPr>
            <w:r>
              <w:rPr>
                <w:rFonts w:ascii="Arial" w:cs="Arial" w:eastAsia="Arial" w:hAnsi="Arial"/>
                <w:sz w:val="15"/>
                <w:szCs w:val="15"/>
                <w:color w:val="auto"/>
              </w:rPr>
              <w:t>$10,000 per share: 90,000 shares at March 31, 2021 and December 31, 2020</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1,250,000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1,250,000</w:t>
            </w:r>
          </w:p>
        </w:tc>
        <w:tc>
          <w:tcPr>
            <w:tcW w:w="120" w:type="dxa"/>
            <w:vAlign w:val="bottom"/>
          </w:tcPr>
          <w:p>
            <w:pPr>
              <w:spacing w:after="0"/>
              <w:rPr>
                <w:sz w:val="15"/>
                <w:szCs w:val="15"/>
                <w:color w:val="auto"/>
              </w:rPr>
            </w:pPr>
          </w:p>
        </w:tc>
      </w:tr>
      <w:tr>
        <w:trPr>
          <w:trHeight w:val="162"/>
        </w:trPr>
        <w:tc>
          <w:tcPr>
            <w:tcW w:w="6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1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4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159,741,898 shares issued at March 31, 2021 and December 31, 2020</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120" w:type="dxa"/>
            <w:vAlign w:val="bottom"/>
            <w:shd w:val="clear" w:color="auto" w:fill="CFF0FC"/>
          </w:tcPr>
          <w:p>
            <w:pPr>
              <w:spacing w:after="0"/>
              <w:rPr>
                <w:sz w:val="15"/>
                <w:szCs w:val="15"/>
                <w:color w:val="auto"/>
              </w:rPr>
            </w:pPr>
          </w:p>
        </w:tc>
      </w:tr>
      <w:tr>
        <w:trPr>
          <w:trHeight w:val="162"/>
        </w:trPr>
        <w:tc>
          <w:tcPr>
            <w:tcW w:w="6460" w:type="dxa"/>
            <w:vAlign w:val="bottom"/>
          </w:tcPr>
          <w:p>
            <w:pPr>
              <w:spacing w:after="0" w:line="162" w:lineRule="exact"/>
              <w:rPr>
                <w:sz w:val="20"/>
                <w:szCs w:val="20"/>
                <w:color w:val="auto"/>
              </w:rPr>
            </w:pPr>
            <w:r>
              <w:rPr>
                <w:rFonts w:ascii="Arial" w:cs="Arial" w:eastAsia="Arial" w:hAnsi="Arial"/>
                <w:sz w:val="15"/>
                <w:szCs w:val="15"/>
                <w:color w:val="auto"/>
              </w:rPr>
              <w:t>Common stock issuable, 15,492 shares at March 31, 2021;</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60" w:type="dxa"/>
            <w:vAlign w:val="bottom"/>
          </w:tcPr>
          <w:p>
            <w:pPr>
              <w:ind w:left="120"/>
              <w:spacing w:after="0"/>
              <w:rPr>
                <w:sz w:val="20"/>
                <w:szCs w:val="20"/>
                <w:color w:val="auto"/>
              </w:rPr>
            </w:pPr>
            <w:r>
              <w:rPr>
                <w:rFonts w:ascii="Arial" w:cs="Arial" w:eastAsia="Arial" w:hAnsi="Arial"/>
                <w:sz w:val="15"/>
                <w:szCs w:val="15"/>
                <w:color w:val="auto"/>
              </w:rPr>
              <w:t>18,113 shares at December 31, 2020</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1,165</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1,344</w:t>
            </w:r>
          </w:p>
        </w:tc>
        <w:tc>
          <w:tcPr>
            <w:tcW w:w="120" w:type="dxa"/>
            <w:vAlign w:val="bottom"/>
          </w:tcPr>
          <w:p>
            <w:pPr>
              <w:spacing w:after="0"/>
              <w:rPr>
                <w:sz w:val="15"/>
                <w:szCs w:val="15"/>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Additional paid-in capital</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6,611,150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6,617,404</w:t>
            </w:r>
          </w:p>
        </w:tc>
        <w:tc>
          <w:tcPr>
            <w:tcW w:w="120" w:type="dxa"/>
            <w:vAlign w:val="bottom"/>
            <w:shd w:val="clear" w:color="auto" w:fill="CFF0FC"/>
          </w:tcPr>
          <w:p>
            <w:pPr>
              <w:spacing w:after="0"/>
              <w:rPr>
                <w:sz w:val="15"/>
                <w:szCs w:val="15"/>
                <w:color w:val="auto"/>
              </w:rPr>
            </w:pPr>
          </w:p>
        </w:tc>
      </w:tr>
      <w:tr>
        <w:trPr>
          <w:trHeight w:val="176"/>
        </w:trPr>
        <w:tc>
          <w:tcPr>
            <w:tcW w:w="6460" w:type="dxa"/>
            <w:vAlign w:val="bottom"/>
          </w:tcPr>
          <w:p>
            <w:pPr>
              <w:spacing w:after="0"/>
              <w:rPr>
                <w:sz w:val="20"/>
                <w:szCs w:val="20"/>
                <w:color w:val="auto"/>
              </w:rPr>
            </w:pPr>
            <w:r>
              <w:rPr>
                <w:rFonts w:ascii="Arial" w:cs="Arial" w:eastAsia="Arial" w:hAnsi="Arial"/>
                <w:sz w:val="15"/>
                <w:szCs w:val="15"/>
                <w:color w:val="auto"/>
              </w:rPr>
              <w:t>Retained earnings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13,731,893</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13,444,428</w:t>
            </w:r>
          </w:p>
        </w:tc>
        <w:tc>
          <w:tcPr>
            <w:tcW w:w="120" w:type="dxa"/>
            <w:vAlign w:val="bottom"/>
          </w:tcPr>
          <w:p>
            <w:pPr>
              <w:spacing w:after="0"/>
              <w:rPr>
                <w:sz w:val="15"/>
                <w:szCs w:val="15"/>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5"/>
                <w:szCs w:val="15"/>
                <w:color w:val="auto"/>
              </w:rPr>
              <w:t>Accumulated other comprehensive income (loss), net</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(138,478)</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(63,032)</w:t>
            </w:r>
          </w:p>
        </w:tc>
      </w:tr>
      <w:tr>
        <w:trPr>
          <w:trHeight w:val="162"/>
        </w:trPr>
        <w:tc>
          <w:tcPr>
            <w:tcW w:w="6460" w:type="dxa"/>
            <w:vAlign w:val="bottom"/>
          </w:tcPr>
          <w:p>
            <w:pPr>
              <w:spacing w:after="0" w:line="162" w:lineRule="exact"/>
              <w:rPr>
                <w:sz w:val="20"/>
                <w:szCs w:val="20"/>
                <w:color w:val="auto"/>
              </w:rPr>
            </w:pPr>
            <w:r>
              <w:rPr>
                <w:rFonts w:ascii="Arial" w:cs="Arial" w:eastAsia="Arial" w:hAnsi="Arial"/>
                <w:sz w:val="15"/>
                <w:szCs w:val="15"/>
                <w:color w:val="auto"/>
              </w:rPr>
              <w:t>Treasury stock — common, at cost — 31,098,951 shares at March 31, 2021;</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460" w:type="dxa"/>
            <w:vAlign w:val="bottom"/>
          </w:tcPr>
          <w:p>
            <w:pPr>
              <w:ind w:left="120"/>
              <w:spacing w:after="0"/>
              <w:rPr>
                <w:sz w:val="20"/>
                <w:szCs w:val="20"/>
                <w:color w:val="auto"/>
              </w:rPr>
            </w:pPr>
            <w:r>
              <w:rPr>
                <w:rFonts w:ascii="Arial" w:cs="Arial" w:eastAsia="Arial" w:hAnsi="Arial"/>
                <w:sz w:val="15"/>
                <w:szCs w:val="15"/>
                <w:color w:val="auto"/>
              </w:rPr>
              <w:t>31,426,742 shares at December 31, 2020</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5"/>
                <w:szCs w:val="15"/>
                <w:color w:val="auto"/>
              </w:rPr>
              <w:t>(5,089,093)</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(5,142,732)</w:t>
            </w:r>
          </w:p>
        </w:tc>
      </w:tr>
      <w:tr>
        <w:trPr>
          <w:trHeight w:val="169"/>
        </w:trPr>
        <w:tc>
          <w:tcPr>
            <w:tcW w:w="64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4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16,446,508</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16,187,283</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460" w:type="dxa"/>
            <w:vAlign w:val="bottom"/>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6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150,481,060</w:t>
            </w:r>
          </w:p>
        </w:tc>
        <w:tc>
          <w:tcPr>
            <w:tcW w:w="440" w:type="dxa"/>
            <w:vAlign w:val="bottom"/>
          </w:tcPr>
          <w:p>
            <w:pPr>
              <w:spacing w:after="0"/>
              <w:rPr>
                <w:sz w:val="14"/>
                <w:szCs w:val="14"/>
                <w:color w:val="auto"/>
              </w:rPr>
            </w:pP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tcPr>
          <w:p>
            <w:pPr>
              <w:spacing w:after="0"/>
              <w:rPr>
                <w:sz w:val="14"/>
                <w:szCs w:val="14"/>
                <w:color w:val="auto"/>
              </w:rPr>
            </w:pPr>
          </w:p>
        </w:tc>
      </w:tr>
      <w:tr>
        <w:trPr>
          <w:trHeight w:val="20"/>
        </w:trPr>
        <w:tc>
          <w:tcPr>
            <w:tcW w:w="6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w w:val="97"/>
              </w:rPr>
              <w:t>Three Months Ended March 31</w:t>
            </w:r>
          </w:p>
        </w:tc>
        <w:tc>
          <w:tcPr>
            <w:tcW w:w="0" w:type="dxa"/>
            <w:vAlign w:val="bottom"/>
          </w:tcPr>
          <w:p>
            <w:pPr>
              <w:spacing w:after="0"/>
              <w:rPr>
                <w:sz w:val="1"/>
                <w:szCs w:val="1"/>
                <w:color w:val="auto"/>
              </w:rPr>
            </w:pPr>
          </w:p>
        </w:tc>
      </w:tr>
      <w:tr>
        <w:trPr>
          <w:trHeight w:val="220"/>
        </w:trPr>
        <w:tc>
          <w:tcPr>
            <w:tcW w:w="5880" w:type="dxa"/>
            <w:vAlign w:val="bottom"/>
          </w:tcPr>
          <w:p>
            <w:pPr>
              <w:spacing w:after="0"/>
              <w:rPr>
                <w:sz w:val="20"/>
                <w:szCs w:val="20"/>
                <w:color w:val="auto"/>
              </w:rPr>
            </w:pPr>
            <w:r>
              <w:rPr>
                <w:rFonts w:ascii="Arial" w:cs="Arial" w:eastAsia="Arial" w:hAnsi="Arial"/>
                <w:sz w:val="17"/>
                <w:szCs w:val="17"/>
                <w:b w:val="1"/>
                <w:bCs w:val="1"/>
                <w:color w:val="auto"/>
              </w:rPr>
              <w:t>(In thousands, except per share)</w:t>
            </w:r>
          </w:p>
        </w:tc>
        <w:tc>
          <w:tcPr>
            <w:tcW w:w="2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Arial" w:cs="Arial" w:eastAsia="Arial" w:hAnsi="Arial"/>
                <w:sz w:val="17"/>
                <w:szCs w:val="17"/>
                <w:b w:val="1"/>
                <w:bCs w:val="1"/>
                <w:color w:val="auto"/>
              </w:rPr>
              <w:t>Interest income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Loans and leases, including fees</w:t>
            </w:r>
          </w:p>
        </w:tc>
        <w:tc>
          <w:tcPr>
            <w:tcW w:w="2240" w:type="dxa"/>
            <w:vAlign w:val="bottom"/>
            <w:gridSpan w:val="2"/>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972,582</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1,046,821</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Investment securities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Fully taxable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50,110</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7"/>
                <w:szCs w:val="17"/>
                <w:color w:val="auto"/>
              </w:rPr>
              <w:t>Exempt from federal taxes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Deposits at banks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18,966</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20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4,447</w:t>
            </w: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interest income</w:t>
            </w:r>
          </w:p>
        </w:tc>
        <w:tc>
          <w:tcPr>
            <w:tcW w:w="20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1,016,962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1,120,419</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Savings and interest-checking deposits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78,002</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Time deposits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21,872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Deposits at Cayman Islands office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3,419</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Short-term borrowings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Long-term borrowings</w:t>
            </w:r>
          </w:p>
        </w:tc>
        <w:tc>
          <w:tcPr>
            <w:tcW w:w="20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16,866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40,298</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interest expense</w:t>
            </w:r>
          </w:p>
        </w:tc>
        <w:tc>
          <w:tcPr>
            <w:tcW w:w="20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35,567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143,614</w:t>
            </w: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Net interest income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981,395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976,805</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Provision for credit losses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interest income after provision for credit losses</w:t>
            </w:r>
          </w:p>
        </w:tc>
        <w:tc>
          <w:tcPr>
            <w:tcW w:w="20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1,006,395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726,805</w:t>
            </w:r>
          </w:p>
        </w:tc>
        <w:tc>
          <w:tcPr>
            <w:tcW w:w="3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80" w:type="dxa"/>
            <w:vAlign w:val="bottom"/>
          </w:tcPr>
          <w:p>
            <w:pPr>
              <w:spacing w:after="0"/>
              <w:rPr>
                <w:sz w:val="20"/>
                <w:szCs w:val="20"/>
                <w:color w:val="auto"/>
              </w:rPr>
            </w:pPr>
            <w:r>
              <w:rPr>
                <w:rFonts w:ascii="Arial" w:cs="Arial" w:eastAsia="Arial" w:hAnsi="Arial"/>
                <w:sz w:val="17"/>
                <w:szCs w:val="17"/>
                <w:b w:val="1"/>
                <w:bCs w:val="1"/>
                <w:color w:val="auto"/>
              </w:rPr>
              <w:t>Other income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Mortgage banking revenues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138,754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127,909</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Service charges on deposit accounts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106,161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Trust income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156,022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148,751</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Brokerage services income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13,113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Trading account and foreign exchange gains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21,016</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Loss on bank investment securities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(12,282)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(20,782)</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Other revenues from operations</w:t>
            </w:r>
          </w:p>
        </w:tc>
        <w:tc>
          <w:tcPr>
            <w:tcW w:w="20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110,930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133,176</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income</w:t>
            </w:r>
          </w:p>
        </w:tc>
        <w:tc>
          <w:tcPr>
            <w:tcW w:w="20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505,598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529,360</w:t>
            </w: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expense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Salaries and employee benefits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541,078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536,843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Equipment and net occupancy</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79,640</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Outside data processing and software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65,751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64,410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FDIC assessments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14,188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12,271</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Advertising and marketing</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14,628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22,375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Printing, postage and supplies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10,852</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Amortization of core deposit and other intangible assets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3,913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Other costs of operations</w:t>
            </w:r>
          </w:p>
        </w:tc>
        <w:tc>
          <w:tcPr>
            <w:tcW w:w="20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189,273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176,112</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expense</w:t>
            </w:r>
          </w:p>
        </w:tc>
        <w:tc>
          <w:tcPr>
            <w:tcW w:w="20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919,444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906,416</w:t>
            </w: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Income before taxes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592,549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349,749</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taxes</w:t>
            </w:r>
          </w:p>
        </w:tc>
        <w:tc>
          <w:tcPr>
            <w:tcW w:w="20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145,300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80,927</w:t>
            </w: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Net income</w:t>
            </w:r>
          </w:p>
        </w:tc>
        <w:tc>
          <w:tcPr>
            <w:tcW w:w="20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447,249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268,822</w:t>
            </w: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b w:val="1"/>
                <w:bCs w:val="1"/>
                <w:color w:val="auto"/>
              </w:rPr>
              <w:t>Net income available to common shareholders</w:t>
            </w: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2240" w:type="dxa"/>
            <w:vAlign w:val="bottom"/>
            <w:gridSpan w:val="2"/>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428,091</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250,701</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500"/>
              <w:spacing w:after="0"/>
              <w:rPr>
                <w:sz w:val="20"/>
                <w:szCs w:val="20"/>
                <w:color w:val="auto"/>
              </w:rPr>
            </w:pPr>
            <w:r>
              <w:rPr>
                <w:rFonts w:ascii="Arial" w:cs="Arial" w:eastAsia="Arial" w:hAnsi="Arial"/>
                <w:sz w:val="17"/>
                <w:szCs w:val="17"/>
                <w:color w:val="auto"/>
              </w:rPr>
              <w:t>Diluted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428,093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250,701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per common share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500"/>
              <w:spacing w:after="0"/>
              <w:rPr>
                <w:sz w:val="20"/>
                <w:szCs w:val="20"/>
                <w:color w:val="auto"/>
              </w:rPr>
            </w:pPr>
            <w:r>
              <w:rPr>
                <w:rFonts w:ascii="Arial" w:cs="Arial" w:eastAsia="Arial" w:hAnsi="Arial"/>
                <w:sz w:val="17"/>
                <w:szCs w:val="17"/>
                <w:color w:val="auto"/>
              </w:rPr>
              <w:t>Basic</w:t>
            </w:r>
          </w:p>
        </w:tc>
        <w:tc>
          <w:tcPr>
            <w:tcW w:w="224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3.33</w:t>
            </w:r>
          </w:p>
        </w:tc>
        <w:tc>
          <w:tcPr>
            <w:tcW w:w="220" w:type="dxa"/>
            <w:vAlign w:val="bottom"/>
          </w:tcPr>
          <w:p>
            <w:pPr>
              <w:spacing w:after="0"/>
              <w:rPr>
                <w:sz w:val="18"/>
                <w:szCs w:val="18"/>
                <w:color w:val="auto"/>
              </w:rPr>
            </w:pPr>
          </w:p>
        </w:tc>
        <w:tc>
          <w:tcPr>
            <w:tcW w:w="44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Diluted</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b w:val="1"/>
                <w:bCs w:val="1"/>
                <w:color w:val="auto"/>
              </w:rPr>
              <w:t>Average common shares outstanding</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128,537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129,696</w:t>
            </w: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500"/>
              <w:spacing w:after="0"/>
              <w:rPr>
                <w:sz w:val="20"/>
                <w:szCs w:val="20"/>
                <w:color w:val="auto"/>
              </w:rPr>
            </w:pPr>
            <w:r>
              <w:rPr>
                <w:rFonts w:ascii="Arial" w:cs="Arial" w:eastAsia="Arial" w:hAnsi="Arial"/>
                <w:sz w:val="17"/>
                <w:szCs w:val="17"/>
                <w:color w:val="auto"/>
              </w:rPr>
              <w:t>Diluted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129,755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6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447,249</w:t>
            </w:r>
          </w:p>
        </w:tc>
        <w:tc>
          <w:tcPr>
            <w:tcW w:w="4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120" w:type="dxa"/>
            <w:vAlign w:val="bottom"/>
            <w:shd w:val="clear" w:color="auto" w:fill="CFF0FC"/>
          </w:tcPr>
          <w:p>
            <w:pPr>
              <w:spacing w:after="0"/>
              <w:rPr>
                <w:sz w:val="19"/>
                <w:szCs w:val="19"/>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(22,406)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97,448</w:t>
            </w:r>
          </w:p>
        </w:tc>
        <w:tc>
          <w:tcPr>
            <w:tcW w:w="120" w:type="dxa"/>
            <w:vAlign w:val="bottom"/>
            <w:shd w:val="clear" w:color="auto" w:fill="CFF0FC"/>
          </w:tcPr>
          <w:p>
            <w:pPr>
              <w:spacing w:after="0"/>
              <w:rPr>
                <w:sz w:val="19"/>
                <w:szCs w:val="19"/>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Cash flow hedges adjustments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(66,777)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312,720</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(2,943)</w:t>
            </w:r>
          </w:p>
        </w:tc>
      </w:tr>
      <w:tr>
        <w:trPr>
          <w:trHeight w:val="229"/>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2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13,189</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FF0FC"/>
            </w:tcBorders>
          </w:tcPr>
          <w:p>
            <w:pPr>
              <w:spacing w:after="0"/>
              <w:rPr>
                <w:sz w:val="19"/>
                <w:szCs w:val="19"/>
                <w:color w:val="auto"/>
              </w:rPr>
            </w:pPr>
          </w:p>
        </w:tc>
      </w:tr>
      <w:tr>
        <w:trPr>
          <w:trHeight w:val="223"/>
        </w:trPr>
        <w:tc>
          <w:tcPr>
            <w:tcW w:w="6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(75,446)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416,513</w:t>
            </w:r>
          </w:p>
        </w:tc>
        <w:tc>
          <w:tcPr>
            <w:tcW w:w="120" w:type="dxa"/>
            <w:vAlign w:val="bottom"/>
            <w:shd w:val="clear" w:color="auto" w:fill="CFF0FC"/>
          </w:tcPr>
          <w:p>
            <w:pPr>
              <w:spacing w:after="0"/>
              <w:rPr>
                <w:sz w:val="19"/>
                <w:szCs w:val="19"/>
                <w:color w:val="auto"/>
              </w:rPr>
            </w:pPr>
          </w:p>
        </w:tc>
      </w:tr>
      <w:tr>
        <w:trPr>
          <w:trHeight w:val="223"/>
        </w:trPr>
        <w:tc>
          <w:tcPr>
            <w:tcW w:w="614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20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371,803</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685,335</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income</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447,249</w:t>
            </w:r>
          </w:p>
        </w:tc>
        <w:tc>
          <w:tcPr>
            <w:tcW w:w="3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268,822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credit losses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(25,000)</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of premises and equipment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57,116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Amortization of capitalized servicing rights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19,951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core deposit and other intangible assets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2,738</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deferred income taxes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39,329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(36,243)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write-downs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gain on sales of assets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(2,106)</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(3,933)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accrued interest receivable, payable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(36,893)</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(13,863)</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other accrued income and expense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(27,301)</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(73,363)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loans originated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158,878</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(158,193)</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trading account assets and liabilities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359,559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(708,319)</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FF0FC"/>
          </w:tcPr>
          <w:p>
            <w:pPr>
              <w:ind w:left="500"/>
              <w:spacing w:after="0"/>
              <w:rPr>
                <w:sz w:val="20"/>
                <w:szCs w:val="20"/>
                <w:color w:val="auto"/>
              </w:rPr>
            </w:pPr>
            <w:r>
              <w:rPr>
                <w:rFonts w:ascii="Arial" w:cs="Arial" w:eastAsia="Arial" w:hAnsi="Arial"/>
                <w:sz w:val="13"/>
                <w:szCs w:val="13"/>
                <w:color w:val="auto"/>
              </w:rPr>
              <w:t>Net cash provided (used) by operating activities</w:t>
            </w:r>
          </w:p>
        </w:tc>
        <w:tc>
          <w:tcPr>
            <w:tcW w:w="2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60" w:type="dxa"/>
            <w:vAlign w:val="bottom"/>
            <w:vMerge w:val="continue"/>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994,737</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(394,442)</w:t>
            </w:r>
          </w:p>
        </w:tc>
        <w:tc>
          <w:tcPr>
            <w:tcW w:w="0" w:type="dxa"/>
            <w:vAlign w:val="bottom"/>
          </w:tcPr>
          <w:p>
            <w:pPr>
              <w:spacing w:after="0"/>
              <w:rPr>
                <w:sz w:val="1"/>
                <w:szCs w:val="1"/>
                <w:color w:val="auto"/>
              </w:rPr>
            </w:pPr>
          </w:p>
        </w:tc>
      </w:tr>
      <w:tr>
        <w:trPr>
          <w:trHeight w:val="156"/>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2,526</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maturities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422,171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303,994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171,644</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359,615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investment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(1,002)</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(2,951)</w:t>
            </w: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(201,234)</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(5,996)</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(8,801)</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(17,728)</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increase in loans and leases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(988,654)</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(3,105,967)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interest-bearing deposits at banks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(7,743,417)</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(1,706,153)</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(31,016)</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(51,547)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loan servicing advances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(374,614)</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(48,866)</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Other, net</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(179,350)</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420,700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Net cash used by investing activities</w:t>
            </w:r>
          </w:p>
        </w:tc>
        <w:tc>
          <w:tcPr>
            <w:tcW w:w="2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(8,931,747)</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(3,852,363)</w:t>
            </w:r>
          </w:p>
        </w:tc>
        <w:tc>
          <w:tcPr>
            <w:tcW w:w="0" w:type="dxa"/>
            <w:vAlign w:val="bottom"/>
          </w:tcPr>
          <w:p>
            <w:pPr>
              <w:spacing w:after="0"/>
              <w:rPr>
                <w:sz w:val="1"/>
                <w:szCs w:val="1"/>
                <w:color w:val="auto"/>
              </w:rPr>
            </w:pPr>
          </w:p>
        </w:tc>
      </w:tr>
      <w:tr>
        <w:trPr>
          <w:trHeight w:val="155"/>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deposits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8,670,627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5,413,829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decrease in short-term borrowings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(525)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(3,183)</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borrowings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(852,945)</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(753,123)</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common</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(142,044)</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(143,170)</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(21,288)</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(21,344)</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(9,569)</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(10,567)</w:t>
            </w:r>
          </w:p>
        </w:tc>
        <w:tc>
          <w:tcPr>
            <w:tcW w:w="0" w:type="dxa"/>
            <w:vAlign w:val="bottom"/>
          </w:tcPr>
          <w:p>
            <w:pPr>
              <w:spacing w:after="0"/>
              <w:rPr>
                <w:sz w:val="1"/>
                <w:szCs w:val="1"/>
                <w:color w:val="auto"/>
              </w:rPr>
            </w:pPr>
          </w:p>
        </w:tc>
      </w:tr>
      <w:tr>
        <w:trPr>
          <w:trHeight w:val="155"/>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20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7,644,256</w:t>
            </w:r>
          </w:p>
        </w:tc>
        <w:tc>
          <w:tcPr>
            <w:tcW w:w="3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4,108,692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decrease in cash, cash equivalents and restricted cash</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(292,754)</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(138,113)</w:t>
            </w: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1,552,743</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1,436,305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1,259,989</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1,298,192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971,142</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1,159,094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55,378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2,301</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13,020</w:t>
            </w:r>
          </w:p>
        </w:tc>
        <w:tc>
          <w:tcPr>
            <w:tcW w:w="3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17,421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8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Additional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Treasury</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100" w:type="dxa"/>
            <w:vAlign w:val="bottom"/>
          </w:tcPr>
          <w:p>
            <w:pPr>
              <w:spacing w:after="0"/>
              <w:rPr>
                <w:sz w:val="14"/>
                <w:szCs w:val="14"/>
                <w:color w:val="auto"/>
              </w:rPr>
            </w:pPr>
          </w:p>
        </w:tc>
        <w:tc>
          <w:tcPr>
            <w:tcW w:w="580" w:type="dxa"/>
            <w:vAlign w:val="bottom"/>
          </w:tcPr>
          <w:p>
            <w:pPr>
              <w:jc w:val="right"/>
              <w:ind w:right="113"/>
              <w:spacing w:after="0" w:line="148" w:lineRule="exact"/>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4"/>
                <w:szCs w:val="14"/>
                <w:color w:val="auto"/>
              </w:rPr>
            </w:pPr>
          </w:p>
        </w:tc>
        <w:tc>
          <w:tcPr>
            <w:tcW w:w="84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Issuable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Capital</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4"/>
                <w:szCs w:val="14"/>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(Loss), Net</w:t>
            </w:r>
          </w:p>
        </w:tc>
        <w:tc>
          <w:tcPr>
            <w:tcW w:w="80" w:type="dxa"/>
            <w:vAlign w:val="bottom"/>
          </w:tcPr>
          <w:p>
            <w:pPr>
              <w:spacing w:after="0"/>
              <w:rPr>
                <w:sz w:val="14"/>
                <w:szCs w:val="14"/>
                <w:color w:val="auto"/>
              </w:rPr>
            </w:pPr>
          </w:p>
        </w:tc>
        <w:tc>
          <w:tcPr>
            <w:tcW w:w="86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Stock</w:t>
            </w:r>
          </w:p>
        </w:tc>
        <w:tc>
          <w:tcPr>
            <w:tcW w:w="86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2021</w:t>
            </w:r>
          </w:p>
        </w:tc>
        <w:tc>
          <w:tcPr>
            <w:tcW w:w="1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1,344</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6,617,404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$ 13,444,428</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(63,032)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(5,142,732)</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$ 16,187,283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(75,446)</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371,803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(17,050)</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(6,254)</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(208)</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53,639</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(142,526)</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(142,526)</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March 31,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1,165</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6,611,150</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$ 13,731,893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(138,478)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(5,089,093)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$ 16,446,508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2020</w:t>
            </w:r>
          </w:p>
        </w:tc>
        <w:tc>
          <w:tcPr>
            <w:tcW w:w="1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6,593,539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$ 12,820,916</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(206,680)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(4,822,563)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$ 15,716,649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Adoption of new accounting standard for credit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losses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(91,925)</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416,513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685,335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(17,078)</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(17,078)</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(373,750)</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(5,132)</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(102)</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45,314</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39,806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(143,243)</w:t>
            </w:r>
          </w:p>
        </w:tc>
        <w:tc>
          <w:tcPr>
            <w:tcW w:w="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(143,243)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March 31,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1,292</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6,588,407</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$ 12,837,390</w:t>
            </w:r>
          </w:p>
        </w:tc>
        <w:tc>
          <w:tcPr>
            <w:tcW w:w="2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209,833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(5,150,999)</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$ 15,815,794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540" w:hanging="357"/>
        <w:spacing w:after="0"/>
        <w:tabs>
          <w:tab w:leader="none" w:pos="54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the three-months ended March 31, 2021, dividends per preferred share were: Preferred Series E - $16.125; Preferred Series F - $128.125; and Preferred Series G - $125.00. Dividends per</w:t>
      </w:r>
    </w:p>
    <w:p>
      <w:pPr>
        <w:spacing w:after="0" w:line="22" w:lineRule="exact"/>
        <w:rPr>
          <w:rFonts w:ascii="Arial" w:cs="Arial" w:eastAsia="Arial" w:hAnsi="Arial"/>
          <w:sz w:val="12"/>
          <w:szCs w:val="12"/>
          <w:i w:val="1"/>
          <w:iCs w:val="1"/>
          <w:color w:val="auto"/>
        </w:rPr>
      </w:pPr>
    </w:p>
    <w:p>
      <w:pPr>
        <w:ind w:left="540"/>
        <w:spacing w:after="0"/>
        <w:rPr>
          <w:rFonts w:ascii="Arial" w:cs="Arial" w:eastAsia="Arial" w:hAnsi="Arial"/>
          <w:sz w:val="12"/>
          <w:szCs w:val="12"/>
          <w:i w:val="1"/>
          <w:iCs w:val="1"/>
          <w:color w:val="auto"/>
        </w:rPr>
      </w:pPr>
      <w:r>
        <w:rPr>
          <w:rFonts w:ascii="Arial" w:cs="Arial" w:eastAsia="Arial" w:hAnsi="Arial"/>
          <w:sz w:val="13"/>
          <w:szCs w:val="13"/>
          <w:i w:val="1"/>
          <w:iCs w:val="1"/>
          <w:color w:val="auto"/>
        </w:rPr>
        <w:t>preferred share for the three-months ended March 31, 2020 were: Preferred Series E - $16.125; Preferred Series F - $128.125; and Preferred Series G - $125.694.</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2020 (“2020 Annual Report”). The financial statements contain all adjustments which are, in the opinion of management, necessary for a fair statement of the Company’s financial position, results of operations and cash flows for the interim periods presented.</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February 22, 2021, M&amp;T announced that it had entered into a definitive agreement with People’s United Financial, Inc. ("People’s United"), headquartered in Bridgeport, Connecticut,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into a new series of M&amp;T preferred stock upon completion of the acquisition. The transaction is valued at approximately $7.7 billion (with the price based on M&amp;T’s closing price of $151.61 per share as of March 31, 2021).</w:t>
      </w:r>
    </w:p>
    <w:p>
      <w:pPr>
        <w:spacing w:after="0" w:line="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The merger has been unanimously approved by the boards of directors of each company. The merger is expected to close in the fourth quarter of 2021, subject to the satisfaction of customary closing conditions, including the receipt of regulatory approvals and approval by the shareholders of M&amp;T and People’s United. As of March 31, 2021, People’s United disclosed that it had total assets of $64.2 billion, including $42.8 billion of loans, $56.6 billion of liabilities, including $53.5 billion of deposits, and $7.6 billion of stockholders’ equity.</w:t>
      </w:r>
    </w:p>
    <w:p>
      <w:pPr>
        <w:spacing w:after="0" w:line="8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In connection with the acquisition, the Company incurred merger-related expenses consisting predominantly of professional services for investment banking, legal and other services associated with the proposed transaction that totaled approximately $10 million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4,051,580</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174,154</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4,225,089</w:t>
            </w:r>
          </w:p>
        </w:tc>
        <w:tc>
          <w:tcPr>
            <w:tcW w:w="100" w:type="dxa"/>
            <w:vAlign w:val="bottom"/>
            <w:shd w:val="clear" w:color="auto" w:fill="CFF0FC"/>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136,439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132,319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4,194,886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176,612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4,364,437</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1,697,992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79,650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1,776,019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1,778,135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1,850,210</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5,973,021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267,554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6,214,647</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81,792</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386,303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386,303</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455,286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468,095</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4,475,406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4,683,438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136,451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129,814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4,621,027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210,649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4,822,606</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1,664,443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100,176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1,764,608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70,273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1,748,989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1,842,281</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6,370,016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321,890</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6,664,887</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381,117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381,117</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449,008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25,094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474,102</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020" w:type="dxa"/>
            <w:vAlign w:val="bottom"/>
            <w:gridSpan w:val="3"/>
          </w:tcPr>
          <w:p>
            <w:pPr>
              <w:jc w:val="right"/>
              <w:ind w:right="570"/>
              <w:spacing w:after="0"/>
              <w:rPr>
                <w:sz w:val="20"/>
                <w:szCs w:val="20"/>
                <w:color w:val="auto"/>
              </w:rPr>
            </w:pPr>
            <w:r>
              <w:rPr>
                <w:rFonts w:ascii="Arial" w:cs="Arial" w:eastAsia="Arial" w:hAnsi="Arial"/>
                <w:sz w:val="18"/>
                <w:szCs w:val="18"/>
                <w:color w:val="auto"/>
              </w:rPr>
              <w:t>- 9 -</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There were no significant gross realized gains or losses from sales of investment securities for the quarters ended March 31,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2021 and 2020.  Unrealized losses on equity securities were $12 million and $21 million during the three months ended March 31,</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2021 and 2020, respectively.</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March 31, 2021, the amortized cost and estimated fair value of debt securities by contractual maturity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98,778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99,066</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25,326</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143,290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139,332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4,051,596</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4,225,105</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4,194,886</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4,364,437</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1,771,488</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1,843,559</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1,778,135</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1,850,210</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Arial" w:cs="Arial" w:eastAsia="Arial" w:hAnsi="Arial"/>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 summary of investment securities that as of March 31, 2021 and December 31, 2020 had been in a continuous unrealized loss position for less than twelve months and those that had been in a continuous unrealized loss position for twelve months or longer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58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rPr>
              <w:t>Fair</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rPr>
              <w:t>Fair</w:t>
            </w:r>
          </w:p>
        </w:tc>
        <w:tc>
          <w:tcPr>
            <w:tcW w:w="1060" w:type="dxa"/>
            <w:vAlign w:val="bottom"/>
            <w:tcBorders>
              <w:top w:val="single" w:sz="8" w:color="auto"/>
            </w:tcBorders>
          </w:tcPr>
          <w:p>
            <w:pPr>
              <w:jc w:val="right"/>
              <w:ind w:right="112"/>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17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r>
      <w:tr>
        <w:trPr>
          <w:trHeight w:val="156"/>
        </w:trPr>
        <w:tc>
          <w:tcPr>
            <w:tcW w:w="5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76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25,724</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(637)</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2,401</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65,209</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(6,392)</w:t>
            </w: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3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90,933</w:t>
            </w: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199,549</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(1,609)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1,686</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51,443</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(17,244)</w:t>
            </w:r>
          </w:p>
        </w:tc>
      </w:tr>
      <w:tr>
        <w:trPr>
          <w:trHeight w:val="223"/>
        </w:trPr>
        <w:tc>
          <w:tcPr>
            <w:tcW w:w="58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199,549</w:t>
            </w:r>
          </w:p>
        </w:tc>
        <w:tc>
          <w:tcPr>
            <w:tcW w:w="3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53,129</w:t>
            </w:r>
          </w:p>
        </w:tc>
        <w:tc>
          <w:tcPr>
            <w:tcW w:w="36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(17,258)</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204,074</w:t>
            </w:r>
          </w:p>
        </w:tc>
        <w:tc>
          <w:tcPr>
            <w:tcW w:w="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144,062</w:t>
            </w:r>
          </w:p>
        </w:tc>
        <w:tc>
          <w:tcPr>
            <w:tcW w:w="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18,687</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16,556</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16,055</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63,462</w:t>
            </w:r>
          </w:p>
        </w:tc>
        <w:tc>
          <w:tcPr>
            <w:tcW w:w="3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(8,120)</w:t>
            </w: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80,018</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(8,519)</w:t>
            </w:r>
          </w:p>
        </w:tc>
      </w:tr>
      <w:tr>
        <w:trPr>
          <w:trHeight w:val="236"/>
        </w:trPr>
        <w:tc>
          <w:tcPr>
            <w:tcW w:w="58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2,039</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(17,938)</w:t>
            </w:r>
          </w:p>
        </w:tc>
      </w:tr>
      <w:tr>
        <w:trPr>
          <w:trHeight w:val="20"/>
        </w:trPr>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2,039</w:t>
            </w: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(17,938)</w:t>
            </w: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37,766</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132,436</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(26,457)</w:t>
            </w: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owned 281 individual debt securities with aggregate gross unrealized losses of $26 million at March 31, 2021. Based on a review of each of the securities in the investment securities portfolio at March 31, 2021, the Company concluded that it expected to recover the amortized cost basis of its investment. As of March 31, 2021, the Company does not intend to sell nor is it anticipated that it would be required to sell any of its impaired investment securities at a loss. At March 31, 2021, the Company has not identified events or changes in circumstances which may have a significant adverse effect on the fair value of the $386 million of cost method equity securities.</w:t>
      </w:r>
    </w:p>
    <w:p>
      <w:pPr>
        <w:spacing w:after="0" w:line="81"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Company estimated no material allowance for credit losses for its investment securities classified as held-to-maturity at March 31, 2021 or December 31, 2020, as the substantial majority of such investment securities are obligations backed by the U.S. government or its agencies.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March 31, 2021 and December 31, 2020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Accruing</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Loans Past</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30-89 Days</w:t>
            </w: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Due 90</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Current</w:t>
            </w:r>
          </w:p>
        </w:tc>
        <w:tc>
          <w:tcPr>
            <w:tcW w:w="1400" w:type="dxa"/>
            <w:vAlign w:val="bottom"/>
            <w:gridSpan w:val="4"/>
            <w:vMerge w:val="continue"/>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Days or</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Nonaccrual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More</w:t>
            </w:r>
          </w:p>
        </w:tc>
        <w:tc>
          <w:tcPr>
            <w:tcW w:w="1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27,327,644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182,686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5,791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295,069</w:t>
            </w:r>
          </w:p>
        </w:tc>
        <w:tc>
          <w:tcPr>
            <w:tcW w:w="5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27,811,190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26,369,232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175,904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26,996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824,079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27,396,211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1,269,858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1,224</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1,278,991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8,580,462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37,986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6,099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126,225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8,750,772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14,198,898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191,860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1,041,873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385,508</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0"/>
              </w:rPr>
              <w:t>15,818,139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1,372,339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16,136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143,069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1,531,544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3,720,689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15,926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79,188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3,815,803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7,228,228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26,821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27,218</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7,282,267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4,178,258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28,970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38,219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4,245,447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1,319,323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3,794</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37,307</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9"/>
              </w:rPr>
              <w:t>1,368,716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95,564,931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692,490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1,084,553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1,957,106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99,299,080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27,196,862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60,822</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306,827</w:t>
            </w:r>
          </w:p>
        </w:tc>
        <w:tc>
          <w:tcPr>
            <w:tcW w:w="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27,574,564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26,688,515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775,894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27,680,340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1,246,095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1,249,738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8,523,591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66,365</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7"/>
              </w:rPr>
              <w:t>8,707,811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13,764,836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200,406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792,888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365,729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w w:val="88"/>
              </w:rPr>
              <w:t>15,123,859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1,462,277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147,170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1,629,134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3,881,885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79,392</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3,985,606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7,002,643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47,161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25,519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7,075,323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4,007,349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55,498</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4,102,251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1,346,868</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1,407,241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95,120,921</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662,439</w:t>
            </w: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1,893,299</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98,535,867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- 12 -</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A summary of outstanding loan balances for which COVID-19 related modifications were granted as of March 31, 2021 is presented below. These loans meet the criteria described in note 1 of Notes to Financial Statements in the 2020 Annual Report and, accordingly, are not considered past due or otherwise in default of loan terms as of the date presented. Substantially all of the modifications noted below expire during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4"/>
              </w:rPr>
              <w:t>COVID-19 Related Modifications</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Payment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March 31, 2021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7"/>
              </w:rPr>
              <w:t>Deferrals</w:t>
            </w:r>
            <w:r>
              <w:rPr>
                <w:rFonts w:ascii="Arial" w:cs="Arial" w:eastAsia="Arial" w:hAnsi="Arial"/>
                <w:sz w:val="15"/>
                <w:szCs w:val="15"/>
                <w:b w:val="1"/>
                <w:bCs w:val="1"/>
                <w:color w:val="auto"/>
                <w:w w:val="97"/>
              </w:rPr>
              <w:t>(1)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90"/>
              </w:rPr>
              <w:t>Forbearances</w:t>
            </w:r>
            <w:r>
              <w:rPr>
                <w:rFonts w:ascii="Arial" w:cs="Arial" w:eastAsia="Arial" w:hAnsi="Arial"/>
                <w:sz w:val="15"/>
                <w:szCs w:val="15"/>
                <w:b w:val="1"/>
                <w:bCs w:val="1"/>
                <w:color w:val="auto"/>
                <w:w w:val="90"/>
              </w:rPr>
              <w:t>(2)</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Total</w:t>
            </w:r>
          </w:p>
        </w:tc>
      </w:tr>
      <w:tr>
        <w:trPr>
          <w:trHeight w:val="21"/>
        </w:trPr>
        <w:tc>
          <w:tcPr>
            <w:tcW w:w="12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4"/>
        </w:trPr>
        <w:tc>
          <w:tcPr>
            <w:tcW w:w="29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60,819</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156,491</w:t>
            </w:r>
          </w:p>
        </w:tc>
        <w:tc>
          <w:tcPr>
            <w:tcW w:w="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217,310</w:t>
            </w:r>
          </w:p>
        </w:tc>
        <w:tc>
          <w:tcPr>
            <w:tcW w:w="80" w:type="dxa"/>
            <w:vAlign w:val="bottom"/>
          </w:tcPr>
          <w:p>
            <w:pPr>
              <w:spacing w:after="0"/>
              <w:rPr>
                <w:sz w:val="24"/>
                <w:szCs w:val="24"/>
                <w:color w:val="auto"/>
              </w:rPr>
            </w:pPr>
          </w:p>
        </w:tc>
      </w:tr>
      <w:tr>
        <w:trPr>
          <w:trHeight w:val="230"/>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507,491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361,664</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869,155</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100,901</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173,353</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3,017,626</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3,017,626</w:t>
            </w:r>
          </w:p>
        </w:tc>
        <w:tc>
          <w:tcPr>
            <w:tcW w:w="80" w:type="dxa"/>
            <w:vAlign w:val="bottom"/>
          </w:tcPr>
          <w:p>
            <w:pPr>
              <w:spacing w:after="0"/>
              <w:rPr>
                <w:sz w:val="19"/>
                <w:szCs w:val="19"/>
                <w:color w:val="auto"/>
              </w:rPr>
            </w:pPr>
          </w:p>
        </w:tc>
      </w:tr>
      <w:tr>
        <w:trPr>
          <w:trHeight w:val="215"/>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9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296,987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296,987</w:t>
            </w:r>
          </w:p>
        </w:tc>
        <w:tc>
          <w:tcPr>
            <w:tcW w:w="80" w:type="dxa"/>
            <w:vAlign w:val="bottom"/>
            <w:shd w:val="clear" w:color="auto" w:fill="CFF0FC"/>
          </w:tcPr>
          <w:p>
            <w:pPr>
              <w:spacing w:after="0"/>
              <w:rPr>
                <w:sz w:val="20"/>
                <w:szCs w:val="20"/>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18,529</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14,161</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24,882</w:t>
            </w:r>
          </w:p>
        </w:tc>
        <w:tc>
          <w:tcPr>
            <w:tcW w:w="80" w:type="dxa"/>
            <w:vAlign w:val="bottom"/>
            <w:shd w:val="clear" w:color="auto" w:fill="CFF0FC"/>
          </w:tcPr>
          <w:p>
            <w:pPr>
              <w:spacing w:after="0"/>
              <w:rPr>
                <w:sz w:val="19"/>
                <w:szCs w:val="19"/>
                <w:color w:val="auto"/>
              </w:rPr>
            </w:pPr>
          </w:p>
        </w:tc>
      </w:tr>
      <w:tr>
        <w:trPr>
          <w:trHeight w:val="229"/>
        </w:trPr>
        <w:tc>
          <w:tcPr>
            <w:tcW w:w="2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80" w:type="dxa"/>
            <w:vAlign w:val="bottom"/>
            <w:tcBorders>
              <w:bottom w:val="single" w:sz="8" w:color="CFF0FC"/>
            </w:tcBorders>
          </w:tcPr>
          <w:p>
            <w:pPr>
              <w:spacing w:after="0"/>
              <w:rPr>
                <w:sz w:val="19"/>
                <w:szCs w:val="19"/>
                <w:color w:val="auto"/>
              </w:rPr>
            </w:pPr>
          </w:p>
        </w:tc>
      </w:tr>
      <w:tr>
        <w:trPr>
          <w:trHeight w:val="223"/>
        </w:trPr>
        <w:tc>
          <w:tcPr>
            <w:tcW w:w="2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4,013,941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619,056</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4,632,997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560" w:hanging="552"/>
        <w:spacing w:after="0"/>
        <w:tabs>
          <w:tab w:leader="none" w:pos="5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accruing loans at March 31, 2021 for which a COVID-19 related payment deferral (including maturity extensions) has been granted.</w:t>
      </w:r>
    </w:p>
    <w:p>
      <w:pPr>
        <w:spacing w:after="0" w:line="32" w:lineRule="exact"/>
        <w:rPr>
          <w:rFonts w:ascii="Arial" w:cs="Arial" w:eastAsia="Arial" w:hAnsi="Arial"/>
          <w:sz w:val="16"/>
          <w:szCs w:val="16"/>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$2.4 billion of government-guaranteed loans.</w:t>
      </w:r>
    </w:p>
    <w:p>
      <w:pPr>
        <w:spacing w:after="0" w:line="200" w:lineRule="exact"/>
        <w:rPr>
          <w:sz w:val="20"/>
          <w:szCs w:val="20"/>
          <w:color w:val="auto"/>
        </w:rPr>
      </w:pPr>
    </w:p>
    <w:p>
      <w:pPr>
        <w:spacing w:after="0" w:line="25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One-to-four family residential mortgage loans held for sale were $773 million and $777 million at March 31, 2021 and December 31, 2020, respectively. Commercial real estate loans held for sale were $99 million at March 31, 2021 and $278 million at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quality indicators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following table summarizes the loan grades applied at March 31, 2021 to the various classes of the Company’s commercial loans and commercial real estate loans by origination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Revolving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Converted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Revolving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to Term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23"/>
              <w:spacing w:after="0"/>
              <w:rPr>
                <w:sz w:val="20"/>
                <w:szCs w:val="20"/>
                <w:color w:val="auto"/>
              </w:rPr>
            </w:pPr>
            <w:r>
              <w:rPr>
                <w:rFonts w:ascii="Arial" w:cs="Arial" w:eastAsia="Arial" w:hAnsi="Arial"/>
                <w:sz w:val="16"/>
                <w:szCs w:val="16"/>
                <w:b w:val="1"/>
                <w:bCs w:val="1"/>
                <w:color w:val="auto"/>
              </w:rPr>
              <w:t>Prior</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2"/>
              </w:rPr>
              <w:t>(In thousands)</w:t>
            </w: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Commercial, financial, leasing, etc.: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3,124,732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5,923,267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2,096,560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1,384,745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690,770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1,959,774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10,864,179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18,253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26,062,280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182,972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335,409</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107,197</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109,828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54,978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112,406</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536,752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14,299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1,453,841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6,652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30,437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58,718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16,522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68,214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105,392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8,450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3,308,388</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6,265,328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2,234,194</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1,553,291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762,270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2,140,394</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11,506,323</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41,002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27,811,190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631,465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3,077,590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4,586,114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3,077,605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2,507,906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7,513,879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850,376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22,244,935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720</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584,844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556,339</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833,519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269,903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2,014,016</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67,856</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4,327,197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33,509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123,364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46,519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141,610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469,332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9,745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824,079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632,185</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3,695,943</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5,265,817</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3,957,643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2,919,419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9,997,227</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927,977</w:t>
            </w:r>
          </w:p>
        </w:tc>
        <w:tc>
          <w:tcPr>
            <w:tcW w:w="20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27,396,211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157,050</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429,172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194,524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83,260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8,844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19,738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253,319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1,145,907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2,550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107,946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15,097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1,847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3,790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706</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157,050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431,722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302,988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98,357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9,474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22,291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257,109</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1,278,991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169,597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1,346,451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3,120,357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1,603,206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649,578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484,087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71,183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7,444,459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22,703</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167,294</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548,509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301,956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138,496</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1,180,088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78,901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13,435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4,130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24,032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170,727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1,369,490</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3,366,552</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2,165,150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955,664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646,615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76,574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8,750,772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Increases to criticized loans as compared with December 31, 2020 were predominantly attributable to effects of the COVID-19 pandemic and the related re-grading of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March 31, 2021 for the various classes of the Company’s residential real estate loans and consumer loans by origination year follows.</w:t>
      </w:r>
    </w:p>
    <w:p>
      <w:pPr>
        <w:spacing w:after="0" w:line="224" w:lineRule="exact"/>
        <w:rPr>
          <w:sz w:val="20"/>
          <w:szCs w:val="20"/>
          <w:color w:val="auto"/>
        </w:rPr>
      </w:pPr>
    </w:p>
    <w:tbl>
      <w:tblPr>
        <w:tblLayout w:type="fixed"/>
        <w:tblInd w:w="28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Revolving</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Loans</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c>
          <w:tcPr>
            <w:tcW w:w="820" w:type="dxa"/>
            <w:vAlign w:val="bottom"/>
          </w:tcPr>
          <w:p>
            <w:pPr>
              <w:spacing w:after="0"/>
              <w:rPr>
                <w:sz w:val="17"/>
                <w:szCs w:val="17"/>
                <w:color w:val="auto"/>
              </w:rPr>
            </w:pPr>
          </w:p>
        </w:tc>
      </w:tr>
      <w:tr>
        <w:trPr>
          <w:trHeight w:val="213"/>
        </w:trPr>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6"/>
                <w:szCs w:val="16"/>
                <w:b w:val="1"/>
                <w:bCs w:val="1"/>
                <w:color w:val="auto"/>
                <w:w w:val="93"/>
              </w:rPr>
              <w:t>Term Loans by Origination Year</w:t>
            </w:r>
          </w:p>
        </w:tc>
        <w:tc>
          <w:tcPr>
            <w:tcW w:w="580" w:type="dxa"/>
            <w:vAlign w:val="bottom"/>
            <w:tcBorders>
              <w:bottom w:val="single" w:sz="8" w:color="auto"/>
            </w:tcBorders>
          </w:tcPr>
          <w:p>
            <w:pPr>
              <w:spacing w:after="0"/>
              <w:rPr>
                <w:sz w:val="18"/>
                <w:szCs w:val="18"/>
                <w:color w:val="auto"/>
              </w:rPr>
            </w:pPr>
          </w:p>
        </w:tc>
        <w:tc>
          <w:tcPr>
            <w:tcW w:w="110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Revolving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to Term</w:t>
            </w:r>
          </w:p>
        </w:tc>
        <w:tc>
          <w:tcPr>
            <w:tcW w:w="820" w:type="dxa"/>
            <w:vAlign w:val="bottom"/>
          </w:tcPr>
          <w:p>
            <w:pPr>
              <w:spacing w:after="0"/>
              <w:rPr>
                <w:sz w:val="18"/>
                <w:szCs w:val="18"/>
                <w:color w:val="auto"/>
              </w:rPr>
            </w:pPr>
          </w:p>
        </w:tc>
      </w:tr>
      <w:tr>
        <w:trPr>
          <w:trHeight w:val="226"/>
        </w:trPr>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Prior</w:t>
            </w:r>
          </w:p>
        </w:tc>
        <w:tc>
          <w:tcPr>
            <w:tcW w:w="11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Loans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Loans</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r>
      <w:tr>
        <w:trPr>
          <w:trHeight w:val="217"/>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5"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rPr>
          <w:sz w:val="20"/>
          <w:szCs w:val="20"/>
          <w:color w:val="auto"/>
        </w:rPr>
      </w:pPr>
      <w:r>
        <w:rPr>
          <w:rFonts w:ascii="Arial" w:cs="Arial" w:eastAsia="Arial" w:hAnsi="Arial"/>
          <w:sz w:val="18"/>
          <w:szCs w:val="18"/>
          <w:color w:val="auto"/>
        </w:rPr>
        <w:t>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tcPr>
          <w:p>
            <w:pPr>
              <w:ind w:left="460"/>
              <w:spacing w:after="0"/>
              <w:rPr>
                <w:sz w:val="20"/>
                <w:szCs w:val="20"/>
                <w:color w:val="auto"/>
              </w:rPr>
            </w:pPr>
            <w:r>
              <w:rPr>
                <w:rFonts w:ascii="Arial" w:cs="Arial" w:eastAsia="Arial" w:hAnsi="Arial"/>
                <w:sz w:val="18"/>
                <w:szCs w:val="18"/>
                <w:color w:val="auto"/>
              </w:rPr>
              <w:t>Current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1,125,233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1,889,481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1,331,314</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599,352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1,496,417</w:t>
            </w:r>
          </w:p>
        </w:tc>
        <w:tc>
          <w:tcPr>
            <w:tcW w:w="0" w:type="dxa"/>
            <w:vAlign w:val="bottom"/>
          </w:tcPr>
          <w:p>
            <w:pPr>
              <w:spacing w:after="0"/>
              <w:rPr>
                <w:sz w:val="1"/>
                <w:szCs w:val="1"/>
                <w:color w:val="auto"/>
              </w:rPr>
            </w:pPr>
          </w:p>
        </w:tc>
      </w:tr>
      <w:tr>
        <w:trPr>
          <w:trHeight w:val="229"/>
        </w:trPr>
        <w:tc>
          <w:tcPr>
            <w:tcW w:w="262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2,270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10,190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5,363</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5,116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20,138</w:t>
            </w:r>
          </w:p>
        </w:tc>
        <w:tc>
          <w:tcPr>
            <w:tcW w:w="0" w:type="dxa"/>
            <w:vAlign w:val="bottom"/>
          </w:tcPr>
          <w:p>
            <w:pPr>
              <w:spacing w:after="0"/>
              <w:rPr>
                <w:sz w:val="1"/>
                <w:szCs w:val="1"/>
                <w:color w:val="auto"/>
              </w:rPr>
            </w:pP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w w:val="99"/>
              </w:rPr>
              <w:t>Accruing loans past due 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97,784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28,810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40,613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248,186</w:t>
            </w:r>
          </w:p>
        </w:tc>
        <w:tc>
          <w:tcPr>
            <w:tcW w:w="0" w:type="dxa"/>
            <w:vAlign w:val="bottom"/>
          </w:tcPr>
          <w:p>
            <w:pPr>
              <w:spacing w:after="0"/>
              <w:rPr>
                <w:sz w:val="1"/>
                <w:szCs w:val="1"/>
                <w:color w:val="auto"/>
              </w:rPr>
            </w:pPr>
          </w:p>
        </w:tc>
      </w:tr>
      <w:tr>
        <w:trPr>
          <w:trHeight w:val="230"/>
        </w:trPr>
        <w:tc>
          <w:tcPr>
            <w:tcW w:w="262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19,705</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12,889</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3,571</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5,003</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Total residential</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1,128,011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2,017,160</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1,378,376</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648,652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1,769,744</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5"/>
                <w:szCs w:val="15"/>
                <w:color w:val="auto"/>
              </w:rPr>
              <w:t>Residential - limited documentation:</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460"/>
              <w:spacing w:after="0"/>
              <w:rPr>
                <w:sz w:val="20"/>
                <w:szCs w:val="20"/>
                <w:color w:val="auto"/>
              </w:rPr>
            </w:pPr>
            <w:r>
              <w:rPr>
                <w:rFonts w:ascii="Arial" w:cs="Arial" w:eastAsia="Arial" w:hAnsi="Arial"/>
                <w:sz w:val="18"/>
                <w:szCs w:val="18"/>
                <w:color w:val="auto"/>
              </w:rPr>
              <w:t>Current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w w:val="99"/>
              </w:rPr>
              <w:t>Accruing loans past due 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Total residential - limited</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documentation</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Home equity lines and loans: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460"/>
              <w:spacing w:after="0"/>
              <w:rPr>
                <w:sz w:val="20"/>
                <w:szCs w:val="20"/>
                <w:color w:val="auto"/>
              </w:rPr>
            </w:pPr>
            <w:r>
              <w:rPr>
                <w:rFonts w:ascii="Arial" w:cs="Arial" w:eastAsia="Arial" w:hAnsi="Arial"/>
                <w:sz w:val="18"/>
                <w:szCs w:val="18"/>
                <w:color w:val="auto"/>
              </w:rPr>
              <w:t>Current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3,777</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2,316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2,281</w:t>
            </w:r>
          </w:p>
        </w:tc>
        <w:tc>
          <w:tcPr>
            <w:tcW w:w="0" w:type="dxa"/>
            <w:vAlign w:val="bottom"/>
          </w:tcPr>
          <w:p>
            <w:pPr>
              <w:spacing w:after="0"/>
              <w:rPr>
                <w:sz w:val="1"/>
                <w:szCs w:val="1"/>
                <w:color w:val="auto"/>
              </w:rPr>
            </w:pPr>
          </w:p>
        </w:tc>
      </w:tr>
      <w:tr>
        <w:trPr>
          <w:trHeight w:val="230"/>
        </w:trPr>
        <w:tc>
          <w:tcPr>
            <w:tcW w:w="262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w w:val="99"/>
              </w:rPr>
              <w:t>Accruing loans past due 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w w:val="96"/>
              </w:rPr>
              <w:t>Total home equity lines and loans</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3,800</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2,316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jc w:val="right"/>
              <w:spacing w:after="0"/>
              <w:rPr>
                <w:sz w:val="20"/>
                <w:szCs w:val="20"/>
                <w:color w:val="auto"/>
              </w:rPr>
            </w:pPr>
            <w:r>
              <w:rPr>
                <w:rFonts w:ascii="Arial" w:cs="Arial" w:eastAsia="Arial" w:hAnsi="Arial"/>
                <w:sz w:val="15"/>
                <w:szCs w:val="15"/>
                <w:color w:val="auto"/>
              </w:rPr>
              <w:t>7,701,525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55,576</w:t>
            </w:r>
          </w:p>
        </w:tc>
        <w:tc>
          <w:tcPr>
            <w:tcW w:w="22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14,198,898</w:t>
            </w:r>
          </w:p>
        </w:tc>
      </w:tr>
      <w:tr>
        <w:trPr>
          <w:trHeight w:val="231"/>
        </w:trPr>
        <w:tc>
          <w:tcPr>
            <w:tcW w:w="720" w:type="dxa"/>
            <w:vAlign w:val="bottom"/>
          </w:tcPr>
          <w:p>
            <w:pPr>
              <w:jc w:val="right"/>
              <w:spacing w:after="0"/>
              <w:rPr>
                <w:sz w:val="20"/>
                <w:szCs w:val="20"/>
                <w:color w:val="auto"/>
              </w:rPr>
            </w:pPr>
            <w:r>
              <w:rPr>
                <w:rFonts w:ascii="Arial" w:cs="Arial" w:eastAsia="Arial" w:hAnsi="Arial"/>
                <w:sz w:val="15"/>
                <w:szCs w:val="15"/>
                <w:color w:val="auto"/>
              </w:rPr>
              <w:t>148,539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244</w:t>
            </w:r>
          </w:p>
        </w:tc>
        <w:tc>
          <w:tcPr>
            <w:tcW w:w="2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191,860</w:t>
            </w:r>
          </w:p>
        </w:tc>
      </w:tr>
      <w:tr>
        <w:trPr>
          <w:trHeight w:val="444"/>
        </w:trPr>
        <w:tc>
          <w:tcPr>
            <w:tcW w:w="720" w:type="dxa"/>
            <w:vAlign w:val="bottom"/>
          </w:tcPr>
          <w:p>
            <w:pPr>
              <w:jc w:val="right"/>
              <w:spacing w:after="0"/>
              <w:rPr>
                <w:sz w:val="20"/>
                <w:szCs w:val="20"/>
                <w:color w:val="auto"/>
              </w:rPr>
            </w:pPr>
            <w:r>
              <w:rPr>
                <w:rFonts w:ascii="Arial" w:cs="Arial" w:eastAsia="Arial" w:hAnsi="Arial"/>
                <w:sz w:val="15"/>
                <w:szCs w:val="15"/>
                <w:color w:val="auto"/>
              </w:rPr>
              <w:t>626,480</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1,041,873</w:t>
            </w:r>
          </w:p>
        </w:tc>
      </w:tr>
      <w:tr>
        <w:trPr>
          <w:trHeight w:val="212"/>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343,638</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220" w:type="dxa"/>
            <w:vAlign w:val="bottom"/>
          </w:tcPr>
          <w:p>
            <w:pPr>
              <w:spacing w:after="0"/>
              <w:rPr>
                <w:sz w:val="18"/>
                <w:szCs w:val="18"/>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385,508</w:t>
            </w:r>
          </w:p>
        </w:tc>
      </w:tr>
      <w:tr>
        <w:trPr>
          <w:trHeight w:val="22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8,820,182</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56,014</w:t>
            </w:r>
          </w:p>
        </w:tc>
        <w:tc>
          <w:tcPr>
            <w:tcW w:w="220" w:type="dxa"/>
            <w:vAlign w:val="bottom"/>
          </w:tcPr>
          <w:p>
            <w:pPr>
              <w:spacing w:after="0"/>
              <w:rPr>
                <w:sz w:val="19"/>
                <w:szCs w:val="19"/>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15,818,139</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73"/>
        </w:trPr>
        <w:tc>
          <w:tcPr>
            <w:tcW w:w="720" w:type="dxa"/>
            <w:vAlign w:val="bottom"/>
          </w:tcPr>
          <w:p>
            <w:pPr>
              <w:jc w:val="right"/>
              <w:spacing w:after="0"/>
              <w:rPr>
                <w:sz w:val="20"/>
                <w:szCs w:val="20"/>
                <w:color w:val="auto"/>
              </w:rPr>
            </w:pPr>
            <w:r>
              <w:rPr>
                <w:rFonts w:ascii="Arial" w:cs="Arial" w:eastAsia="Arial" w:hAnsi="Arial"/>
                <w:sz w:val="15"/>
                <w:szCs w:val="15"/>
                <w:color w:val="auto"/>
              </w:rPr>
              <w:t>1,372,339</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1,372,339</w:t>
            </w:r>
          </w:p>
        </w:tc>
      </w:tr>
      <w:tr>
        <w:trPr>
          <w:trHeight w:val="231"/>
        </w:trPr>
        <w:tc>
          <w:tcPr>
            <w:tcW w:w="720" w:type="dxa"/>
            <w:vAlign w:val="bottom"/>
          </w:tcPr>
          <w:p>
            <w:pPr>
              <w:jc w:val="right"/>
              <w:spacing w:after="0"/>
              <w:rPr>
                <w:sz w:val="20"/>
                <w:szCs w:val="20"/>
                <w:color w:val="auto"/>
              </w:rPr>
            </w:pPr>
            <w:r>
              <w:rPr>
                <w:rFonts w:ascii="Arial" w:cs="Arial" w:eastAsia="Arial" w:hAnsi="Arial"/>
                <w:sz w:val="15"/>
                <w:szCs w:val="15"/>
                <w:color w:val="auto"/>
              </w:rPr>
              <w:t>16,136</w:t>
            </w:r>
          </w:p>
        </w:tc>
        <w:tc>
          <w:tcPr>
            <w:tcW w:w="2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16,136</w:t>
            </w:r>
          </w:p>
        </w:tc>
      </w:tr>
      <w:tr>
        <w:trPr>
          <w:trHeight w:val="421"/>
        </w:trPr>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143,069</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143,069</w:t>
            </w:r>
          </w:p>
        </w:tc>
      </w:tr>
      <w:tr>
        <w:trPr>
          <w:trHeight w:val="439"/>
        </w:trPr>
        <w:tc>
          <w:tcPr>
            <w:tcW w:w="720" w:type="dxa"/>
            <w:vAlign w:val="bottom"/>
          </w:tcPr>
          <w:p>
            <w:pPr>
              <w:jc w:val="right"/>
              <w:spacing w:after="0"/>
              <w:rPr>
                <w:sz w:val="20"/>
                <w:szCs w:val="20"/>
                <w:color w:val="auto"/>
              </w:rPr>
            </w:pPr>
            <w:r>
              <w:rPr>
                <w:rFonts w:ascii="Arial" w:cs="Arial" w:eastAsia="Arial" w:hAnsi="Arial"/>
                <w:sz w:val="15"/>
                <w:szCs w:val="15"/>
                <w:color w:val="auto"/>
              </w:rPr>
              <w:t>1,531,544</w:t>
            </w:r>
          </w:p>
        </w:tc>
        <w:tc>
          <w:tcPr>
            <w:tcW w:w="2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1,531,544</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 w:type="dxa"/>
            <w:vAlign w:val="bottom"/>
          </w:tcPr>
          <w:p>
            <w:pPr>
              <w:jc w:val="right"/>
              <w:spacing w:after="0"/>
              <w:rPr>
                <w:sz w:val="20"/>
                <w:szCs w:val="20"/>
                <w:color w:val="auto"/>
              </w:rPr>
            </w:pPr>
            <w:r>
              <w:rPr>
                <w:rFonts w:ascii="Arial" w:cs="Arial" w:eastAsia="Arial" w:hAnsi="Arial"/>
                <w:sz w:val="15"/>
                <w:szCs w:val="15"/>
                <w:color w:val="auto"/>
              </w:rPr>
              <w:t>50,886</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2,458,179</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1,202,223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3,720,689</w:t>
            </w:r>
          </w:p>
        </w:tc>
      </w:tr>
      <w:tr>
        <w:trPr>
          <w:trHeight w:val="230"/>
        </w:trPr>
        <w:tc>
          <w:tcPr>
            <w:tcW w:w="720" w:type="dxa"/>
            <w:vAlign w:val="bottom"/>
          </w:tcPr>
          <w:p>
            <w:pPr>
              <w:jc w:val="right"/>
              <w:spacing w:after="0"/>
              <w:rPr>
                <w:sz w:val="20"/>
                <w:szCs w:val="20"/>
                <w:color w:val="auto"/>
              </w:rPr>
            </w:pPr>
            <w:r>
              <w:rPr>
                <w:rFonts w:ascii="Arial" w:cs="Arial" w:eastAsia="Arial" w:hAnsi="Arial"/>
                <w:sz w:val="15"/>
                <w:szCs w:val="15"/>
                <w:color w:val="auto"/>
              </w:rPr>
              <w:t>917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14,710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15,926</w:t>
            </w:r>
          </w:p>
        </w:tc>
      </w:tr>
      <w:tr>
        <w:trPr>
          <w:trHeight w:val="420"/>
        </w:trPr>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6,263</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5,714</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79,188</w:t>
            </w:r>
          </w:p>
        </w:tc>
      </w:tr>
      <w:tr>
        <w:trPr>
          <w:trHeight w:val="22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58,066</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2,464,151</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1,284,144</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3,815,803</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200"/>
            <w:col w:w="38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4"/>
              </w:rPr>
              <w:t>Term Loans by Origination Year</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98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72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38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678,012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2,637,664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1,631,536</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841,575</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588,596</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850,845</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7,228,228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5,584</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4,372</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4,709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6,230</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26,821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3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2,217</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4,494</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4,741</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4,697</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10,922</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4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678,618</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2,645,348</w:t>
            </w:r>
          </w:p>
        </w:tc>
        <w:tc>
          <w:tcPr>
            <w:tcW w:w="9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1,641,614</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850,688</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598,002</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867,997</w:t>
            </w: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7,282,267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spacing w:after="0"/>
              <w:rPr>
                <w:sz w:val="20"/>
                <w:szCs w:val="20"/>
                <w:color w:val="auto"/>
              </w:rPr>
            </w:pPr>
            <w:r>
              <w:rPr>
                <w:rFonts w:ascii="Arial" w:cs="Arial" w:eastAsia="Arial" w:hAnsi="Arial"/>
                <w:sz w:val="15"/>
                <w:szCs w:val="15"/>
                <w:color w:val="auto"/>
              </w:rPr>
              <w:t>Automobile:</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400"/>
              <w:spacing w:after="0"/>
              <w:rPr>
                <w:sz w:val="20"/>
                <w:szCs w:val="20"/>
                <w:color w:val="auto"/>
              </w:rPr>
            </w:pPr>
            <w:r>
              <w:rPr>
                <w:rFonts w:ascii="Arial" w:cs="Arial" w:eastAsia="Arial" w:hAnsi="Arial"/>
                <w:sz w:val="15"/>
                <w:szCs w:val="15"/>
                <w:color w:val="auto"/>
              </w:rPr>
              <w:t>Current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569,198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1,499,937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996,107</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553,269</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377,492</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182,255</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4,178,258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7,384</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6,231</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5,963</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4,750</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491</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2,248</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7,925</w:t>
            </w:r>
          </w:p>
        </w:tc>
        <w:tc>
          <w:tcPr>
            <w:tcW w:w="1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9,686</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9,595</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8,274</w:t>
            </w:r>
          </w:p>
        </w:tc>
        <w:tc>
          <w:tcPr>
            <w:tcW w:w="22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line="169" w:lineRule="exact"/>
              <w:rPr>
                <w:sz w:val="20"/>
                <w:szCs w:val="20"/>
                <w:color w:val="auto"/>
              </w:rPr>
            </w:pPr>
            <w:r>
              <w:rPr>
                <w:rFonts w:ascii="Arial" w:cs="Arial" w:eastAsia="Arial" w:hAnsi="Arial"/>
                <w:sz w:val="15"/>
                <w:szCs w:val="15"/>
                <w:color w:val="auto"/>
              </w:rPr>
              <w:t>Total automobile</w:t>
            </w:r>
          </w:p>
        </w:tc>
        <w:tc>
          <w:tcPr>
            <w:tcW w:w="4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570,321</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1,506,195</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1,011,416</w:t>
            </w:r>
          </w:p>
        </w:tc>
        <w:tc>
          <w:tcPr>
            <w:tcW w:w="18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569,186</w:t>
            </w:r>
          </w:p>
        </w:tc>
        <w:tc>
          <w:tcPr>
            <w:tcW w:w="180" w:type="dxa"/>
            <w:vAlign w:val="bottom"/>
          </w:tcPr>
          <w:p>
            <w:pPr>
              <w:spacing w:after="0"/>
              <w:rPr>
                <w:sz w:val="18"/>
                <w:szCs w:val="18"/>
                <w:color w:val="auto"/>
              </w:rPr>
            </w:pP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393,050</w:t>
            </w:r>
          </w:p>
        </w:tc>
        <w:tc>
          <w:tcPr>
            <w:tcW w:w="22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195,279</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4,245,447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3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42,958</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145,146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121,021</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45,113</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27,818</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30,171</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905,388</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1,319,323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1,224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455</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630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114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4,823</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3,458</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3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34,832</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other</w:t>
            </w:r>
          </w:p>
        </w:tc>
        <w:tc>
          <w:tcPr>
            <w:tcW w:w="4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45,020</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145,811</w:t>
            </w:r>
          </w:p>
        </w:tc>
        <w:tc>
          <w:tcPr>
            <w:tcW w:w="9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122,213</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45,663</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28,115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31,255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948,501</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2,138</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1,368,716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Total loans and leases at</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March 31, 2021</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9"/>
              </w:rPr>
              <w:t>6,690,394</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18,077,950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15,326,970</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9,890,946</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7,438,037</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24,310,850</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16,236,649</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1,327,284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99,299,080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64" w:lineRule="auto"/>
        <w:rPr>
          <w:sz w:val="20"/>
          <w:szCs w:val="20"/>
          <w:color w:val="auto"/>
        </w:rPr>
      </w:pPr>
      <w:r>
        <w:rPr>
          <w:rFonts w:ascii="Arial" w:cs="Arial" w:eastAsia="Arial" w:hAnsi="Arial"/>
          <w:sz w:val="21"/>
          <w:szCs w:val="21"/>
          <w:color w:val="auto"/>
        </w:rPr>
        <w:t>The following table summarizes the loan grades applied at December 31, 2020 to the various classes of the Company’s commercial loans and commercial real estate loans by origination year.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9"/>
            <w:vMerge w:val="restart"/>
          </w:tcPr>
          <w:p>
            <w:pPr>
              <w:ind w:left="640"/>
              <w:spacing w:after="0"/>
              <w:rPr>
                <w:sz w:val="20"/>
                <w:szCs w:val="20"/>
                <w:color w:val="auto"/>
              </w:rPr>
            </w:pPr>
            <w:r>
              <w:rPr>
                <w:rFonts w:ascii="Arial" w:cs="Arial" w:eastAsia="Arial" w:hAnsi="Arial"/>
                <w:sz w:val="14"/>
                <w:szCs w:val="14"/>
                <w:b w:val="1"/>
                <w:bCs w:val="1"/>
                <w:color w:val="auto"/>
              </w:rPr>
              <w:t>Term Loans by Origination Year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Revolving</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Converted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9"/>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 Term</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280" w:type="dxa"/>
            <w:vAlign w:val="bottom"/>
            <w:vMerge w:val="restart"/>
          </w:tcPr>
          <w:p>
            <w:pPr>
              <w:spacing w:after="0"/>
              <w:rPr>
                <w:sz w:val="20"/>
                <w:szCs w:val="20"/>
                <w:color w:val="auto"/>
              </w:rPr>
            </w:pPr>
            <w:r>
              <w:rPr>
                <w:rFonts w:ascii="Arial" w:cs="Arial" w:eastAsia="Arial" w:hAnsi="Arial"/>
                <w:sz w:val="15"/>
                <w:szCs w:val="15"/>
                <w:color w:val="auto"/>
              </w:rPr>
              <w:t>Commercial, financial, leasing, etc.:</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7,732,728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2,277,233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1,505,486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930,834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719,796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1,387,695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11,352,416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25,927,474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388,326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84,358</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113,940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41,587</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39,930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73,401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584,751</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1,340,263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27,309</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56,227</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16,808</w:t>
            </w: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45,471</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125,893</w:t>
            </w: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306,827</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8,128,774</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2,388,900</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1,675,653</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989,229</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779,407</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1,506,567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12,063,060</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42,974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8"/>
              </w:rPr>
              <w:t>27,574,564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Real estate:</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5"/>
                <w:szCs w:val="15"/>
                <w:color w:val="auto"/>
              </w:rPr>
              <w:t>Commercial: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3,353,450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4,681,834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3,299,095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2,628,061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2,746,165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5,698,834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875,348</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23,282,787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526,037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400,154</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579,507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290,885</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568,144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1,212,672</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44,260</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3,621,659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26,876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121,899</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47,144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99,293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197,319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248,949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34,414</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775,894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3,906,363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5,203,887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3,925,746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3,018,239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3,511,628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7,160,455</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954,022</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27,680,340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Pass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506,295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223,880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109,453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15,048</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236,943</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1,113,915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3,690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106,847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14,836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3,421</w:t>
            </w:r>
          </w:p>
        </w:tc>
        <w:tc>
          <w:tcPr>
            <w:tcW w:w="1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1,885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4,050</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509,985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331,245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124,289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18,469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240,993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1,249,738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1,050,258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2,998,921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2,048,063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945,339</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294,030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74,611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7,644,349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148,492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381,091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225,949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144,665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12,034</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949,423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65,592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13,522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4,213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12,097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12,873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5,407</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114,039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other commercial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construction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1,087,785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3,213,005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2,442,676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1,175,501</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389,889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318,937</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80,018</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8,707,811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51" w:lineRule="auto"/>
        <w:rPr>
          <w:sz w:val="20"/>
          <w:szCs w:val="20"/>
          <w:color w:val="auto"/>
        </w:rPr>
      </w:pPr>
      <w:r>
        <w:rPr>
          <w:rFonts w:ascii="Arial" w:cs="Arial" w:eastAsia="Arial" w:hAnsi="Arial"/>
          <w:sz w:val="21"/>
          <w:szCs w:val="21"/>
          <w:color w:val="auto"/>
        </w:rPr>
        <w:t>A summary of loans in accrual and nonaccrual status at December 31, 2020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34"/>
        </w:trPr>
        <w:tc>
          <w:tcPr>
            <w:tcW w:w="2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6"/>
            <w:vMerge w:val="restart"/>
          </w:tcPr>
          <w:p>
            <w:pPr>
              <w:ind w:left="660"/>
              <w:spacing w:after="0"/>
              <w:rPr>
                <w:sz w:val="20"/>
                <w:szCs w:val="20"/>
                <w:color w:val="auto"/>
              </w:rPr>
            </w:pPr>
            <w:r>
              <w:rPr>
                <w:rFonts w:ascii="Arial" w:cs="Arial" w:eastAsia="Arial" w:hAnsi="Arial"/>
                <w:sz w:val="14"/>
                <w:szCs w:val="14"/>
                <w:b w:val="1"/>
                <w:bCs w:val="1"/>
                <w:color w:val="auto"/>
                <w:w w:val="93"/>
              </w:rPr>
              <w:t>Term Loans by Origination Year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600" w:type="dxa"/>
            <w:vAlign w:val="bottom"/>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6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Prior</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Arial" w:cs="Arial" w:eastAsia="Arial" w:hAnsi="Arial"/>
                <w:sz w:val="15"/>
                <w:szCs w:val="15"/>
                <w:color w:val="auto"/>
              </w:rPr>
              <w:t>Residential:</w:t>
            </w: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2,722,862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1,416,259</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618,736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1,318,094</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718,235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6,898,756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71,894</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13,764,836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13,496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7,781</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7,258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13,477</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7,947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150,447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15,234</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38,145</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212,818</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45,804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480,308</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792,888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14,439</w:t>
            </w: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5,183</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6,408</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333,466</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365,729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residential</w:t>
            </w:r>
          </w:p>
        </w:tc>
        <w:tc>
          <w:tcPr>
            <w:tcW w:w="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2"/>
              </w:rPr>
              <w:t>2,740,070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1,453,713</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669,322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1,550,797</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774,886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7,862,977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72,094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3"/>
              </w:rPr>
              <w:t>15,123,859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Residential - limited documentation:</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1,462,277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1,462,277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6" w:lineRule="exact"/>
              <w:rPr>
                <w:sz w:val="20"/>
                <w:szCs w:val="20"/>
                <w:color w:val="auto"/>
              </w:rPr>
            </w:pPr>
            <w:r>
              <w:rPr>
                <w:rFonts w:ascii="Arial" w:cs="Arial" w:eastAsia="Arial" w:hAnsi="Arial"/>
                <w:sz w:val="15"/>
                <w:szCs w:val="15"/>
                <w:color w:val="auto"/>
              </w:rPr>
              <w:t>Total residential - limited</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120"/>
              <w:spacing w:after="0"/>
              <w:rPr>
                <w:sz w:val="20"/>
                <w:szCs w:val="20"/>
                <w:color w:val="auto"/>
              </w:rPr>
            </w:pPr>
            <w:r>
              <w:rPr>
                <w:rFonts w:ascii="Arial" w:cs="Arial" w:eastAsia="Arial" w:hAnsi="Arial"/>
                <w:sz w:val="15"/>
                <w:szCs w:val="15"/>
                <w:color w:val="auto"/>
              </w:rPr>
              <w:t>documentation</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1,629,134</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1,629,134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5"/>
                <w:szCs w:val="15"/>
                <w:color w:val="auto"/>
              </w:rPr>
              <w:t>Consumer:</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Home equity lines and loans:</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3,983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2,016</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51,554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2,569,621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1,252,185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3,881,885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939</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22,242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6,148</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5,752</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67,492</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79,392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line="169" w:lineRule="exact"/>
              <w:rPr>
                <w:sz w:val="20"/>
                <w:szCs w:val="20"/>
                <w:color w:val="auto"/>
              </w:rPr>
            </w:pPr>
            <w:r>
              <w:rPr>
                <w:rFonts w:ascii="Arial" w:cs="Arial" w:eastAsia="Arial" w:hAnsi="Arial"/>
                <w:sz w:val="15"/>
                <w:szCs w:val="15"/>
                <w:color w:val="auto"/>
              </w:rPr>
              <w:t>Total home equity lines and loans</w:t>
            </w:r>
          </w:p>
        </w:tc>
        <w:tc>
          <w:tcPr>
            <w:tcW w:w="4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773</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3,983</w:t>
            </w:r>
          </w:p>
        </w:tc>
        <w:tc>
          <w:tcPr>
            <w:tcW w:w="220" w:type="dxa"/>
            <w:vAlign w:val="bottom"/>
          </w:tcPr>
          <w:p>
            <w:pPr>
              <w:spacing w:after="0"/>
              <w:rPr>
                <w:sz w:val="18"/>
                <w:szCs w:val="18"/>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1,591</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2,016</w:t>
            </w:r>
          </w:p>
        </w:tc>
        <w:tc>
          <w:tcPr>
            <w:tcW w:w="160" w:type="dxa"/>
            <w:vAlign w:val="bottom"/>
          </w:tcPr>
          <w:p>
            <w:pPr>
              <w:spacing w:after="0"/>
              <w:rPr>
                <w:sz w:val="18"/>
                <w:szCs w:val="18"/>
                <w:color w:val="auto"/>
              </w:rPr>
            </w:pP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58,850</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2,576,312</w:t>
            </w:r>
          </w:p>
        </w:tc>
        <w:tc>
          <w:tcPr>
            <w:tcW w:w="2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1,341,919</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3,985,606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w w:val="93"/>
              </w:rPr>
              <w:t>Term Loans by Origination Year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Revolving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Converted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 Term</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80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Loans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16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5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2,796,359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1,751,766</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907,595</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630,151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352,414</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564,358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7,002,643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9,548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11,255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8,519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2,938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8,263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4,072</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8,783</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2,807,761</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1,766,904</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920,186</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640,983</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358,085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581,404</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7,075,323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Automobile:</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1,595,636</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1,106,782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629,338</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440,604</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171,017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63,972</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4,007,349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6,461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14,140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12,542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12,899</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6,373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3,083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55,498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7,144</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10,788</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10,061</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5,991</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39,404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automobile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1,603,712</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1,128,066</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652,668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463,564</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183,381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70,860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4,102,251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160,424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137,617</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53,702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32,556</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4,526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28,970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927,217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1,856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1,346,868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10,594</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580"/>
              <w:spacing w:after="0"/>
              <w:rPr>
                <w:sz w:val="20"/>
                <w:szCs w:val="20"/>
                <w:color w:val="auto"/>
              </w:rPr>
            </w:pPr>
            <w:r>
              <w:rPr>
                <w:rFonts w:ascii="Arial" w:cs="Arial" w:eastAsia="Arial" w:hAnsi="Arial"/>
                <w:sz w:val="15"/>
                <w:szCs w:val="15"/>
                <w:color w:val="auto"/>
              </w:rPr>
              <w:t>more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4,207</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339</w:t>
            </w:r>
          </w:p>
        </w:tc>
        <w:tc>
          <w:tcPr>
            <w:tcW w:w="20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35,044</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38,231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line="169" w:lineRule="exact"/>
              <w:rPr>
                <w:sz w:val="20"/>
                <w:szCs w:val="20"/>
                <w:color w:val="auto"/>
              </w:rPr>
            </w:pPr>
            <w:r>
              <w:rPr>
                <w:rFonts w:ascii="Arial" w:cs="Arial" w:eastAsia="Arial" w:hAnsi="Arial"/>
                <w:sz w:val="15"/>
                <w:szCs w:val="15"/>
                <w:color w:val="auto"/>
              </w:rPr>
              <w:t>Total other</w:t>
            </w:r>
          </w:p>
        </w:tc>
        <w:tc>
          <w:tcPr>
            <w:tcW w:w="6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163,796</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139,239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54,618</w:t>
            </w:r>
          </w:p>
        </w:tc>
        <w:tc>
          <w:tcPr>
            <w:tcW w:w="20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35,040</w:t>
            </w:r>
          </w:p>
        </w:tc>
        <w:tc>
          <w:tcPr>
            <w:tcW w:w="100" w:type="dxa"/>
            <w:vAlign w:val="bottom"/>
          </w:tcPr>
          <w:p>
            <w:pPr>
              <w:spacing w:after="0"/>
              <w:rPr>
                <w:sz w:val="18"/>
                <w:szCs w:val="18"/>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4,599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30,402</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977,062</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2,485</w:t>
            </w:r>
          </w:p>
        </w:tc>
        <w:tc>
          <w:tcPr>
            <w:tcW w:w="20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1,407,241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5"/>
                <w:szCs w:val="15"/>
                <w:color w:val="auto"/>
              </w:rPr>
              <w:t>Total loans and leases at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5"/>
                <w:szCs w:val="15"/>
                <w:color w:val="auto"/>
              </w:rPr>
              <w:t>December 31, 2020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20,949,019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15,628,942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10,466,749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7,893,838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6,013,013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19,233,367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16,963,561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1,387,378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98,535,867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20"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color w:val="auto"/>
        </w:rPr>
        <w:t>For purposes of determining the level of the allowance for credit losses, the Company evaluates its loan and lease portfolio by type. Changes in the allowance for credit losses for the three months ended March 31,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4"/>
                <w:szCs w:val="14"/>
                <w:color w:val="auto"/>
              </w:rPr>
            </w:pPr>
          </w:p>
        </w:tc>
        <w:tc>
          <w:tcPr>
            <w:tcW w:w="210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2"/>
              </w:rPr>
              <w:t>Commercial</w:t>
            </w: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Consumer</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Unallocated</w:t>
            </w:r>
          </w:p>
        </w:tc>
        <w:tc>
          <w:tcPr>
            <w:tcW w:w="30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0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405,846</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670,719</w:t>
            </w: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103,590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556,232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$ 1,736,387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(72,418)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99,471</w:t>
            </w:r>
          </w:p>
        </w:tc>
        <w:tc>
          <w:tcPr>
            <w:tcW w:w="1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(13,435)</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(38,618)</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(26,945)</w:t>
            </w: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(60,652)</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(2,399)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(32,929)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(122,925)</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22,511</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6,560</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16,640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328,994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89,789</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501,325</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$ 1,636,206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- 19 -</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2020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4"/>
                <w:szCs w:val="14"/>
                <w:color w:val="auto"/>
              </w:rPr>
            </w:pPr>
          </w:p>
        </w:tc>
        <w:tc>
          <w:tcPr>
            <w:tcW w:w="210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Consumer</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4"/>
          </w:tcPr>
          <w:p>
            <w:pPr>
              <w:jc w:val="right"/>
              <w:ind w:right="74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366,094</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322,201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229,118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77,625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$ 1,051,071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standard</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(61,474)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194,004</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(77,625)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66,594</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88,666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9,291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85,449</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(16,383)</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(1,272)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(5,102)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(44,947)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(67,704)</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358,092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433,689</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115,792</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476,793</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$ 1,384,366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Despite the allocation in the preceding tables, the allowance for credit losses is general in nature and is available to absorb losses from any loan or lease type. In establishing the allowance for credit losses, the Company estimates losses attributable to specific troubled credits identified through both normal and targeted credit review processes and also estimates losses for loans and leases with similar risk characteristics on a collective basis.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6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0"/>
          <w:szCs w:val="20"/>
          <w:color w:val="auto"/>
        </w:rPr>
        <w:t>Information with respect to loans and leases that were considered nonaccrual at the beginning and end of the reporting period and the interest income recognized on such loans for the three-month periods ended March 31, 2021 and 2020 follows.</w:t>
      </w:r>
    </w:p>
    <w:tbl>
      <w:tblPr>
        <w:tblLayout w:type="fixed"/>
        <w:tblInd w:w="0" w:type="dxa"/>
        <w:tblCellMar>
          <w:top w:w="0" w:type="dxa"/>
          <w:left w:w="0" w:type="dxa"/>
          <w:bottom w:w="0" w:type="dxa"/>
          <w:right w:w="0" w:type="dxa"/>
        </w:tblCellMar>
      </w:tblPr>
      <w:tr>
        <w:trPr>
          <w:trHeight w:val="133"/>
        </w:trPr>
        <w:tc>
          <w:tcPr>
            <w:tcW w:w="4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6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Cost with</w:t>
            </w:r>
          </w:p>
        </w:tc>
        <w:tc>
          <w:tcPr>
            <w:tcW w:w="32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Cost without</w:t>
            </w:r>
          </w:p>
        </w:tc>
        <w:tc>
          <w:tcPr>
            <w:tcW w:w="140" w:type="dxa"/>
            <w:vAlign w:val="bottom"/>
          </w:tcPr>
          <w:p>
            <w:pPr>
              <w:spacing w:after="0"/>
              <w:rPr>
                <w:sz w:val="12"/>
                <w:szCs w:val="12"/>
                <w:color w:val="auto"/>
              </w:rPr>
            </w:pPr>
          </w:p>
        </w:tc>
        <w:tc>
          <w:tcPr>
            <w:tcW w:w="7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Allowance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211,894</w:t>
            </w:r>
          </w:p>
        </w:tc>
        <w:tc>
          <w:tcPr>
            <w:tcW w:w="4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337,036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487,043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824,079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775,894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102,039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126,225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199,134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385,508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365,729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143,069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147,170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19,657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34,443</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37,307</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945,395</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1,011,711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1,957,106</w:t>
            </w:r>
          </w:p>
        </w:tc>
        <w:tc>
          <w:tcPr>
            <w:tcW w:w="3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1,893,299</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86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Cost with</w:t>
            </w:r>
          </w:p>
        </w:tc>
        <w:tc>
          <w:tcPr>
            <w:tcW w:w="32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Cost without</w:t>
            </w:r>
          </w:p>
        </w:tc>
        <w:tc>
          <w:tcPr>
            <w:tcW w:w="140" w:type="dxa"/>
            <w:vAlign w:val="bottom"/>
          </w:tcPr>
          <w:p>
            <w:pPr>
              <w:spacing w:after="0"/>
              <w:rPr>
                <w:sz w:val="12"/>
                <w:szCs w:val="12"/>
                <w:color w:val="auto"/>
              </w:rPr>
            </w:pPr>
          </w:p>
        </w:tc>
        <w:tc>
          <w:tcPr>
            <w:tcW w:w="7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Allowance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153,924</w:t>
            </w:r>
          </w:p>
        </w:tc>
        <w:tc>
          <w:tcPr>
            <w:tcW w:w="4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132,723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286,647</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346,743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62,675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125,794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173,796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67,221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226,417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293,638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322,504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119,317</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19,251</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35,629</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35,394</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372,425</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689,323</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1,061,748</w:t>
            </w:r>
          </w:p>
        </w:tc>
        <w:tc>
          <w:tcPr>
            <w:tcW w:w="3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1,134,333</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4"/>
              <w:spacing w:after="0"/>
              <w:rPr>
                <w:sz w:val="20"/>
                <w:szCs w:val="20"/>
                <w:color w:val="auto"/>
              </w:rPr>
            </w:pPr>
            <w:r>
              <w:rPr>
                <w:rFonts w:ascii="Arial" w:cs="Arial" w:eastAsia="Arial" w:hAnsi="Arial"/>
                <w:sz w:val="18"/>
                <w:szCs w:val="18"/>
                <w:color w:val="auto"/>
                <w:w w:val="95"/>
              </w:rPr>
              <w:t>- 21 -</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March 31, 2021 and December 31,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Changes in the amount of the allowance for credit losses reflect the outcome of the procedures described herein, including the impact of changes in macroeconomic forecasts as compared with previous forecasts, as well as the impact of portfolio concentrations, changes in underwriting practices, product expansions into new markets, imprecision in economic forecasts, geopolitical conditions and other risk factors that might influence the loss estimation process.</w:t>
      </w:r>
    </w:p>
    <w:p>
      <w:pPr>
        <w:spacing w:after="0" w:line="60" w:lineRule="exact"/>
        <w:rPr>
          <w:sz w:val="20"/>
          <w:szCs w:val="20"/>
          <w:color w:val="auto"/>
        </w:rPr>
      </w:pPr>
    </w:p>
    <w:p>
      <w:pPr>
        <w:ind w:right="520" w:firstLine="510"/>
        <w:spacing w:after="0" w:line="348" w:lineRule="auto"/>
        <w:rPr>
          <w:sz w:val="20"/>
          <w:szCs w:val="20"/>
          <w:color w:val="auto"/>
        </w:rPr>
      </w:pPr>
      <w:r>
        <w:rPr>
          <w:rFonts w:ascii="Arial" w:cs="Arial" w:eastAsia="Arial" w:hAnsi="Arial"/>
          <w:sz w:val="21"/>
          <w:szCs w:val="21"/>
          <w:color w:val="auto"/>
        </w:rPr>
        <w:t xml:space="preserve">The Company’s reserve for off-balance sheet credit exposures was not material at March 31, 2021 and December 31, 2020. </w:t>
      </w:r>
      <w:r>
        <w:rPr>
          <w:rFonts w:ascii="Arial" w:cs="Arial" w:eastAsia="Arial" w:hAnsi="Arial"/>
          <w:sz w:val="21"/>
          <w:szCs w:val="21"/>
          <w:b w:val="1"/>
          <w:bCs w:val="1"/>
          <w:i w:val="1"/>
          <w:iCs w:val="1"/>
          <w:color w:val="auto"/>
        </w:rPr>
        <w:t>Loan modifications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periods ended March 31,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80"/>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6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82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53,733</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24,653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53,157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11,160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38,557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131,632</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85,516</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42,231</w:t>
            </w:r>
          </w:p>
        </w:tc>
        <w:tc>
          <w:tcPr>
            <w:tcW w:w="3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129,961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Three Months Ended March 31, 2020</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00" w:type="dxa"/>
            <w:vAlign w:val="bottom"/>
            <w:tcBorders>
              <w:top w:val="single" w:sz="8" w:color="auto"/>
            </w:tcBorders>
          </w:tcPr>
          <w:p>
            <w:pPr>
              <w:spacing w:after="0"/>
              <w:rPr>
                <w:sz w:val="5"/>
                <w:szCs w:val="5"/>
                <w:color w:val="auto"/>
              </w:rPr>
            </w:pPr>
          </w:p>
        </w:tc>
        <w:tc>
          <w:tcPr>
            <w:tcW w:w="20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12,692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Automobile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66,502</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13,019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53,498</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20" w:hanging="372"/>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3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2021 and 2020 and for which there was a subsequent payment default during the three-month periods ended March 31, 2021 and 2020, respectively, were not material.</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amount of foreclosed residential real estate property held by the Company was $24 million and $28 million at March 31, 2021 and December 31, 2020, respectively. There were $206 million and $214 million at March 31, 2021 and December 31, 2020, respectively, of loans secured by residential real estate that were in the process of foreclosure. Of all loans in the process of foreclosure at March 31, 2021, approximately 38% were government guaranteed.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M&amp;T had $529 million of fixed and variable rate junior subordinated deferrable interest debentures ("Junior Subordinated Debentures") outstanding at March 31, 2021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7"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8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 January 25, 2021, $350 million of variable rate senior notes of M&amp;T Bank, the principal bank subsidiary of M&amp;T, matured. In addition, on March 1, 2021, M&amp;T Bank redeemed $500 million of subordinated notes that were due to mature on December 1, 2021.</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Revenue from contracts with customers, continued</w:t>
      </w:r>
    </w:p>
    <w:p>
      <w:pPr>
        <w:spacing w:after="0" w:line="116"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2021 and December 31, 2020, the Company had $61 million and $67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March 31, 2021 and December 31, 2020, the Company had deferred revenue of $41 million and $42 million, respectively, related to the sources in the accompanying tables recorded in accrued interest and other liabilities in the consolidated balance sheet.</w:t>
      </w:r>
    </w:p>
    <w:p>
      <w:pPr>
        <w:spacing w:after="0" w:line="5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following tables summarize sources of the Company’s noninterest income during the three-month periods ended March 31, 2021 and 2020 that are subject to the noted accounting guidance.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Discretionary</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Residential</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Banking</w:t>
            </w: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Banking</w:t>
            </w:r>
          </w:p>
        </w:tc>
        <w:tc>
          <w:tcPr>
            <w:tcW w:w="2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$ 12,497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24,295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2,893</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51,452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92,777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156,022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156,022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9,481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10,407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445</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3,921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1,722</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5,807</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12,948</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$ 21,978</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35,660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4,429</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1,722</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61,180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183,832</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309,185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30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$ 15,250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24,157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2,812</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61,670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2,272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106,161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148,435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148,751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10,331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849</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2,271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2,186</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12,516</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$ 25,593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4,504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69,923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176,752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318,514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Pension</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Benefits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6"/>
          </w:tcPr>
          <w:p>
            <w:pPr>
              <w:jc w:val="center"/>
              <w:ind w:right="540"/>
              <w:spacing w:after="0" w:line="147" w:lineRule="exact"/>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15,434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17,886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(35,950)</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(31,475)</w:t>
            </w:r>
          </w:p>
        </w:tc>
        <w:tc>
          <w:tcPr>
            <w:tcW w:w="13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$33 million and $27 million for the three months ended March 31, 2021 and 2020, respectively, and are included in salaries and employee benefits expense.</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Pr>
          <w:p>
            <w:pPr>
              <w:spacing w:after="0"/>
              <w:rPr>
                <w:sz w:val="14"/>
                <w:szCs w:val="14"/>
                <w:color w:val="auto"/>
              </w:rPr>
            </w:pPr>
          </w:p>
        </w:tc>
      </w:tr>
      <w:tr>
        <w:trPr>
          <w:trHeight w:val="171"/>
        </w:trPr>
        <w:tc>
          <w:tcPr>
            <w:tcW w:w="4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48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1"/>
              </w:rPr>
              <w:t>(In thousands, except per share)</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480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447,249</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Less: Preferred stock dividends</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(17,050)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(17,078)</w:t>
            </w:r>
          </w:p>
        </w:tc>
        <w:tc>
          <w:tcPr>
            <w:tcW w:w="114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2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430,199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251,744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480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(1,043)</w:t>
            </w:r>
          </w:p>
        </w:tc>
        <w:tc>
          <w:tcPr>
            <w:tcW w:w="1140" w:type="dxa"/>
            <w:vAlign w:val="bottom"/>
          </w:tcPr>
          <w:p>
            <w:pPr>
              <w:spacing w:after="0"/>
              <w:rPr>
                <w:sz w:val="20"/>
                <w:szCs w:val="20"/>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2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428,091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250,701</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2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w:t>
            </w:r>
          </w:p>
        </w:tc>
        <w:tc>
          <w:tcPr>
            <w:tcW w:w="2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w:t>
            </w:r>
          </w:p>
        </w:tc>
        <w:tc>
          <w:tcPr>
            <w:tcW w:w="2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129,414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130,440</w:t>
            </w:r>
          </w:p>
        </w:tc>
        <w:tc>
          <w:tcPr>
            <w:tcW w:w="10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114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28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128,537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129,696</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8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729"/>
        </w:trPr>
        <w:tc>
          <w:tcPr>
            <w:tcW w:w="4800" w:type="dxa"/>
            <w:vAlign w:val="bottom"/>
          </w:tcPr>
          <w:p>
            <w:pPr>
              <w:spacing w:after="0"/>
              <w:rPr>
                <w:sz w:val="24"/>
                <w:szCs w:val="24"/>
                <w:color w:val="auto"/>
              </w:rPr>
            </w:pPr>
          </w:p>
        </w:tc>
        <w:tc>
          <w:tcPr>
            <w:tcW w:w="2880" w:type="dxa"/>
            <w:vAlign w:val="bottom"/>
          </w:tcPr>
          <w:p>
            <w:pPr>
              <w:jc w:val="right"/>
              <w:ind w:right="1770"/>
              <w:spacing w:after="0"/>
              <w:rPr>
                <w:sz w:val="20"/>
                <w:szCs w:val="20"/>
                <w:color w:val="auto"/>
              </w:rPr>
            </w:pPr>
            <w:r>
              <w:rPr>
                <w:rFonts w:ascii="Arial" w:cs="Arial" w:eastAsia="Arial" w:hAnsi="Arial"/>
                <w:sz w:val="18"/>
                <w:szCs w:val="18"/>
                <w:color w:val="auto"/>
              </w:rPr>
              <w:t>- 26 -</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71"/>
        </w:trPr>
        <w:tc>
          <w:tcPr>
            <w:tcW w:w="7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80"/>
        </w:trPr>
        <w:tc>
          <w:tcPr>
            <w:tcW w:w="7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92"/>
              </w:rPr>
              <w:t>(In thousands, except per share)</w:t>
            </w:r>
          </w:p>
        </w:tc>
        <w:tc>
          <w:tcPr>
            <w:tcW w:w="80" w:type="dxa"/>
            <w:vAlign w:val="bottom"/>
          </w:tcPr>
          <w:p>
            <w:pPr>
              <w:spacing w:after="0"/>
              <w:rPr>
                <w:sz w:val="15"/>
                <w:szCs w:val="15"/>
                <w:color w:val="auto"/>
              </w:rPr>
            </w:pPr>
          </w:p>
        </w:tc>
      </w:tr>
      <w:tr>
        <w:trPr>
          <w:trHeight w:val="435"/>
        </w:trPr>
        <w:tc>
          <w:tcPr>
            <w:tcW w:w="764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430,199</w:t>
            </w:r>
          </w:p>
        </w:tc>
        <w:tc>
          <w:tcPr>
            <w:tcW w:w="20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251,744</w:t>
            </w:r>
          </w:p>
        </w:tc>
        <w:tc>
          <w:tcPr>
            <w:tcW w:w="80" w:type="dxa"/>
            <w:vAlign w:val="bottom"/>
          </w:tcPr>
          <w:p>
            <w:pPr>
              <w:spacing w:after="0"/>
              <w:rPr>
                <w:sz w:val="24"/>
                <w:szCs w:val="24"/>
                <w:color w:val="auto"/>
              </w:rPr>
            </w:pP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(1,043)</w:t>
            </w: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428,093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250,701</w:t>
            </w:r>
          </w:p>
        </w:tc>
        <w:tc>
          <w:tcPr>
            <w:tcW w:w="8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130,440</w:t>
            </w:r>
          </w:p>
        </w:tc>
        <w:tc>
          <w:tcPr>
            <w:tcW w:w="80" w:type="dxa"/>
            <w:vAlign w:val="bottom"/>
          </w:tcPr>
          <w:p>
            <w:pPr>
              <w:spacing w:after="0"/>
              <w:rPr>
                <w:sz w:val="20"/>
                <w:szCs w:val="20"/>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(744)</w:t>
            </w: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tcPr>
          <w:p>
            <w:pPr>
              <w:spacing w:after="0"/>
              <w:rPr>
                <w:sz w:val="20"/>
                <w:szCs w:val="20"/>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129,755</w:t>
            </w:r>
          </w:p>
        </w:tc>
        <w:tc>
          <w:tcPr>
            <w:tcW w:w="8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r>
    </w:tbl>
    <w:p>
      <w:pPr>
        <w:spacing w:after="0" w:line="23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Stock-based compensation awards to purchase common stock of M&amp;T representing 462,342 and 464,694 common shares during the three-month periods ended March 31, 2021 and 2020, respectively, were not included in the computations of diluted earnings per common share because the effect on those periods would have been antidilutive.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Defined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79"/>
              <w:spacing w:after="0" w:line="142" w:lineRule="exact"/>
              <w:rPr>
                <w:sz w:val="20"/>
                <w:szCs w:val="20"/>
                <w:color w:val="auto"/>
              </w:rPr>
            </w:pPr>
            <w:r>
              <w:rPr>
                <w:rFonts w:ascii="Arial" w:cs="Arial" w:eastAsia="Arial" w:hAnsi="Arial"/>
                <w:sz w:val="13"/>
                <w:szCs w:val="13"/>
                <w:b w:val="1"/>
                <w:bCs w:val="1"/>
                <w:color w:val="auto"/>
                <w:w w:val="96"/>
              </w:rPr>
              <w:t>Total</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3"/>
              </w:rPr>
              <w:t>Amount</w:t>
            </w:r>
          </w:p>
        </w:tc>
        <w:tc>
          <w:tcPr>
            <w:tcW w:w="3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3"/>
              </w:rPr>
              <w:t>Securities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8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2"/>
              </w:rPr>
              <w:t>Before Tax</w:t>
            </w:r>
          </w:p>
        </w:tc>
        <w:tc>
          <w:tcPr>
            <w:tcW w:w="3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rPr>
              <w:t>Net</w:t>
            </w:r>
          </w:p>
        </w:tc>
      </w:tr>
      <w:tr>
        <w:trPr>
          <w:trHeight w:val="168"/>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11"/>
        </w:trPr>
        <w:tc>
          <w:tcPr>
            <w:tcW w:w="4740" w:type="dxa"/>
            <w:vAlign w:val="bottom"/>
          </w:tcPr>
          <w:p>
            <w:pPr>
              <w:spacing w:after="0"/>
              <w:rPr>
                <w:sz w:val="20"/>
                <w:szCs w:val="20"/>
                <w:color w:val="auto"/>
              </w:rPr>
            </w:pPr>
            <w:r>
              <w:rPr>
                <w:rFonts w:ascii="Arial" w:cs="Arial" w:eastAsia="Arial" w:hAnsi="Arial"/>
                <w:sz w:val="14"/>
                <w:szCs w:val="14"/>
                <w:color w:val="auto"/>
              </w:rPr>
              <w:t>Balance — January 1, 2021</w:t>
            </w:r>
          </w:p>
        </w:tc>
        <w:tc>
          <w:tcPr>
            <w:tcW w:w="100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195,386</w:t>
            </w: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(650,087)</w:t>
            </w:r>
          </w:p>
        </w:tc>
        <w:tc>
          <w:tcPr>
            <w:tcW w:w="660" w:type="dxa"/>
            <w:vAlign w:val="bottom"/>
          </w:tcPr>
          <w:p>
            <w:pPr>
              <w:jc w:val="right"/>
              <w:spacing w:after="0"/>
              <w:rPr>
                <w:sz w:val="20"/>
                <w:szCs w:val="20"/>
                <w:color w:val="auto"/>
              </w:rPr>
            </w:pPr>
            <w:r>
              <w:rPr>
                <w:rFonts w:ascii="Arial" w:cs="Arial" w:eastAsia="Arial" w:hAnsi="Arial"/>
                <w:sz w:val="14"/>
                <w:szCs w:val="14"/>
                <w:color w:val="auto"/>
              </w:rPr>
              <w:t>369,558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(85,143)</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22,111</w:t>
            </w:r>
          </w:p>
        </w:tc>
        <w:tc>
          <w:tcPr>
            <w:tcW w:w="240" w:type="dxa"/>
            <w:vAlign w:val="bottom"/>
          </w:tcPr>
          <w:p>
            <w:pPr>
              <w:spacing w:after="0"/>
              <w:rPr>
                <w:sz w:val="24"/>
                <w:szCs w:val="24"/>
                <w:color w:val="auto"/>
              </w:rPr>
            </w:pPr>
          </w:p>
        </w:tc>
        <w:tc>
          <w:tcPr>
            <w:tcW w:w="12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(63,032)</w:t>
            </w: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holding losses, net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(32,025)</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(32,025)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8,907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(23,118)</w:t>
            </w: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(136)</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FF0FC"/>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losses on cash flow hedges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(9,498)</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(9,498)</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2,571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(6,927)</w:t>
            </w:r>
          </w:p>
        </w:tc>
      </w:tr>
      <w:tr>
        <w:trPr>
          <w:trHeight w:val="123"/>
        </w:trPr>
        <w:tc>
          <w:tcPr>
            <w:tcW w:w="47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67"/>
        </w:trPr>
        <w:tc>
          <w:tcPr>
            <w:tcW w:w="4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(32,025)</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(8,814)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(40,839)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11,342</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(29,497)</w:t>
            </w:r>
          </w:p>
        </w:tc>
      </w:tr>
      <w:tr>
        <w:trPr>
          <w:trHeight w:val="137"/>
        </w:trPr>
        <w:tc>
          <w:tcPr>
            <w:tcW w:w="474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74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held-to-maturity (“HTM”) securities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(276)</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120" w:type="dxa"/>
            <w:vAlign w:val="bottom"/>
            <w:shd w:val="clear" w:color="auto" w:fill="CFF0FC"/>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Gains realized in net income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(b)</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w:t>
            </w: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(30)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(21)</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(82,044)</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(82,044)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tcPr>
          <w:p>
            <w:pPr>
              <w:jc w:val="right"/>
              <w:spacing w:after="0"/>
              <w:rPr>
                <w:sz w:val="20"/>
                <w:szCs w:val="20"/>
                <w:color w:val="auto"/>
              </w:rPr>
            </w:pPr>
            <w:r>
              <w:rPr>
                <w:rFonts w:ascii="Arial" w:cs="Arial" w:eastAsia="Arial" w:hAnsi="Arial"/>
                <w:sz w:val="14"/>
                <w:szCs w:val="14"/>
                <w:color w:val="auto"/>
              </w:rPr>
              <w:t>22,215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(59,829)</w:t>
            </w: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(1,050)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(1,050)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(666)</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21,850</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21,850</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(7,995)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13,855</w:t>
            </w:r>
          </w:p>
        </w:tc>
        <w:tc>
          <w:tcPr>
            <w:tcW w:w="120" w:type="dxa"/>
            <w:vAlign w:val="bottom"/>
          </w:tcPr>
          <w:p>
            <w:pPr>
              <w:spacing w:after="0"/>
              <w:rPr>
                <w:sz w:val="14"/>
                <w:szCs w:val="14"/>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8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(31,038)</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20,800</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(90,888)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(101,126)</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25,680</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(75,446)</w:t>
            </w:r>
          </w:p>
        </w:tc>
        <w:tc>
          <w:tcPr>
            <w:tcW w:w="120" w:type="dxa"/>
            <w:vAlign w:val="bottom"/>
            <w:tcBorders>
              <w:top w:val="single" w:sz="8" w:color="CFF0FC"/>
            </w:tcBorders>
            <w:shd w:val="clear" w:color="auto" w:fill="CFF0FC"/>
          </w:tcPr>
          <w:p>
            <w:pPr>
              <w:spacing w:after="0"/>
              <w:rPr>
                <w:sz w:val="13"/>
                <w:szCs w:val="13"/>
                <w:color w:val="auto"/>
              </w:rPr>
            </w:pPr>
          </w:p>
        </w:tc>
      </w:tr>
      <w:tr>
        <w:trPr>
          <w:trHeight w:val="195"/>
        </w:trPr>
        <w:tc>
          <w:tcPr>
            <w:tcW w:w="47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 March 31, 2021</w:t>
            </w:r>
          </w:p>
        </w:tc>
        <w:tc>
          <w:tcPr>
            <w:tcW w:w="8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164,348</w:t>
            </w: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(629,287)</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278,670</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(186,269</w:t>
            </w:r>
          </w:p>
        </w:tc>
        <w:tc>
          <w:tcPr>
            <w:tcW w:w="100" w:type="dxa"/>
            <w:vAlign w:val="bottom"/>
            <w:tcBorders>
              <w:bottom w:val="single" w:sz="8" w:color="CFF0FC"/>
            </w:tcBorders>
          </w:tcPr>
          <w:p>
            <w:pPr>
              <w:jc w:val="right"/>
              <w:ind w:right="19"/>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47,791</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(138,478</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color w:val="auto"/>
                <w:w w:val="73"/>
              </w:rPr>
              <w:t>)</w:t>
            </w:r>
          </w:p>
        </w:tc>
      </w:tr>
      <w:tr>
        <w:trPr>
          <w:trHeight w:val="143"/>
        </w:trPr>
        <w:tc>
          <w:tcPr>
            <w:tcW w:w="47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2020</w:t>
            </w:r>
          </w:p>
        </w:tc>
        <w:tc>
          <w:tcPr>
            <w:tcW w:w="100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50,701</w:t>
            </w:r>
          </w:p>
        </w:tc>
        <w:tc>
          <w:tcPr>
            <w:tcW w:w="10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(464,548)</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(279,959)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73,279</w:t>
            </w:r>
          </w:p>
        </w:tc>
        <w:tc>
          <w:tcPr>
            <w:tcW w:w="24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(206,680)</w:t>
            </w: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holding gains, net</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131,423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131,423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(34,544)</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96,879</w:t>
            </w:r>
          </w:p>
        </w:tc>
        <w:tc>
          <w:tcPr>
            <w:tcW w:w="120" w:type="dxa"/>
            <w:vAlign w:val="bottom"/>
            <w:shd w:val="clear" w:color="auto" w:fill="CFF0FC"/>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(3,225)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(2,943)</w:t>
            </w: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gains on cash flow hedges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456,333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456,333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(119,970)</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336,363</w:t>
            </w:r>
          </w:p>
        </w:tc>
        <w:tc>
          <w:tcPr>
            <w:tcW w:w="120" w:type="dxa"/>
            <w:vAlign w:val="bottom"/>
            <w:shd w:val="clear" w:color="auto" w:fill="CFF0FC"/>
          </w:tcPr>
          <w:p>
            <w:pPr>
              <w:spacing w:after="0"/>
              <w:rPr>
                <w:sz w:val="14"/>
                <w:szCs w:val="14"/>
                <w:color w:val="auto"/>
              </w:rPr>
            </w:pPr>
          </w:p>
        </w:tc>
      </w:tr>
      <w:tr>
        <w:trPr>
          <w:trHeight w:val="123"/>
        </w:trPr>
        <w:tc>
          <w:tcPr>
            <w:tcW w:w="4740" w:type="dxa"/>
            <w:vAlign w:val="bottom"/>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474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131,423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453,108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584,531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(154,232)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430,299</w:t>
            </w:r>
          </w:p>
        </w:tc>
        <w:tc>
          <w:tcPr>
            <w:tcW w:w="120" w:type="dxa"/>
            <w:vAlign w:val="bottom"/>
          </w:tcPr>
          <w:p>
            <w:pPr>
              <w:spacing w:after="0"/>
              <w:rPr>
                <w:sz w:val="14"/>
                <w:szCs w:val="14"/>
                <w:color w:val="auto"/>
              </w:rPr>
            </w:pPr>
          </w:p>
        </w:tc>
      </w:tr>
      <w:tr>
        <w:trPr>
          <w:trHeight w:val="137"/>
        </w:trPr>
        <w:tc>
          <w:tcPr>
            <w:tcW w:w="47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7"/>
        </w:trPr>
        <w:tc>
          <w:tcPr>
            <w:tcW w:w="4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474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74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4"/>
                <w:szCs w:val="14"/>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(34)</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(25)</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(32,041)</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(32,041)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tcPr>
          <w:p>
            <w:pPr>
              <w:jc w:val="right"/>
              <w:spacing w:after="0"/>
              <w:rPr>
                <w:sz w:val="20"/>
                <w:szCs w:val="20"/>
                <w:color w:val="auto"/>
              </w:rPr>
            </w:pPr>
            <w:r>
              <w:rPr>
                <w:rFonts w:ascii="Arial" w:cs="Arial" w:eastAsia="Arial" w:hAnsi="Arial"/>
                <w:sz w:val="14"/>
                <w:szCs w:val="14"/>
                <w:color w:val="auto"/>
              </w:rPr>
              <w:t>8,423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(23,618)</w:t>
            </w: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(1,050)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(1,050)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(774)</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13,650</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13,650</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(3,588)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10,062</w:t>
            </w:r>
          </w:p>
        </w:tc>
        <w:tc>
          <w:tcPr>
            <w:tcW w:w="120" w:type="dxa"/>
            <w:vAlign w:val="bottom"/>
          </w:tcPr>
          <w:p>
            <w:pPr>
              <w:spacing w:after="0"/>
              <w:rPr>
                <w:sz w:val="14"/>
                <w:szCs w:val="14"/>
                <w:color w:val="auto"/>
              </w:rPr>
            </w:pPr>
          </w:p>
        </w:tc>
      </w:tr>
      <w:tr>
        <w:trPr>
          <w:trHeight w:val="156"/>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8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132,195</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12,600</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421,033</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565,828</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(149,315)</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416,513</w:t>
            </w: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4740" w:type="dxa"/>
            <w:vAlign w:val="bottom"/>
          </w:tcPr>
          <w:p>
            <w:pPr>
              <w:spacing w:after="0" w:line="155" w:lineRule="exact"/>
              <w:rPr>
                <w:sz w:val="20"/>
                <w:szCs w:val="20"/>
                <w:color w:val="auto"/>
              </w:rPr>
            </w:pPr>
            <w:r>
              <w:rPr>
                <w:rFonts w:ascii="Arial" w:cs="Arial" w:eastAsia="Arial" w:hAnsi="Arial"/>
                <w:sz w:val="14"/>
                <w:szCs w:val="14"/>
                <w:color w:val="auto"/>
              </w:rPr>
              <w:t>Balance — March 31, 2020</w:t>
            </w:r>
          </w:p>
        </w:tc>
        <w:tc>
          <w:tcPr>
            <w:tcW w:w="880" w:type="dxa"/>
            <w:vAlign w:val="bottom"/>
          </w:tcPr>
          <w:p>
            <w:pPr>
              <w:spacing w:after="0"/>
              <w:rPr>
                <w:sz w:val="13"/>
                <w:szCs w:val="13"/>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182,896</w:t>
            </w: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(451,948)</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554,921</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285,869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(76,036)</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209,833</w:t>
            </w:r>
          </w:p>
        </w:tc>
        <w:tc>
          <w:tcPr>
            <w:tcW w:w="120" w:type="dxa"/>
            <w:vAlign w:val="bottom"/>
          </w:tcPr>
          <w:p>
            <w:pPr>
              <w:spacing w:after="0"/>
              <w:rPr>
                <w:sz w:val="13"/>
                <w:szCs w:val="13"/>
                <w:color w:val="auto"/>
              </w:rPr>
            </w:pPr>
          </w:p>
        </w:tc>
      </w:tr>
    </w:tbl>
    <w:p>
      <w:pPr>
        <w:spacing w:after="0" w:line="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00" w:hanging="492"/>
        <w:spacing w:after="0" w:line="221" w:lineRule="auto"/>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00" w:hanging="492"/>
        <w:spacing w:after="0" w:line="221" w:lineRule="auto"/>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00" w:hanging="492"/>
        <w:spacing w:after="0"/>
        <w:tabs>
          <w:tab w:leader="none" w:pos="5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-388620</wp:posOffset>
            </wp:positionV>
            <wp:extent cx="3497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Defined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Benefit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6"/>
              </w:rPr>
              <w:t>Plans</w:t>
            </w:r>
          </w:p>
        </w:tc>
        <w:tc>
          <w:tcPr>
            <w:tcW w:w="36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r>
      <w:tr>
        <w:trPr>
          <w:trHeight w:val="169"/>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2020</w:t>
            </w:r>
          </w:p>
        </w:tc>
        <w:tc>
          <w:tcPr>
            <w:tcW w:w="17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144,602</w:t>
            </w:r>
          </w:p>
        </w:tc>
        <w:tc>
          <w:tcPr>
            <w:tcW w:w="1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(481,064)</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273,430</w:t>
            </w:r>
          </w:p>
        </w:tc>
        <w:tc>
          <w:tcPr>
            <w:tcW w:w="2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(63,032)</w:t>
            </w: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(22,406)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13,189</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(66,229)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(75,446)</w:t>
            </w:r>
          </w:p>
        </w:tc>
      </w:tr>
      <w:tr>
        <w:trPr>
          <w:trHeight w:val="156"/>
        </w:trPr>
        <w:tc>
          <w:tcPr>
            <w:tcW w:w="33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2021</w:t>
            </w:r>
          </w:p>
        </w:tc>
        <w:tc>
          <w:tcPr>
            <w:tcW w:w="15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122,196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(467,875)</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207,201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(138,478)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2021.</w:t>
      </w:r>
    </w:p>
    <w:p>
      <w:pPr>
        <w:spacing w:after="0" w:line="72"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The net effect of interest rate swap agreements was to increase net interest income by $91 million and $36 million during the three-month periods ended March 31, 2021 and 2020, respectively.</w:t>
      </w:r>
    </w:p>
    <w:p>
      <w:pPr>
        <w:spacing w:after="0" w:line="6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Estimated</w:t>
            </w:r>
          </w:p>
        </w:tc>
      </w:t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Notional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Average 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37"/>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Gain (Loss) (a)</w:t>
            </w:r>
          </w:p>
        </w:tc>
      </w:tr>
      <w:tr>
        <w:trPr>
          <w:trHeight w:val="236"/>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0"/>
                <w:szCs w:val="20"/>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0.75%</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(1,117)</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36,050,000</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(2,077)</w:t>
            </w:r>
          </w:p>
        </w:tc>
      </w:tr>
      <w:tr>
        <w:trPr>
          <w:trHeight w:val="263"/>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37,700,000</w:t>
            </w:r>
          </w:p>
        </w:tc>
        <w:tc>
          <w:tcPr>
            <w:tcW w:w="3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0.79%</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20"/>
                <w:szCs w:val="20"/>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51,050,000</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right="140" w:hanging="512"/>
        <w:spacing w:after="0" w:line="244" w:lineRule="auto"/>
        <w:tabs>
          <w:tab w:leader="none" w:pos="5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Certain clearinghouse exchanges consider payments by counterparties for variation margin on derivative instruments to be settlements of those positions. The impact of such treatment at March 31, 2021 and December 31, 2020 was a reduction of the estimated fair value gains on interest rate swap agreements designated as fair value hedges of $70.6 million and $101.5 million, respectively, and on interest rate swap agreements designated as cash flow hedges of $283.1 million and $372.2 million, respectively.</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$18.7 billion of forward-starting interest rate swap agreements that become effective in 2021 - 2022.</w:t>
      </w:r>
    </w:p>
    <w:p>
      <w:pPr>
        <w:spacing w:after="0" w:line="9" w:lineRule="exact"/>
        <w:rPr>
          <w:rFonts w:ascii="Arial" w:cs="Arial" w:eastAsia="Arial" w:hAnsi="Arial"/>
          <w:sz w:val="14"/>
          <w:szCs w:val="14"/>
          <w:i w:val="1"/>
          <w:iCs w:val="1"/>
          <w:color w:val="auto"/>
        </w:rPr>
      </w:pPr>
    </w:p>
    <w:p>
      <w:pPr>
        <w:ind w:left="520" w:hanging="512"/>
        <w:spacing w:after="0" w:line="189" w:lineRule="auto"/>
        <w:tabs>
          <w:tab w:leader="none" w:pos="520" w:val="left"/>
        </w:tabs>
        <w:numPr>
          <w:ilvl w:val="0"/>
          <w:numId w:val="7"/>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Includes notional amount and terms of $32.1 billion of forward-starting interest rate swap agreements that become effective in 2021 - 2022</w:t>
      </w:r>
      <w:r>
        <w:rPr>
          <w:rFonts w:ascii="Arial" w:cs="Arial" w:eastAsia="Arial" w:hAnsi="Arial"/>
          <w:sz w:val="13"/>
          <w:szCs w:val="13"/>
          <w:i w:val="1"/>
          <w:iCs w:val="1"/>
          <w:color w:val="auto"/>
        </w:rPr>
        <w:t>.</w:t>
      </w:r>
    </w:p>
    <w:p>
      <w:pPr>
        <w:spacing w:after="0" w:line="208" w:lineRule="exact"/>
        <w:rPr>
          <w:rFonts w:ascii="Arial" w:cs="Arial" w:eastAsia="Arial" w:hAnsi="Arial"/>
          <w:sz w:val="20"/>
          <w:szCs w:val="20"/>
          <w:i w:val="1"/>
          <w:iCs w:val="1"/>
          <w:color w:val="auto"/>
          <w:vertAlign w:val="superscript"/>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$36.2 billion and $37.8 billion at March 31, 2021 and December 31, 2020, respectively. The notional amounts of foreign currency and other option and futures contracts entered into for trading account purposes aggregated $910 million and $776 million at March 31, 2021 and December 31, 2020, respectively.</w:t>
      </w:r>
    </w:p>
    <w:p>
      <w:pPr>
        <w:spacing w:after="0" w:line="68"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Liability Derivatives</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573"/>
              <w:spacing w:after="0" w:line="147"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436"/>
              <w:spacing w:after="0" w:line="147" w:lineRule="exact"/>
              <w:rPr>
                <w:sz w:val="20"/>
                <w:szCs w:val="20"/>
                <w:color w:val="auto"/>
              </w:rPr>
            </w:pPr>
            <w:r>
              <w:rPr>
                <w:rFonts w:ascii="Arial" w:cs="Arial" w:eastAsia="Arial" w:hAnsi="Arial"/>
                <w:sz w:val="14"/>
                <w:szCs w:val="14"/>
                <w:b w:val="1"/>
                <w:bCs w:val="1"/>
                <w:color w:val="auto"/>
                <w:w w:val="98"/>
              </w:rPr>
              <w:t>Fair Value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22,921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43,599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 sale (a)</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629,458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1,008,913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105,768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697,344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1,064,529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131,135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703,786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1,067,985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113,520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140,485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00" w:hanging="492"/>
        <w:spacing w:after="0" w:line="234" w:lineRule="auto"/>
        <w:tabs>
          <w:tab w:leader="none" w:pos="50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March 31, 2021 and December 31, 2020 was a reduction of the estimated fair value of interest rate contracts in the trading account in an asset position of $54.6 million and $5.6 million, respectively, and in a liability position of $502.0 million and $806.5 million,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1"/>
              </w:rPr>
              <w:t>Amount of Gain (Loss) Recognized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4"/>
              </w:rPr>
              <w:t>Three Months Ended March 31,</w:t>
            </w:r>
          </w:p>
        </w:tc>
        <w:tc>
          <w:tcPr>
            <w:tcW w:w="360" w:type="dxa"/>
            <w:vAlign w:val="bottom"/>
          </w:tcPr>
          <w:p>
            <w:pPr>
              <w:spacing w:after="0"/>
              <w:rPr>
                <w:sz w:val="11"/>
                <w:szCs w:val="11"/>
                <w:color w:val="auto"/>
              </w:rPr>
            </w:pPr>
          </w:p>
        </w:tc>
        <w:tc>
          <w:tcPr>
            <w:tcW w:w="2100" w:type="dxa"/>
            <w:vAlign w:val="bottom"/>
            <w:gridSpan w:val="5"/>
          </w:tcPr>
          <w:p>
            <w:pPr>
              <w:jc w:val="right"/>
              <w:spacing w:after="0" w:line="133" w:lineRule="exact"/>
              <w:rPr>
                <w:sz w:val="20"/>
                <w:szCs w:val="20"/>
                <w:color w:val="auto"/>
              </w:rPr>
            </w:pPr>
            <w:r>
              <w:rPr>
                <w:rFonts w:ascii="Arial" w:cs="Arial" w:eastAsia="Arial" w:hAnsi="Arial"/>
                <w:sz w:val="14"/>
                <w:szCs w:val="14"/>
                <w:b w:val="1"/>
                <w:bCs w:val="1"/>
                <w:color w:val="auto"/>
                <w:w w:val="96"/>
              </w:rPr>
              <w:t>Three Months Ended 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60" w:type="dxa"/>
            <w:vAlign w:val="bottom"/>
            <w:tcBorders>
              <w:bottom w:val="single" w:sz="8" w:color="auto"/>
            </w:tcBorders>
            <w:gridSpan w:val="3"/>
          </w:tcPr>
          <w:p>
            <w:pPr>
              <w:jc w:val="right"/>
              <w:ind w:right="61"/>
              <w:spacing w:after="0" w:line="155" w:lineRule="exact"/>
              <w:rPr>
                <w:sz w:val="20"/>
                <w:szCs w:val="20"/>
                <w:color w:val="auto"/>
              </w:rPr>
            </w:pPr>
            <w:r>
              <w:rPr>
                <w:rFonts w:ascii="Arial" w:cs="Arial" w:eastAsia="Arial" w:hAnsi="Arial"/>
                <w:sz w:val="14"/>
                <w:szCs w:val="14"/>
                <w:b w:val="1"/>
                <w:bCs w:val="1"/>
                <w:color w:val="auto"/>
              </w:rPr>
              <w:t>Derivative</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480"/>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0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 agreements:</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Fixed rate long-term borrowings (a)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(32,658)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31,898</w:t>
            </w:r>
          </w:p>
        </w:tc>
        <w:tc>
          <w:tcPr>
            <w:tcW w:w="6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88,710</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(87,824)</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Trading:</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rate contracts (b)</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12,786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Borders>
              <w:bottom w:val="single" w:sz="8" w:color="CFF0FC"/>
            </w:tcBorders>
          </w:tcPr>
          <w:p>
            <w:pPr>
              <w:spacing w:after="0"/>
              <w:rPr>
                <w:sz w:val="19"/>
                <w:szCs w:val="19"/>
                <w:color w:val="auto"/>
              </w:rPr>
            </w:pPr>
          </w:p>
        </w:tc>
        <w:tc>
          <w:tcPr>
            <w:tcW w:w="47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w w:val="98"/>
              </w:rPr>
              <w:t>Foreign exchange and other option and futures contracts (b)</w:t>
            </w:r>
          </w:p>
        </w:tc>
        <w:tc>
          <w:tcPr>
            <w:tcW w:w="1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17,138</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1"/>
              </w:rPr>
              <w:t>(a)</w:t>
            </w:r>
          </w:p>
        </w:tc>
        <w:tc>
          <w:tcPr>
            <w:tcW w:w="4760" w:type="dxa"/>
            <w:vAlign w:val="bottom"/>
            <w:vMerge w:val="restart"/>
          </w:tcPr>
          <w:p>
            <w:pPr>
              <w:ind w:left="260"/>
              <w:spacing w:after="0"/>
              <w:rPr>
                <w:sz w:val="20"/>
                <w:szCs w:val="20"/>
                <w:color w:val="auto"/>
              </w:rPr>
            </w:pPr>
            <w:r>
              <w:rPr>
                <w:rFonts w:ascii="Arial" w:cs="Arial" w:eastAsia="Arial" w:hAnsi="Arial"/>
                <w:sz w:val="16"/>
                <w:szCs w:val="16"/>
                <w:i w:val="1"/>
                <w:iCs w:val="1"/>
                <w:color w:val="auto"/>
              </w:rPr>
              <w:t>Reported as an adjustment to interest expense.</w:t>
            </w: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vMerge w:val="continue"/>
          </w:tcPr>
          <w:p>
            <w:pPr>
              <w:spacing w:after="0"/>
              <w:rPr>
                <w:sz w:val="18"/>
                <w:szCs w:val="18"/>
                <w:color w:val="auto"/>
              </w:rPr>
            </w:pPr>
          </w:p>
        </w:tc>
        <w:tc>
          <w:tcPr>
            <w:tcW w:w="47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6"/>
                <w:szCs w:val="16"/>
                <w:i w:val="1"/>
                <w:iCs w:val="1"/>
                <w:color w:val="auto"/>
              </w:rPr>
              <w:t>Reported as trading account and foreign exchange gains.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color w:val="auto"/>
              </w:rPr>
              <w:t>- 30 -</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5"/>
              </w:rPr>
              <w:t>Hedged Item</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tcPr>
          <w:p>
            <w:pPr>
              <w:ind w:left="2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360" w:type="dxa"/>
            <w:vAlign w:val="bottom"/>
            <w:gridSpan w:val="2"/>
          </w:tcPr>
          <w:p>
            <w:pPr>
              <w:jc w:val="center"/>
              <w:ind w:left="28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  1,718,238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1,750,048</w:t>
            </w:r>
          </w:p>
        </w:tc>
        <w:tc>
          <w:tcPr>
            <w:tcW w:w="5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69,428</w:t>
            </w: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amount of interest income recognized in the consolidated statement of income associated with derivatives designated as cash flow hedges was $82 million and $32 million for the three months ended March 31, 2021 and 2020, respectively. As of March 31, 2021 the unrealized gain recognized in other comprehensive income related to cash flow hedges was $281 million, of which $74 million, $165 million and $42 million related to interest rate swap agreements maturing in 2021, 2022, and 2023, respectively.</w:t>
      </w:r>
    </w:p>
    <w:p>
      <w:pPr>
        <w:spacing w:after="0" w:line="49"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$55 million and $64 million at March 31, 2021 and December 31, 2020, respectively. Changes in unrealized gains and losses are included in mortgage banking revenues and, in general, are realized in subsequent periods as the related loans are sold and commitments satisfied.</w:t>
      </w:r>
    </w:p>
    <w:p>
      <w:pPr>
        <w:spacing w:after="0" w:line="4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49"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21"/>
          <w:szCs w:val="21"/>
          <w:color w:val="auto"/>
        </w:rPr>
        <w:t>The aggregate fair value of derivative financial instruments in a liability position and the net liability positions with counterparties which are subject to master netting arrangements was $50 million and $114 million at March 31, 2021 and December 31, 2020, respectively. The Company was required to post collateral relating to those positions of $50 million and $103 million at March 31, 2021 and December 31, 2020,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2021 was not material.</w:t>
      </w:r>
    </w:p>
    <w:p>
      <w:pPr>
        <w:spacing w:after="0" w:line="8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$4 million at March 31, 2021 and $3 million at December 31, 2020. Counterparties posted collateral relating to those positions of $3 million at each of March 31, 2021 and December 31, 2020. Trading account interest rate swap agreements entered into with customers are subject to the Company’s credit risk standards and often contain collateral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$150 million and $135 million at March 31, 2021 and December 31, 2020,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2021 and December 31, 2020,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$2.3 billion at each of March 31, 2021 and December 31, 2020.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$853 million, including $361 million of unfunded commitments, at March 31, 2021 and $861 million, including $406 million of unfunded commitments, at December 31, 2020. Contingent commitments to provide additional capital contributions to these partnerships were not material at March 31, 2021. The Company has not provided financial or other support to the partnerships that was not contractually required. The Company’s maximum exposure to loss from its investments in such partnerships as of March 31, 2021 was $1.1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$19 million and $21 million of its investments in qualified affordable housing projects to income tax expense during the three-month periods ended March 31, 2021 and 2020, respectively, and recognized $21 million and $26 million of tax credits and other tax benefits during those respective periods.</w:t>
      </w:r>
    </w:p>
    <w:p>
      <w:pPr>
        <w:spacing w:after="0" w:line="70"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March 31, 2021.</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9"/>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6"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9"/>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following tables present assets and liabilities at March 31, 2021 and December 31, 2020 measured at estimated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Measurements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687,359</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49,115</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638,244</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4,225,089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4,225,089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132,319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132,319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4,364,437</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4,364,421</w:t>
            </w: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81,792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871,026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871,026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65,542</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42,621</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6,070,156</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113,265</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5,933,954</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95,239</w:t>
            </w:r>
          </w:p>
        </w:tc>
        <w:tc>
          <w:tcPr>
            <w:tcW w:w="36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95,239</w:t>
            </w:r>
          </w:p>
        </w:tc>
        <w:tc>
          <w:tcPr>
            <w:tcW w:w="3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18,281</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9,117</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113,520</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104,356</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1,068,581</w:t>
            </w:r>
          </w:p>
        </w:tc>
        <w:tc>
          <w:tcPr>
            <w:tcW w:w="5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50,060</w:t>
            </w:r>
          </w:p>
        </w:tc>
        <w:tc>
          <w:tcPr>
            <w:tcW w:w="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1,018,521</w:t>
            </w:r>
          </w:p>
        </w:tc>
        <w:tc>
          <w:tcPr>
            <w:tcW w:w="6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4,683,438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4,683,438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129,814</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129,814</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4,822,606</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4,822,590</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63,129</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1,054,676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1,054,676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49,464</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7,088,312</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113,189</w:t>
            </w:r>
          </w:p>
        </w:tc>
        <w:tc>
          <w:tcPr>
            <w:tcW w:w="3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6,931,508</w:t>
            </w:r>
          </w:p>
        </w:tc>
        <w:tc>
          <w:tcPr>
            <w:tcW w:w="3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116,902</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116,902</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23,583</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23,218</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140,485</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140,120</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20" w:hanging="447"/>
        <w:spacing w:after="0" w:line="277" w:lineRule="auto"/>
        <w:tabs>
          <w:tab w:leader="none" w:pos="5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3"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March 31, 2021 and 2020 were as follows:</w:t>
      </w:r>
    </w:p>
    <w:p>
      <w:pPr>
        <w:jc w:val="center"/>
        <w:ind w:left="84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84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84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520" w:type="dxa"/>
            <w:vAlign w:val="bottom"/>
            <w:gridSpan w:val="2"/>
          </w:tcPr>
          <w:p>
            <w:pPr>
              <w:spacing w:after="0"/>
              <w:rPr>
                <w:sz w:val="11"/>
                <w:szCs w:val="11"/>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Mortgage-</w:t>
            </w: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2021</w:t>
            </w: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1"/>
              </w:rPr>
              <w:t>Backed Securities</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Other Liabilities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6,025</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FF0FC"/>
          </w:tcPr>
          <w:p>
            <w:pPr>
              <w:spacing w:after="0"/>
              <w:rPr>
                <w:sz w:val="19"/>
                <w:szCs w:val="19"/>
                <w:color w:val="auto"/>
              </w:rPr>
            </w:pPr>
          </w:p>
        </w:tc>
        <w:tc>
          <w:tcPr>
            <w:tcW w:w="19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w w:val="97"/>
              </w:rPr>
              <w:t>(35,502) (b)</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3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4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March 31, 2021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0" w:type="dxa"/>
            <w:vAlign w:val="bottom"/>
            <w:tcBorders>
              <w:bottom w:val="single" w:sz="8" w:color="auto"/>
            </w:tcBorders>
            <w:vMerge w:val="continue"/>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180" w:type="dxa"/>
            <w:vAlign w:val="bottom"/>
            <w:shd w:val="clear" w:color="auto" w:fill="CFF0FC"/>
          </w:tcPr>
          <w:p>
            <w:pPr>
              <w:spacing w:after="0"/>
              <w:rPr>
                <w:sz w:val="19"/>
                <w:szCs w:val="19"/>
                <w:color w:val="auto"/>
              </w:rPr>
            </w:pPr>
          </w:p>
        </w:tc>
        <w:tc>
          <w:tcPr>
            <w:tcW w:w="19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44,081</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w w:val="97"/>
              </w:rPr>
              <w:t>(19,794)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March 31, 2020</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35,027</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March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32,584</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00" w:hanging="492"/>
        <w:spacing w:after="0" w:line="258" w:lineRule="auto"/>
        <w:tabs>
          <w:tab w:leader="none" w:pos="5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spacing w:after="0" w:line="1" w:lineRule="exact"/>
        <w:rPr>
          <w:rFonts w:ascii="Arial" w:cs="Arial" w:eastAsia="Arial" w:hAnsi="Arial"/>
          <w:sz w:val="18"/>
          <w:szCs w:val="18"/>
          <w:i w:val="1"/>
          <w:iCs w:val="1"/>
          <w:color w:val="auto"/>
        </w:rPr>
      </w:pPr>
    </w:p>
    <w:p>
      <w:pPr>
        <w:ind w:left="500" w:hanging="492"/>
        <w:spacing w:after="0"/>
        <w:tabs>
          <w:tab w:leader="none" w:pos="5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17" w:lineRule="exact"/>
        <w:rPr>
          <w:sz w:val="20"/>
          <w:szCs w:val="20"/>
          <w:color w:val="auto"/>
        </w:rPr>
      </w:pPr>
    </w:p>
    <w:p>
      <w:pPr>
        <w:ind w:right="420" w:firstLine="1206"/>
        <w:spacing w:after="0" w:line="289"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54%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at March 31, 2021.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w:t>
      </w:r>
    </w:p>
    <w:p>
      <w:pPr>
        <w:spacing w:after="0" w:line="1" w:lineRule="exact"/>
        <w:rPr>
          <w:sz w:val="20"/>
          <w:szCs w:val="20"/>
          <w:color w:val="auto"/>
        </w:rPr>
      </w:pPr>
    </w:p>
    <w:p>
      <w:pPr>
        <w:jc w:val="both"/>
        <w:ind w:firstLine="8"/>
        <w:spacing w:after="0" w:line="271" w:lineRule="auto"/>
        <w:tabs>
          <w:tab w:leader="none" w:pos="264"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Collateral values for other consumer installment loans are generally estimated based on historical recovery rates for similar types of loans which at March 31, 2020 was 45%. As these recovery rates are not readily observable by market participants, such valuation adjustments have been classified as Level 3. Loans subject to nonrecurring fair value measurement were $658 million at March 31, 2021 ($357 million and $301 million of which were classified as Level 2 and Level 3, respectively), $652 million at December 31, 2020 ($339 million and $313 million of which were classified as Level 2 and Level 3, respectively) and $196 million at March 31, 2020 ($116 million and $80 million of which were classified as Level 2 and Level 3, respectively). Changes in fair value recognized for partial charge-offs of loans and loan impairment reserves on loans held by the Company on March 31, 2021 and 2020 were decreases of $66 million and $21 million for the three-month periods ended March 31, 2021 and 2020,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accordingly, the related nonrecurring fair value measurement adjustments have generally been classified as Level</w:t>
      </w:r>
    </w:p>
    <w:p>
      <w:pPr>
        <w:spacing w:after="0" w:line="3" w:lineRule="exact"/>
        <w:rPr>
          <w:sz w:val="20"/>
          <w:szCs w:val="20"/>
          <w:color w:val="auto"/>
        </w:rPr>
      </w:pPr>
    </w:p>
    <w:p>
      <w:pPr>
        <w:jc w:val="both"/>
        <w:ind w:firstLine="8"/>
        <w:spacing w:after="0" w:line="243" w:lineRule="auto"/>
        <w:tabs>
          <w:tab w:leader="none" w:pos="278" w:val="left"/>
        </w:tabs>
        <w:numPr>
          <w:ilvl w:val="0"/>
          <w:numId w:val="13"/>
        </w:numPr>
        <w:rPr>
          <w:rFonts w:ascii="Arial" w:cs="Arial" w:eastAsia="Arial" w:hAnsi="Arial"/>
          <w:sz w:val="21"/>
          <w:szCs w:val="21"/>
          <w:color w:val="auto"/>
        </w:rPr>
      </w:pPr>
      <w:r>
        <w:rPr>
          <w:rFonts w:ascii="Arial" w:cs="Arial" w:eastAsia="Arial" w:hAnsi="Arial"/>
          <w:sz w:val="21"/>
          <w:szCs w:val="21"/>
          <w:color w:val="auto"/>
        </w:rPr>
        <w:t>Assets taken in foreclosure of defaulted loans subject to nonrecurring fair value measurement were $9 million and $14 million at March 31, 2021 and 2020, respectively. Changes in fair value recognized for those foreclosed assets held by the Company were not material during the three-month periods ended March 31, 2021 and 2020.</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Capitalized servicing rights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$156 million and $159 million at March 31, 2021 and December 31, 2020, respectively, required a valuation allowance of $21 million and $30 million, respectively. Significant unobservable inputs used in this Level 3 valuation included weighted-average prepayment speeds of 15.22% and 16.01% at March 31, 2021 and December 31, 2020, respectively, and a weighted-average option-adjusted spread of 900 basis points at each date. There was a recovery of previously recognized impairment charges for capitalized servicing rights of $9 million during the three months ended March 31, 2021 and an impairment charge of $10 million during the three months ended March 31,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March 31,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Valuation</w:t>
            </w:r>
          </w:p>
        </w:tc>
        <w:tc>
          <w:tcPr>
            <w:tcW w:w="300" w:type="dxa"/>
            <w:vAlign w:val="bottom"/>
          </w:tcPr>
          <w:p>
            <w:pPr>
              <w:spacing w:after="0"/>
              <w:rPr>
                <w:sz w:val="14"/>
                <w:szCs w:val="14"/>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Unobservable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Technique</w:t>
            </w: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Inputs/Assumptions</w:t>
            </w:r>
          </w:p>
        </w:tc>
        <w:tc>
          <w:tcPr>
            <w:tcW w:w="4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thousands)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2021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13,757</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0% - 98% (18%)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Recurring fair value measurements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Two independent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pricing quotes</w:t>
            </w:r>
          </w:p>
        </w:tc>
        <w:tc>
          <w:tcPr>
            <w:tcW w:w="300" w:type="dxa"/>
            <w:vAlign w:val="bottom"/>
          </w:tcPr>
          <w:p>
            <w:pPr>
              <w:spacing w:after="0"/>
              <w:rPr>
                <w:sz w:val="20"/>
                <w:szCs w:val="20"/>
                <w:color w:val="auto"/>
              </w:rPr>
            </w:pPr>
          </w:p>
        </w:tc>
        <w:tc>
          <w:tcPr>
            <w:tcW w:w="1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 - 98% (16%)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191" w:lineRule="exact"/>
        <w:rPr>
          <w:sz w:val="20"/>
          <w:szCs w:val="20"/>
          <w:color w:val="auto"/>
        </w:rPr>
      </w:pPr>
    </w:p>
    <w:p>
      <w:pPr>
        <w:jc w:val="both"/>
        <w:ind w:left="40"/>
        <w:spacing w:after="0" w:line="235"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040" w:firstLine="8"/>
        <w:spacing w:after="0" w:line="410" w:lineRule="auto"/>
        <w:tabs>
          <w:tab w:leader="none" w:pos="31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2021</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1,258,989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1,258,989</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1,213,877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45,112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31,407,227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31,407,227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31,407,227</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687,359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687,359</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49,115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638,244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6,610,667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6,682,742</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64,150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6,551,036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27,811,190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27,509,182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27,509,182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37,425,974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36,661,758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36,563,245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17,349,683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17,501,398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4,015,464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13,485,934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16,712,233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16,781,406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16,781,406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(1,636,206)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97,662,874</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98,453,744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4,113,977</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94,339,767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440,658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440,658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440,658</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(53,641,419)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(53,641,419)</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(53,641,419)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(70,679,036)</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(70,679,036)</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(70,679,036)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(3,514,219)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(3,526,947)</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(3,526,947)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(641,691)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(641,691)</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(641,691)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(58,957)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(58,957)</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(58,957)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(3,498,503)</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(3,609,625)</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(3,609,625)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(43,745)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(43,745)</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(43,745)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(95,239)</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(95,239)</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(95,239)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13,757</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36,698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36,698</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(134,928)</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(134,928)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(134,928)</w:t>
            </w: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(3,194)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(3,194)</w:t>
            </w:r>
          </w:p>
        </w:tc>
        <w:tc>
          <w:tcPr>
            <w:tcW w:w="1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(3,194)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- 39 -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1,552,743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1,552,743</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1,497,457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55,286</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23,663,810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1,068,581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1,068,581</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1,018,521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7,045,697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7,138,989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7,005,571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27,574,564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27,220,699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27,220,699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37,637,889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36,816,580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277,911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36,538,669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16,752,993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17,089,141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4,135,655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12,953,486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16,570,421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16,554,050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(1,736,387)</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96,799,480</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97,680,470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4,413,566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93,266,904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(47,572,884)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(47,572,884)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(47,572,884)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(67,680,840)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(67,680,840)</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(67,680,840)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(3,899,910)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(3,919,367)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(3,919,367)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(652,104)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(59,482)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(4,382,193)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(4,490,433)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(4,490,433)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(59,916)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(116,902)</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43,234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(18,429)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(133,354)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interest rate risk management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2"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26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Borders>
              <w:top w:val="single" w:sz="8" w:color="auto"/>
            </w:tcBorders>
            <w:gridSpan w:val="2"/>
          </w:tcPr>
          <w:p>
            <w:pPr>
              <w:jc w:val="right"/>
              <w:ind w:right="6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  5,626,965</w:t>
            </w:r>
          </w:p>
        </w:tc>
        <w:tc>
          <w:tcPr>
            <w:tcW w:w="1140" w:type="dxa"/>
            <w:vAlign w:val="bottom"/>
          </w:tcPr>
          <w:p>
            <w:pPr>
              <w:jc w:val="right"/>
              <w:spacing w:after="0"/>
              <w:rPr>
                <w:sz w:val="20"/>
                <w:szCs w:val="20"/>
                <w:color w:val="auto"/>
              </w:rPr>
            </w:pPr>
            <w:r>
              <w:rPr>
                <w:rFonts w:ascii="Arial" w:cs="Arial" w:eastAsia="Arial" w:hAnsi="Arial"/>
                <w:sz w:val="18"/>
                <w:szCs w:val="18"/>
                <w:color w:val="auto"/>
              </w:rPr>
              <w:t>$  5,563,854</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249,514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363,735</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6,426,199</w:t>
            </w:r>
          </w:p>
        </w:tc>
        <w:tc>
          <w:tcPr>
            <w:tcW w:w="1140" w:type="dxa"/>
            <w:vAlign w:val="bottom"/>
          </w:tcPr>
          <w:p>
            <w:pPr>
              <w:jc w:val="right"/>
              <w:spacing w:after="0"/>
              <w:rPr>
                <w:sz w:val="20"/>
                <w:szCs w:val="20"/>
                <w:color w:val="auto"/>
              </w:rPr>
            </w:pPr>
            <w:r>
              <w:rPr>
                <w:rFonts w:ascii="Arial" w:cs="Arial" w:eastAsia="Arial" w:hAnsi="Arial"/>
                <w:sz w:val="18"/>
                <w:szCs w:val="18"/>
                <w:color w:val="auto"/>
              </w:rPr>
              <w:t>7,237,367</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1,081,889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1,026,118</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600,212</w:t>
            </w:r>
          </w:p>
        </w:tc>
        <w:tc>
          <w:tcPr>
            <w:tcW w:w="1140" w:type="dxa"/>
            <w:vAlign w:val="bottom"/>
          </w:tcPr>
          <w:p>
            <w:pPr>
              <w:jc w:val="right"/>
              <w:spacing w:after="0"/>
              <w:rPr>
                <w:sz w:val="20"/>
                <w:szCs w:val="20"/>
                <w:color w:val="auto"/>
              </w:rPr>
            </w:pPr>
            <w:r>
              <w:rPr>
                <w:rFonts w:ascii="Arial" w:cs="Arial" w:eastAsia="Arial" w:hAnsi="Arial"/>
                <w:sz w:val="18"/>
                <w:szCs w:val="18"/>
                <w:color w:val="auto"/>
              </w:rPr>
              <w:t>665,259</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20,140,102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19,427,886</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2,231,893</w:t>
            </w:r>
          </w:p>
        </w:tc>
        <w:tc>
          <w:tcPr>
            <w:tcW w:w="1140" w:type="dxa"/>
            <w:vAlign w:val="bottom"/>
          </w:tcPr>
          <w:p>
            <w:pPr>
              <w:jc w:val="right"/>
              <w:spacing w:after="0"/>
              <w:rPr>
                <w:sz w:val="20"/>
                <w:szCs w:val="20"/>
                <w:color w:val="auto"/>
              </w:rPr>
            </w:pPr>
            <w:r>
              <w:rPr>
                <w:rFonts w:ascii="Arial" w:cs="Arial" w:eastAsia="Arial" w:hAnsi="Arial"/>
                <w:sz w:val="18"/>
                <w:szCs w:val="18"/>
                <w:color w:val="auto"/>
              </w:rPr>
              <w:t>2,241,417</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13,260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27,332</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4,365,308</w:t>
            </w:r>
          </w:p>
        </w:tc>
        <w:tc>
          <w:tcPr>
            <w:tcW w:w="1140" w:type="dxa"/>
            <w:vAlign w:val="bottom"/>
          </w:tcPr>
          <w:p>
            <w:pPr>
              <w:jc w:val="right"/>
              <w:spacing w:after="0"/>
              <w:rPr>
                <w:sz w:val="20"/>
                <w:szCs w:val="20"/>
                <w:color w:val="auto"/>
              </w:rPr>
            </w:pPr>
            <w:r>
              <w:rPr>
                <w:rFonts w:ascii="Arial" w:cs="Arial" w:eastAsia="Arial" w:hAnsi="Arial"/>
                <w:sz w:val="18"/>
                <w:szCs w:val="18"/>
                <w:color w:val="auto"/>
              </w:rPr>
              <w:t>4,220,531</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1,881,140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2,108,823</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$10.5 billion and $10.4 billion at March 31, 2021 and December 31, 2020,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$4.0 billion at each of March 31, 2021 and December 31, 2020.</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Commitments and contingencies,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those charges is based on the volume of loans sold, the level of reimbursement requests received from loan purchasers and estimates of losses that may be associated with previously sold loans. At March 31, 2021, the Company believes that its obligation to loan purchasers was not material to the Company’s consolidated financial position.</w:t>
      </w:r>
    </w:p>
    <w:p>
      <w:pPr>
        <w:spacing w:after="0" w:line="5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$25 million as of March 31, 2021.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financial information of the Company's segments was compiled utilizing the accounting policies described in note 22 of Notes to Financial Statements in the 2020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Inter-</w:t>
            </w:r>
          </w:p>
        </w:tc>
        <w:tc>
          <w:tcPr>
            <w:tcW w:w="1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Inter-</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segment</w:t>
            </w: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Revenues(a)</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(Loss)</w:t>
            </w:r>
          </w:p>
        </w:tc>
        <w:tc>
          <w:tcPr>
            <w:tcW w:w="8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Revenues(a)</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480" w:type="dxa"/>
            <w:vAlign w:val="bottom"/>
          </w:tcPr>
          <w:p>
            <w:pPr>
              <w:spacing w:after="0"/>
              <w:rPr>
                <w:sz w:val="20"/>
                <w:szCs w:val="20"/>
                <w:color w:val="auto"/>
              </w:rPr>
            </w:pPr>
            <w:r>
              <w:rPr>
                <w:rFonts w:ascii="Arial" w:cs="Arial" w:eastAsia="Arial" w:hAnsi="Arial"/>
                <w:sz w:val="18"/>
                <w:szCs w:val="18"/>
                <w:color w:val="auto"/>
              </w:rPr>
              <w:t>Business Banking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155,903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46,271</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137,833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285,912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200,843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223,305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134,544</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(10,027)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90,546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49,219</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(13,037)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153,760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22,183</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125,561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21,417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346,917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402,683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209,114</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(14,128)</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(18,447)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275,788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(10,994)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(185,774)</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1,486,993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1,506,165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Average Total Assets</w:t>
            </w:r>
          </w:p>
        </w:tc>
      </w:tr>
      <w:tr>
        <w:trPr>
          <w:trHeight w:val="133"/>
        </w:trPr>
        <w:tc>
          <w:tcPr>
            <w:tcW w:w="60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1"/>
                <w:szCs w:val="11"/>
                <w:color w:val="auto"/>
              </w:rPr>
            </w:pPr>
          </w:p>
        </w:tc>
      </w:tr>
      <w:tr>
        <w:trPr>
          <w:trHeight w:val="162"/>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r>
      <w:tr>
        <w:trPr>
          <w:trHeight w:val="171"/>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r>
      <w:tr>
        <w:trPr>
          <w:trHeight w:val="180"/>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8"/>
                <w:szCs w:val="18"/>
                <w:color w:val="auto"/>
              </w:rPr>
              <w:t>Business Banking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8,622</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6,006</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8,152</w:t>
            </w:r>
          </w:p>
        </w:tc>
        <w:tc>
          <w:tcPr>
            <w:tcW w:w="80" w:type="dxa"/>
            <w:vAlign w:val="bottom"/>
          </w:tcPr>
          <w:p>
            <w:pPr>
              <w:spacing w:after="0"/>
              <w:rPr>
                <w:sz w:val="24"/>
                <w:szCs w:val="24"/>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30,338</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26,097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24,849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25,792</w:t>
            </w:r>
          </w:p>
        </w:tc>
        <w:tc>
          <w:tcPr>
            <w:tcW w:w="8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27,726</w:t>
            </w:r>
          </w:p>
        </w:tc>
        <w:tc>
          <w:tcPr>
            <w:tcW w:w="8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17,216</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35,671</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22,996</w:t>
            </w:r>
          </w:p>
        </w:tc>
        <w:tc>
          <w:tcPr>
            <w:tcW w:w="8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148,157</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120,585</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both"/>
        <w:ind w:left="500" w:hanging="492"/>
        <w:spacing w:after="0" w:line="267" w:lineRule="auto"/>
        <w:tabs>
          <w:tab w:leader="none" w:pos="5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$3,733,000 and $5,063,000 for the three-month periods ended March 31, 2021 and 2020,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4"/>
          <w:szCs w:val="14"/>
          <w:i w:val="1"/>
          <w:iCs w:val="1"/>
          <w:color w:val="auto"/>
        </w:rPr>
        <w:t>.</w:t>
      </w:r>
    </w:p>
    <w:p>
      <w:pPr>
        <w:spacing w:after="0" w:line="188" w:lineRule="exact"/>
        <w:rPr>
          <w:rFonts w:ascii="Arial" w:cs="Arial" w:eastAsia="Arial" w:hAnsi="Arial"/>
          <w:sz w:val="16"/>
          <w:szCs w:val="16"/>
          <w:i w:val="1"/>
          <w:iCs w:val="1"/>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Relationship with Bayview Lending Group LLC and Bayview Financial Holdings, L.P.</w:t>
      </w:r>
    </w:p>
    <w:p>
      <w:pPr>
        <w:spacing w:after="0" w:line="116" w:lineRule="exact"/>
        <w:rPr>
          <w:sz w:val="20"/>
          <w:szCs w:val="20"/>
          <w:color w:val="auto"/>
        </w:rPr>
      </w:pPr>
    </w:p>
    <w:p>
      <w:pPr>
        <w:jc w:val="both"/>
        <w:ind w:right="100"/>
        <w:spacing w:after="0" w:line="262" w:lineRule="auto"/>
        <w:rPr>
          <w:sz w:val="20"/>
          <w:szCs w:val="20"/>
          <w:color w:val="auto"/>
        </w:rPr>
      </w:pPr>
      <w:r>
        <w:rPr>
          <w:rFonts w:ascii="Arial" w:cs="Arial" w:eastAsia="Arial" w:hAnsi="Arial"/>
          <w:sz w:val="20"/>
          <w:szCs w:val="20"/>
          <w:color w:val="auto"/>
        </w:rPr>
        <w:t>M&amp;T holds a 20% minority interest in Bayview Lending Group LLC ("BLG"), a privately-held commercial mortgage company. That investment had no remaining carrying value at March 31, 2021 as a result of cumulative losses recognized and cash distributions received in prior years. Cash distributions now received from BLG are recognized as income by M&amp;T and included in other revenues from operations. That income totaled $23 million for the three-month period ended March 31, 2020. There was no similar cash distribution during the three-month period ended March 31, 2021.</w:t>
      </w:r>
    </w:p>
    <w:p>
      <w:pPr>
        <w:spacing w:after="0" w:line="68" w:lineRule="exact"/>
        <w:rPr>
          <w:sz w:val="20"/>
          <w:szCs w:val="20"/>
          <w:color w:val="auto"/>
        </w:rPr>
      </w:pPr>
    </w:p>
    <w:p>
      <w:pPr>
        <w:jc w:val="both"/>
        <w:ind w:right="100" w:firstLine="510"/>
        <w:spacing w:after="0" w:line="271"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$1.9 billion at March 31, 2021 and December 31, 2020. Revenues from those servicing rights were $2 million and $3 million for the three-month periods ended March 31, 2021 and 2020, respectively. The Company sub-services residential mortgage loans for Bayview Financial having outstanding principal balances of $69.7 billion and $68.1 billion at March 31, 2021 and December 31, 2020, respectively. Revenues earned for sub-servicing loans for Bayview Financial were $34 million and $37 million for the three-month periods ended March 31, 2021 and 2020, respectively. In addition, the Company held $73 million and $77 million of mortgage-backed securities in its held-to-maturity portfolio at March 31, 2021 and December 31, 2020, respectively, that were securitized by Bayview Financial. At March 31, 2021, the Company held $139 million of Bayview Financial’s $1.1 billion syndicated loan facility. In the first quarter of 2021, the Company purchased $965 million of delinquent FHA guaranteed mortgage loans, including past due accrued interest, from Bayview Financial for $1.0 billion. The servicing rights for such loans were retained by Bayview Financial, but the Company continues to sub-service the loans.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2021 as well as standards that are not effective that could have an impact to M&amp;T’s consolidated financial statements upon adoption.</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2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Adopted in 2021</w:t>
            </w:r>
          </w:p>
        </w:tc>
        <w:tc>
          <w:tcPr>
            <w:tcW w:w="150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Clarifying the</w:t>
            </w:r>
          </w:p>
        </w:tc>
        <w:tc>
          <w:tcPr>
            <w:tcW w:w="38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amendments clarify the following guidance: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2021</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Interactions Between</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That an entity should consider observable transactions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2021 using a prospective transition method. The adoption did not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Securities,</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that require it to either apply or discontinue the equity</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have a material impact on the Company’s consolidated financial</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Method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method of accounting for the purposes of applying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Joint Ventures,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measurement alternative in the equity securities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Derivatives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investments guidance immediately before applying or upon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Hedging</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discontinuing the equity method of accounting.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For the purpose of applying the derivatives and hedging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an entity should not consider whether, upon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settlement of a forward contract or exercise of a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option, individually or with existing investments,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underlying securities would be accounted for under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method of accounting or the fair value option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accordance with the financial instruments guidance. An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entity also would evaluate the remaining characteristics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derivatives and hedging guidance to determine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accounting for those forward contracts and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options.</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328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2879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6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260" w:type="dxa"/>
            <w:vAlign w:val="bottom"/>
            <w:tcBorders>
              <w:top w:val="single" w:sz="8" w:color="auto"/>
            </w:tcBorders>
          </w:tcPr>
          <w:p>
            <w:pPr>
              <w:spacing w:after="0"/>
              <w:rPr>
                <w:sz w:val="12"/>
                <w:szCs w:val="12"/>
                <w:color w:val="auto"/>
              </w:rPr>
            </w:pPr>
          </w:p>
        </w:tc>
        <w:tc>
          <w:tcPr>
            <w:tcW w:w="3620" w:type="dxa"/>
            <w:vAlign w:val="bottom"/>
            <w:tcBorders>
              <w:top w:val="single" w:sz="8" w:color="auto"/>
              <w:right w:val="single" w:sz="8" w:color="auto"/>
            </w:tcBorders>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Standards Adopted in 2021</w:t>
            </w:r>
          </w:p>
        </w:tc>
        <w:tc>
          <w:tcPr>
            <w:tcW w:w="3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40"/>
              <w:spacing w:after="0" w:line="123" w:lineRule="exact"/>
              <w:rPr>
                <w:sz w:val="20"/>
                <w:szCs w:val="20"/>
                <w:color w:val="auto"/>
              </w:rPr>
            </w:pPr>
            <w:r>
              <w:rPr>
                <w:rFonts w:ascii="Arial" w:cs="Arial" w:eastAsia="Arial" w:hAnsi="Arial"/>
                <w:sz w:val="14"/>
                <w:szCs w:val="14"/>
                <w:color w:val="auto"/>
              </w:rPr>
              <w:t>Simplifying the</w:t>
            </w:r>
          </w:p>
        </w:tc>
        <w:tc>
          <w:tcPr>
            <w:tcW w:w="2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500" w:type="dxa"/>
            <w:vAlign w:val="bottom"/>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200" w:type="dxa"/>
            <w:vAlign w:val="bottom"/>
          </w:tcPr>
          <w:p>
            <w:pPr>
              <w:ind w:left="100"/>
              <w:spacing w:after="0" w:line="123" w:lineRule="exact"/>
              <w:rPr>
                <w:sz w:val="20"/>
                <w:szCs w:val="20"/>
                <w:color w:val="auto"/>
              </w:rPr>
            </w:pPr>
            <w:r>
              <w:rPr>
                <w:rFonts w:ascii="Arial" w:cs="Arial" w:eastAsia="Arial" w:hAnsi="Arial"/>
                <w:sz w:val="14"/>
                <w:szCs w:val="14"/>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Accounting for Income</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The amendments remove the following exceptions for</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Taxes</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accounting for income taxes: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for all periods presented. The amendments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1.</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incremental approach for intraperiod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related to changes in ownership of foreign equity method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allocation when there is a loss from continuing operations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7"/>
              </w:rPr>
              <w:t>investments or foreign subsidiaries should be applied on a modified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income or a gain from other items (for example,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through a cumulative-effect adjustment to</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discontinued operations or other comprehensive income)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retained earnings as of the beginning of the fiscal year of adoption.</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2.</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requirement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The amendments related to franchise taxes that are partially based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equity method investments when a foreign</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on income should be applied on either a retrospective basis for all</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subsidiary becomes an equity method investment</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periods presented or a modified retrospective basis through a</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3.</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ability not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cumulative-effect adjustment to retained earnings as of the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a foreign subsidiary when a foreign equity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beginning of the fiscal year of adoption. All other amendments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method investment becomes a subsidiary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should be applied on a prospective basis.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4.</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general methodology for calculating</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The adoption did not have a material impact on the Company’s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income taxes in an interim period when a year-to-date loss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3880" w:type="dxa"/>
            <w:vAlign w:val="bottom"/>
            <w:gridSpan w:val="2"/>
          </w:tcPr>
          <w:p>
            <w:pPr>
              <w:ind w:left="120"/>
              <w:spacing w:after="0"/>
              <w:rPr>
                <w:sz w:val="20"/>
                <w:szCs w:val="20"/>
                <w:color w:val="auto"/>
              </w:rPr>
            </w:pPr>
            <w:r>
              <w:rPr>
                <w:rFonts w:ascii="Arial" w:cs="Arial" w:eastAsia="Arial" w:hAnsi="Arial"/>
                <w:sz w:val="14"/>
                <w:szCs w:val="14"/>
                <w:color w:val="auto"/>
              </w:rPr>
              <w:t>exceeds the anticipated loss for the year.</w:t>
            </w:r>
          </w:p>
        </w:tc>
        <w:tc>
          <w:tcPr>
            <w:tcW w:w="1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amendments also simplify the accounting for income</w:t>
      </w:r>
    </w:p>
    <w:p>
      <w:pPr>
        <w:ind w:left="1780"/>
        <w:spacing w:after="0" w:line="221" w:lineRule="auto"/>
        <w:rPr>
          <w:sz w:val="20"/>
          <w:szCs w:val="20"/>
          <w:color w:val="auto"/>
        </w:rPr>
      </w:pPr>
      <w:r>
        <w:rPr>
          <w:rFonts w:ascii="Arial" w:cs="Arial" w:eastAsia="Arial" w:hAnsi="Arial"/>
          <w:sz w:val="14"/>
          <w:szCs w:val="14"/>
          <w:color w:val="auto"/>
        </w:rPr>
        <w:t>taxes by doing the following:</w:t>
      </w:r>
    </w:p>
    <w:p>
      <w:pPr>
        <w:ind w:left="1780" w:right="6040" w:firstLine="9"/>
        <w:spacing w:after="0" w:line="221" w:lineRule="auto"/>
        <w:tabs>
          <w:tab w:leader="none" w:pos="19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that an entity recognize a franchise tax (or similar tax) that is partially based on income as an income-based tax and account for any incremental amount incurred as a non-income-based tax.</w:t>
      </w:r>
    </w:p>
    <w:p>
      <w:pPr>
        <w:spacing w:after="0" w:line="1" w:lineRule="exact"/>
        <w:rPr>
          <w:rFonts w:ascii="Arial" w:cs="Arial" w:eastAsia="Arial" w:hAnsi="Arial"/>
          <w:sz w:val="14"/>
          <w:szCs w:val="14"/>
          <w:color w:val="auto"/>
        </w:rPr>
      </w:pPr>
    </w:p>
    <w:p>
      <w:pPr>
        <w:ind w:left="1780" w:right="6160" w:firstLine="9"/>
        <w:spacing w:after="0" w:line="221" w:lineRule="auto"/>
        <w:tabs>
          <w:tab w:leader="none" w:pos="19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that an entity evaluate when a step up in the tax basis of goodwill should be considered part of the business combination in which the book goodwill was originally recognized and when it should be considered a separate transaction.</w:t>
      </w:r>
    </w:p>
    <w:p>
      <w:pPr>
        <w:spacing w:after="0" w:line="1" w:lineRule="exact"/>
        <w:rPr>
          <w:rFonts w:ascii="Arial" w:cs="Arial" w:eastAsia="Arial" w:hAnsi="Arial"/>
          <w:sz w:val="14"/>
          <w:szCs w:val="14"/>
          <w:color w:val="auto"/>
        </w:rPr>
      </w:pPr>
    </w:p>
    <w:p>
      <w:pPr>
        <w:ind w:left="1780" w:right="6040" w:firstLine="9"/>
        <w:spacing w:after="0" w:line="238" w:lineRule="auto"/>
        <w:tabs>
          <w:tab w:leader="none" w:pos="1924" w:val="left"/>
        </w:tabs>
        <w:numPr>
          <w:ilvl w:val="0"/>
          <w:numId w:val="17"/>
        </w:numPr>
        <w:rPr>
          <w:rFonts w:ascii="Arial" w:cs="Arial" w:eastAsia="Arial" w:hAnsi="Arial"/>
          <w:sz w:val="13"/>
          <w:szCs w:val="13"/>
          <w:color w:val="auto"/>
        </w:rPr>
      </w:pPr>
      <w:r>
        <w:rPr>
          <w:rFonts w:ascii="Arial" w:cs="Arial" w:eastAsia="Arial" w:hAnsi="Arial"/>
          <w:sz w:val="13"/>
          <w:szCs w:val="13"/>
          <w:color w:val="auto"/>
        </w:rPr>
        <w:t>Specifying that an entity is not required to allocate the consolidated amount of current and deferred tax expense to a legal entity that is not subject to tax in its separate financial statements. However, an entity may elect to do so (on an entity-by-entity basis) for a legal entity that is both not subject to tax and disregarded by the taxing authority.</w:t>
      </w:r>
    </w:p>
    <w:p>
      <w:pPr>
        <w:spacing w:after="0" w:line="1" w:lineRule="exact"/>
        <w:rPr>
          <w:rFonts w:ascii="Arial" w:cs="Arial" w:eastAsia="Arial" w:hAnsi="Arial"/>
          <w:sz w:val="13"/>
          <w:szCs w:val="13"/>
          <w:color w:val="auto"/>
        </w:rPr>
      </w:pPr>
    </w:p>
    <w:p>
      <w:pPr>
        <w:jc w:val="both"/>
        <w:ind w:left="1780" w:right="6140" w:firstLine="9"/>
        <w:spacing w:after="0" w:line="221" w:lineRule="auto"/>
        <w:tabs>
          <w:tab w:leader="none" w:pos="19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that an entity reflect the effect of an enacted change in tax laws or rates in the annual effective tax rate computation in the interim period that includes the enactment date.</w:t>
      </w:r>
    </w:p>
    <w:p>
      <w:pPr>
        <w:spacing w:after="0" w:line="1" w:lineRule="exact"/>
        <w:rPr>
          <w:rFonts w:ascii="Arial" w:cs="Arial" w:eastAsia="Arial" w:hAnsi="Arial"/>
          <w:sz w:val="14"/>
          <w:szCs w:val="14"/>
          <w:color w:val="auto"/>
        </w:rPr>
      </w:pPr>
    </w:p>
    <w:p>
      <w:pPr>
        <w:ind w:left="1780" w:right="6200" w:firstLine="9"/>
        <w:spacing w:after="0" w:line="249" w:lineRule="auto"/>
        <w:tabs>
          <w:tab w:leader="none" w:pos="1924"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Making minor Codification improvements for income taxes related to employee stock ownership plans and investments in qualified affordable housing projects accounted for using the equity method.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March 31,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Changes to Accounting</w:t>
            </w:r>
          </w:p>
        </w:tc>
        <w:tc>
          <w:tcPr>
            <w:tcW w:w="3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The amendments reduce the number of accounting models</w:t>
            </w: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2022</w:t>
            </w:r>
          </w:p>
        </w:tc>
        <w:tc>
          <w:tcPr>
            <w:tcW w:w="42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7"/>
              </w:rPr>
              <w:t>The amendments can be applied either on a modified retrospective</w:t>
            </w:r>
          </w:p>
        </w:tc>
        <w:tc>
          <w:tcPr>
            <w:tcW w:w="0" w:type="dxa"/>
            <w:vAlign w:val="bottom"/>
          </w:tcPr>
          <w:p>
            <w:pPr>
              <w:spacing w:after="0"/>
              <w:rPr>
                <w:sz w:val="1"/>
                <w:szCs w:val="1"/>
                <w:color w:val="auto"/>
              </w:rPr>
            </w:pPr>
          </w:p>
        </w:tc>
      </w:tr>
      <w:tr>
        <w:trPr>
          <w:trHeight w:val="140"/>
        </w:trPr>
        <w:tc>
          <w:tcPr>
            <w:tcW w:w="1660" w:type="dxa"/>
            <w:vAlign w:val="bottom"/>
            <w:tcBorders>
              <w:left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rPr>
              <w:t>for Convertible</w:t>
            </w:r>
          </w:p>
        </w:tc>
        <w:tc>
          <w:tcPr>
            <w:tcW w:w="38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4"/>
                <w:szCs w:val="14"/>
                <w:color w:val="auto"/>
                <w:w w:val="98"/>
              </w:rPr>
              <w:t>method of transition or a fully retrospective method of transition. 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Instruments and</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for convertible debt instruments and convertible preferred</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applying the modified retrospective method, the guidance should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Contracts in an</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stock. The amendments also reduce form-over-substance-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applied to transactions outstanding as of the beginning of the fiscal</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Entity’s Own Equity</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based guidance for the derivatives scope exception for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year in which the amendments are adopted. Transactions that were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contacts in an entity’s own equity. For convertible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settled (or expired) during prior reporting periods are unaffected.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instruments, embedded conversion features no longer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separated from the host contract for convertible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adjustment to the opening balance of retained earnings at the date of</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with conversion features that are not required to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If applying the fully retrospective method of transition,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accounted for as derivatives, or that do not result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substantial premiums accounted for as paid-in capital.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adjustment to the opening balance of retained earnings in the first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Consequently, a convertible debt instrument will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comparative period presented.</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accounted for as a single liability measured at its amortized</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cost and a convertible preferred stock will be accounted for</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fair value option is allowed to be irrevocably elected for any</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a single equity instrument measured at its historical cost,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instrument that is a convertible security upon adoption of</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long as no other features require bifurcation and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recognition as derivatives. By removing those separation</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models, the interest rate of convertible debt instruments</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The Company has not yet decided on which transition method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typically will be closer to the coupon interest rate on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be applied to the extent applicable. The Company does not expect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 The amendments also require certain changes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guidance will have a material impact on its consolidated</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EPS calculations for convertible instruments as well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additional disclosures relating to conditions that cause</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conversion features to be met.</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For contacts in an entity’s own equity, the</w:t>
            </w:r>
          </w:p>
        </w:tc>
        <w:tc>
          <w:tcPr>
            <w:tcW w:w="150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amendments revise the derivatives scope exception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as follows: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Remove the settlement in unregistered shares, collateral,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and shareholder rights conditions from the settlement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Clarify that payment penalties for failure to timely file do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not preclude equity classification.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3. Require instruments that are required to be classified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 asset or liability to be measured subsequently at fair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value, with changes reported in earnings and disclosed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financial statements. 4. Clarifiy that the scope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requirements in the Contracts in an Entity’s Own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section of the Derivatives guidance applies only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freestanding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8"/>
              </w:rPr>
              <w:t>5. Clarify that the scope of the reassessment guidance in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Contracts in an Entity’s Own Equity section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Derivatives guidance applies to both freestanding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instruments and embedded features.</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income for M&amp;T Bank Corporation (“M&amp;T”) in the first quarter of 2021 was $447 million, compared with $269 million in the corresponding quarter of 2020 and $471 million in the fourth quarter of 2020. Diluted and basic earnings per common share were $3.33 in the recent quarter, $1.93 in the first quarter of 2020 and $3.52 in the fourth quarter of 2020. The after-tax impact of merger-related expenses was $8 million ($10 million pre-tax), or $.06 of basic and diluted earnings per common share in the recent quarter. Such expenses were associated with M&amp;T’s pending acquisition of People’s United Financial, Inc. (“People’s United”), headquartered in Bridgeport, Connecticut. There were no merger-related expenses in the first or fourth quarters of 2020.</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2021’s first quarter was 1.22%, compared with .90% in the year-earlier quarter and 1.30% in the fourth quarter of 2020. The annualized rate of return on average common shareholders’ equity was 11.57% in the recent quarter, 7.00% in the first quarter of 2020 and 12.07% in the fourth 2020 quarter.</w:t>
      </w:r>
    </w:p>
    <w:p>
      <w:pPr>
        <w:spacing w:after="0" w:line="78"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On February 22, 2021, M&amp;T announced that it had entered into a definitive agreement with People’s United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to a new series of M&amp;T preferred stock upon completion of the acquisition. The transaction is valued at approximately $7.7 billion (with the price based on M&amp;T’s closing price of $151.61 per share as of March 31, 2021).</w:t>
      </w:r>
    </w:p>
    <w:p>
      <w:pPr>
        <w:spacing w:after="0" w:line="81"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As of March 31, 2021, People’s United reported $64.2 billion of assets, including $42.8 billion of loans and $10.4 billion of investment securities, $56.6 billion of liabilities, including $53.5 billion of deposits, and $7.6 billion of stockholders’ equity. The merger is subject to a number of conditions, including regulatory approvals and approval by common shareholders of M&amp;T and People’s United, and is expected to be completed during the fourth quarter of 2021.</w:t>
      </w:r>
    </w:p>
    <w:p>
      <w:pPr>
        <w:spacing w:after="0" w:line="7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Financial results since the first quarter of 2020 were adversely impacted by the Coronavirus Disease 2019 (“COVID-19”) pandemic. Large portions of the U.S. economy were substantially curtailed for extended periods of time and, as a result, many commercial and consumer customers were adversely impacted. Specifically, those adverse economic impacts resulted in the Company recognizing elevated levels of provisions for credit losses during 2020 that reflected projections of credit losses based on macroeconomic forecasts at the end of each quarter of that year. The Company recorded provisions for credit losses of $250 million in the first 2020 quarter and $75 million in the fourth quarter of 2020. An improvement in economic conditions and forecasts at March 31, 2021 as compared with previous forecasts led the Company to recognize a provision recapture of $25 million in the first quarter of 2021. In response to the pandemic, the Federal Reserve took actions to lower interest rates that have negatively affected the Company’s net interest income since the beginning of the pandemic. Taxable-equivalent net interest income totaled $985 million in the recent quarter and $982 million and $993 million in the first and fourth quarters of 2020, respectively.</w:t>
      </w:r>
    </w:p>
    <w:p>
      <w:pPr>
        <w:spacing w:after="0" w:line="62"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On March 27, 2020, the Coronavirus Aid, Relief, and Economic Security Act (“CARES Act”) was signed into law. The CARES Act and applicable extensions provide relief to borrowers, including the opportunity to defer loan payments while not negatively affecting their credit standing, and also provide funding opportunities for small businesses under the Paycheck Protection Program (“PPP”) from approved Small Business Administration (“SBA”) lenders, including M&amp;T Bank, the principal bank subsidiary of M&amp;T. For commercial and consumer customers, the Company has provided a host of relief options, including payment deferrals (including maturity extensions), loan covenant waivers and low interest rate loan products. M&amp;T Bank funded approximately $7.0 billion of PPP loans during 2020 and another $2.5 billion during the first quarter of 2021. PPP loans outstanding at March 31, 2021 and December 31, 2020 totaled $6.2 billion and $5.4 billion, respectively.</w:t>
      </w:r>
    </w:p>
    <w:p>
      <w:pPr>
        <w:spacing w:after="0" w:line="74"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Updated economic forecasts at the end of each of the quarters of 2020 resulted in higher estimates of expected credit losses in the Company’s loan portfolio than at January 1, 2020, when the Company adopted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7" w:name="page48"/>
    <w:bookmarkEnd w:id="47"/>
    <w:p>
      <w:pPr>
        <w:jc w:val="both"/>
        <w:spacing w:after="0" w:line="245" w:lineRule="auto"/>
        <w:rPr>
          <w:sz w:val="20"/>
          <w:szCs w:val="20"/>
          <w:color w:val="auto"/>
        </w:rPr>
      </w:pPr>
      <w:r>
        <w:rPr>
          <w:rFonts w:ascii="Arial" w:cs="Arial" w:eastAsia="Arial" w:hAnsi="Arial"/>
          <w:sz w:val="21"/>
          <w:szCs w:val="21"/>
          <w:color w:val="auto"/>
        </w:rPr>
        <w:t>accounting guidance for the measurement of credit losses on financial instruments, resulting in historically high levels of the provision for credit losses. Specifically, the level of the provision in 2020 reflected the ongoing impacts of the pandemic on economic activity in the hospitality and retail sectors, the uncertainty at December 31, 2020 as to the sufficiency and effectiveness of economic stimulus provided by the U.S. government to the economy, and concerns about ultimate collectability of real estate loans where borrowers requested re-payment forbearance. Improvement in the economic outlook at March 31, 2021 resulted in reduced estimates of expected credit losses. However, the Company expects that it will continue to be negatively impacted by the COVID-19 pandemic after March 31, 2021.</w:t>
      </w:r>
    </w:p>
    <w:p>
      <w:pPr>
        <w:spacing w:after="0" w:line="83" w:lineRule="exact"/>
        <w:rPr>
          <w:sz w:val="20"/>
          <w:szCs w:val="20"/>
          <w:color w:val="auto"/>
        </w:rPr>
      </w:pPr>
    </w:p>
    <w:p>
      <w:pPr>
        <w:ind w:right="200" w:firstLine="464"/>
        <w:spacing w:after="0" w:line="247" w:lineRule="auto"/>
        <w:rPr>
          <w:sz w:val="20"/>
          <w:szCs w:val="20"/>
          <w:color w:val="auto"/>
        </w:rPr>
      </w:pPr>
      <w:r>
        <w:rPr>
          <w:rFonts w:ascii="Arial" w:cs="Arial" w:eastAsia="Arial" w:hAnsi="Arial"/>
          <w:sz w:val="21"/>
          <w:szCs w:val="21"/>
          <w:color w:val="auto"/>
        </w:rPr>
        <w:t>The national effort to mitigate the pandemic has resulted in a challenging environment for businesses and their employees. The Company has taken actions designed to help provide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40" w:hanging="368"/>
        <w:spacing w:after="0" w:line="281"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deployment of a Pandemic Response Plan to manage the pandemic’s effects on operations, employees and customers, including seeking to ensure employee safety, maintaining continuity of operations and service levels for customers, preserving the Company’s financial strength, and complying with applicable laws and regulations. Actions have included placing restrictions on travel, implementing social distancing, health screening, sanitation and other protocols, and mandating for all employees whose jobs can be performed remotely to work from home where possible. The Company continues to assess the appropriateness of employees returning to the office while seeking to ensure a safe work environment;</w:t>
      </w:r>
    </w:p>
    <w:p>
      <w:pPr>
        <w:spacing w:after="0" w:line="3"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Nearly all M&amp;T Bank branches remain open, with open lobbies and normal access to drive-through windows and ATMs;</w:t>
      </w:r>
    </w:p>
    <w:p>
      <w:pPr>
        <w:spacing w:after="0" w:line="24" w:lineRule="exact"/>
        <w:rPr>
          <w:rFonts w:ascii="Arial" w:cs="Arial" w:eastAsia="Arial" w:hAnsi="Arial"/>
          <w:sz w:val="19"/>
          <w:szCs w:val="19"/>
          <w:color w:val="auto"/>
        </w:rPr>
      </w:pPr>
    </w:p>
    <w:p>
      <w:pPr>
        <w:ind w:left="740" w:hanging="368"/>
        <w:spacing w:after="0"/>
        <w:tabs>
          <w:tab w:leader="none" w:pos="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vast majority of the Company’s non-branch employees continue to work remotely;</w:t>
      </w:r>
    </w:p>
    <w:p>
      <w:pPr>
        <w:spacing w:after="0" w:line="1" w:lineRule="exact"/>
        <w:rPr>
          <w:rFonts w:ascii="Arial" w:cs="Arial" w:eastAsia="Arial" w:hAnsi="Arial"/>
          <w:sz w:val="21"/>
          <w:szCs w:val="21"/>
          <w:color w:val="auto"/>
        </w:rPr>
      </w:pPr>
    </w:p>
    <w:p>
      <w:pPr>
        <w:ind w:left="740" w:right="360" w:hanging="368"/>
        <w:spacing w:after="0" w:line="270" w:lineRule="auto"/>
        <w:tabs>
          <w:tab w:leader="none" w:pos="7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Many loan customers are still receiving COVID-19 related relief in various forms, including modification and forbearance requests as of March 31, 2021 as described herein and in note 4 of Notes to Financial Statements.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Net operating income totaled $457 million in the first quarter of 2021, compared with $272 million in the year-earlier quarter. Diluted net operating earnings per common share in the first quarters of 2021 and 2020 were $3.41 and $1.95, respectively. Net operating income and diluted net operating earnings per common share were $473 million and $3.54, respectively, in the fourth quarter of 2020.</w:t>
      </w:r>
    </w:p>
    <w:p>
      <w:pPr>
        <w:spacing w:after="0" w:line="78"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Net operating income in the recent quarter expressed as an annualized rate of return on average tangible assets was 1.29%, compared with .94% in the first quarter of 2020 and 1.35% in the 2020’s fourth quarter. Net operating income represented an annualized return on average tangible common equity of 17.05% in the first quarter of 2021, 10.39% in the year-earlier quarter and 17.53% in the fourth quarter of 2020.</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Taxable-equivalent net interest income was $985 million in the first quarter of 2021, compared with $982 million in the first quarter of 2020. That modest increase resulted from the impact of a $26.1 billion or 24% increase in average earning assets that was substantially offset by a 68 basis point (hundredths of one percent) narrowing of the net interest margin, or taxable-equivalent net interest income expressed as an annualized percentage of average earning assets, to 2.97% in the recent quarter from 3.65% in the year-earlier quarter. The higher average earning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8" w:name="page49"/>
    <w:bookmarkEnd w:id="48"/>
    <w:p>
      <w:pPr>
        <w:jc w:val="both"/>
        <w:spacing w:after="0" w:line="258" w:lineRule="auto"/>
        <w:rPr>
          <w:sz w:val="20"/>
          <w:szCs w:val="20"/>
          <w:color w:val="auto"/>
        </w:rPr>
      </w:pPr>
      <w:r>
        <w:rPr>
          <w:rFonts w:ascii="Arial" w:cs="Arial" w:eastAsia="Arial" w:hAnsi="Arial"/>
          <w:sz w:val="20"/>
          <w:szCs w:val="20"/>
          <w:color w:val="auto"/>
        </w:rPr>
        <w:t>reflected growth in deposits at the Federal Reserve Bank of New York and loans, partially offset by a decline in average investment securities balances. The narrowing of the net interest margin was largely the result of declines in rates earned on loans and deposits at the Federal Reserve Bank of New York, reflecting the lower interest rate environment due to actions initiated by the Federal Reserve to decrease its target Federal funds rate twice in March of 2020 (first by .50%, than another by 1.0%). Taxable-equivalent net interest income in the recent quarter declined $8 million from the fourth quarter of 2020 reflecting the fewer number of days in the first quarter of 2021. A three basis point narrowing of the net interest margin in the recent quarter from 3.00% in the prior quarter largely attributable to higher balances held in low yielding accounts at the Federal Reserve Bank of New York was predominantly offset by a $2.4 billion or 2% rise in average earning assets.</w:t>
      </w:r>
    </w:p>
    <w:p>
      <w:pPr>
        <w:spacing w:after="0" w:line="7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Average loans and leases totaled $99.4 billion in the first quarter of 2021, up $7.7 billion or 8% from $91.7 billion in the similar quarter of 2020. Commercial loans and leases averaged $27.7 billion in the first quarter of 2021, $3.4 billion or 14% higher than in the year-earlier quarter. That increase was the result of average outstanding PPP loans of $5.7 billion in the recent quarter that were predominantly funded in the second quarter of 2020 and in the first quarter of 2021. Average commercial real estate loans were $37.6 billion in the recent quarter, up $1.6 billion, or 4%, from $36.0 billion in the corresponding 2020 quarter. Included in average commercial real estate loans in the first quarters of 2021 and 2020 were loans held for sale of $258 million and $185 million, respectively. Reflecting purchases of government-guaranteed loans from Ginnie Mae pools that were serviced by the Company, average residential real estate loans rose $1.5 billion or 9% to $17.4 billion in the first quarter of 2021 from $15.9 billion in the year-earlier quarter. The loans purchased from Ginnie Mae pools averaged $3.8 billion in the recent quarter, compared with $800 million in the year-earlier quarter. Loans are purchased to reduce associated servicing costs, namely a requirement to advance principal and interest payments that had not been received from individual mortgagors, including payments deferred under COVID-19 forbearance arrangements. Loans purchased from Ginnie Mae pools totaled $1.3 billion in the recent quarter and $2.5 billion in the last three quarters of 2020. Also included in average residential real estate loans were loans held for sale of $663 million in the recent quarter and $409 million in the first quarter of 2020. Consumer loans averaged $16.6 billion in the first quarter of 2021, up $1.2 billion, or 8%, from $15.5 billion in the year-earlier quarter, due to growth in average recreational finance loans (consisting predominantly of loans secured by recreational vehicles and boats) and, to a lesser extent, automobile loans that was partially offset by declines in outstanding balances of home equity loans and lines of credit.</w:t>
      </w:r>
    </w:p>
    <w:p>
      <w:pPr>
        <w:spacing w:after="0" w:line="6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Average loan and lease balances in the first quarter of 2021 increased $690 million from $98.7 billion in the fourth quarter of 2020. Commercial loan and lease average balances in the recent quarter were little changed from the fourth quarter of 2020, as higher loans to motor vehicle and recreational finance dealers were offset by lower average PPP loans. Average commercial real estate loans in the first quarter of 2021 declined $98 million from $37.7 billion in the fourth quarter of 2020. Commercial real estate loans held for sale averaged $307 million in the fourth quarter of 2020. Average balances of residential real estate loans in the recently completed quarter rose $643 million, or 4%, from $16.8 billion in 2020’s fourth quarter, predominantly reflecting a higher level of repurchases of government-guaranteed loans. Purchased government-guaranteed loans averaged $2.6 billion in 2020’s fourth quarter. Residential real estate loans held for sale averaged $645 million in the fourth quarter of 2020. Average consumer loans in the recent quarter increased $136 million, or 1%, from $16.5 billion in 2020’s fourth quarter, reflecting growth in recreational finance and automobile loans. The accompanying table summarizes quarterly changes in the major components of the loan and lease portfolio.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Percent Increase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1st Qtr.</w:t>
            </w:r>
          </w:p>
        </w:tc>
        <w:tc>
          <w:tcPr>
            <w:tcW w:w="18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(Decrease) from</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1st Qtr.</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rPr>
              <w:t>4th Qtr.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37,609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consumer</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7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99,356</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investment securities portfolio averaged $6.6 billion in the first quarter of 2021, down $2.5 billion, or 27%, from $9.1 billion in the year-earlier quarter and $590 million lower than the $7.2 billion averaged in the fourth quarter of 2020. The lower average balance in the recent quarter as compared with the first and fourth quarters of 2020 predominantly reflects pay downs of mortgage-backed securities. The Company purchased $200 million of fixed rate residential mortgage-backed securities in March 2021. There were no other significant purchases and there were no significant sales of investment securities during three-month periods ended March 31, 2021, March 31, 2020 or December 31, 2020. The Company routinely has increases and decreases in its holdings of capital stock of the Federal Home Loan Bank (“FHLB”) of New York and the Federal Reserve Bank of New York. Those holdings are accounted for at cost and are adjusted based on amounts of outstanding borrowings and available lines of credit with those entities.</w:t>
      </w:r>
    </w:p>
    <w:p>
      <w:pPr>
        <w:spacing w:after="0" w:line="5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4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Fair value changes in equity securities with readily determinable fair values are recognized in the consolidated statement of income. Net unrealized losses on such equity securities were $12 million and $21 million in the first quarters of 2021 and 2020, respectively, compared with net unrealized gains of $2 million in the final quarter of 2020. Those gains and losses were predominantly related to the Company’s holdings of Fannie Mae and Freddie Mac preferred stock.</w:t>
      </w:r>
    </w:p>
    <w:p>
      <w:pPr>
        <w:spacing w:after="0" w:line="78"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first quarters of 2021 or 2020 or in the final 2020 quarter. Based on management’s assessment of future cash flows associated with individual investment securities as of March 31, 2021, the Company did not expect to incur any material credit-related losses in its portfolios of debt investment securities. Additional information about the investment securities portfolio is included in notes 3 and 12 of Notes to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0" w:name="page51"/>
    <w:bookmarkEnd w:id="50"/>
    <w:p>
      <w:pPr>
        <w:jc w:val="both"/>
        <w:ind w:firstLine="510"/>
        <w:spacing w:after="0" w:line="272" w:lineRule="auto"/>
        <w:rPr>
          <w:sz w:val="20"/>
          <w:szCs w:val="20"/>
          <w:color w:val="auto"/>
        </w:rPr>
      </w:pPr>
      <w:r>
        <w:rPr>
          <w:rFonts w:ascii="Arial" w:cs="Arial" w:eastAsia="Arial" w:hAnsi="Arial"/>
          <w:sz w:val="19"/>
          <w:szCs w:val="19"/>
          <w:color w:val="auto"/>
        </w:rPr>
        <w:t>Other earning assets include interest-bearing deposits at the Federal Reserve Bank of New York and other banks, trading account assets, federal funds sold and agreements to resell securities. Those other earning assets in the aggregate averaged $28.4 billion in the recently completed quarter, compared with $7.4 billion in the first quarter of 2020 and $26.1 billion in the final quarter of 2020. Interest-bearing deposits at banks averaged $27.7 billion, $6.1 billion and $22.2 billion during the three months ended March 31, 2021, March 31, 2020 and December 31, 2020,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 The higher balances in the two most recent quarters compared with the year-earlier period reflect increased commercial and consumer deposit balances. Agreements to resell securities averaged $678 million, $1.2 billion and $3.8 billion for the quarters ended March 31, 2021, March 31, 2020 and December 31, 2020, respectively.</w:t>
      </w:r>
    </w:p>
    <w:p>
      <w:pPr>
        <w:spacing w:after="0" w:line="62"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As a result of the changes described herein, average earning assets totaled $134.4 billion in the most recent quarter, compared with $108.2 billion and $131.9 billion in the first and fourth quarters of 2020, respectively.</w:t>
      </w:r>
    </w:p>
    <w:p>
      <w:pPr>
        <w:spacing w:after="0" w:line="63"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$120.2 billion in the first quarter of 2021, up 32% from $90.9 billion in the similar 2020 quarter. The increase in average core deposits in the recent quarter as compared with the first quarter of 2020 reflected higher balances of noninterest-bearing deposits and savings and interest-checking deposits. Average balances of savings and interest-checking core deposits rose $12.4 billion or 23% to $66.0 billion in the first 2021 quarter from $53.6 billion in the year-earlier quarter. Average noninterest-bearing deposits increased $18.4 billion or 57% to $50.9 billion in the recent quarter from $32.5 billion in the first 2020 quarter. Those increases were largely due to higher average deposits of commercial customers, but also reflect higher levels of consumer deposits and deposits associated with residential mortgage servicing activities. Average core deposits were $115.2 billion in the fourth quarter of 2020. Average savings and interest-checking core deposits increased $1.4 billion or 2% in the first 2021 quarter from $64.7 billion in the immediately preceding quarter. Average noninterest-bearing deposits in the recent quarter were $4.0 billion or 8% higher than the fourth quarter 2020 average of $46.9 billion, reflecting higher levels of liquidity being maintained by many commercial and consumer customers. The following table provides an analysis of quarterly changes in the components of average core deposits.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1st Qtr.</w:t>
            </w:r>
          </w:p>
        </w:tc>
        <w:tc>
          <w:tcPr>
            <w:tcW w:w="22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7" w:lineRule="exact"/>
              <w:rPr>
                <w:sz w:val="20"/>
                <w:szCs w:val="20"/>
                <w:color w:val="auto"/>
              </w:rPr>
            </w:pPr>
            <w:r>
              <w:rPr>
                <w:rFonts w:ascii="Arial" w:cs="Arial" w:eastAsia="Arial" w:hAnsi="Arial"/>
                <w:sz w:val="14"/>
                <w:szCs w:val="14"/>
                <w:b w:val="1"/>
                <w:bCs w:val="1"/>
                <w:color w:val="auto"/>
              </w:rPr>
              <w:t>1st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96"/>
              <w:spacing w:after="0" w:line="147" w:lineRule="exact"/>
              <w:rPr>
                <w:sz w:val="20"/>
                <w:szCs w:val="20"/>
                <w:color w:val="auto"/>
              </w:rPr>
            </w:pPr>
            <w:r>
              <w:rPr>
                <w:rFonts w:ascii="Arial" w:cs="Arial" w:eastAsia="Arial" w:hAnsi="Arial"/>
                <w:sz w:val="14"/>
                <w:szCs w:val="14"/>
                <w:b w:val="1"/>
                <w:bCs w:val="1"/>
                <w:color w:val="auto"/>
              </w:rPr>
              <w:t>4th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540" w:type="dxa"/>
            <w:vAlign w:val="bottom"/>
            <w:gridSpan w:val="4"/>
          </w:tcPr>
          <w:p>
            <w:pPr>
              <w:ind w:left="14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24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5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66,036</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50,860</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120,152</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$477 million in the recent quarter, compared with $872 million in the first quarter of 2020 and $521 million in the fourth 2020 quarter. The decreases in such deposits since the first quarter of 2020 were predominantly the result of maturities of higher-rate time deposits. Cayman Islands office deposits averaged $683 million for the quarter ended March 31, 2021, compared with $1.7 billion for the quarter ended March 31, 2020 and $826 million for the quarter ended December 31, 2020. The decreases in such deposits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1" w:name="page52"/>
    <w:bookmarkEnd w:id="51"/>
    <w:p>
      <w:pPr>
        <w:jc w:val="both"/>
        <w:spacing w:after="0" w:line="249" w:lineRule="auto"/>
        <w:rPr>
          <w:sz w:val="20"/>
          <w:szCs w:val="20"/>
          <w:color w:val="auto"/>
        </w:rPr>
      </w:pPr>
      <w:r>
        <w:rPr>
          <w:rFonts w:ascii="Arial" w:cs="Arial" w:eastAsia="Arial" w:hAnsi="Arial"/>
          <w:sz w:val="21"/>
          <w:szCs w:val="21"/>
          <w:color w:val="auto"/>
        </w:rPr>
        <w:t>the two most recent quarters as compared with the first quarter of 2020 reflect customer reaction to the declines in short-term interest rates that followed actions by the Federal Reserve in March 2020. The Company had brokered savings and interest-bearing transaction accounts, which in the aggregate averaged $4.4 billion during each of the recent quarter and the fourth quarter of 2020, compared with $2.7 billion in the first quarter of 2020.</w:t>
      </w:r>
    </w:p>
    <w:p>
      <w:pPr>
        <w:spacing w:after="0" w:line="78" w:lineRule="exact"/>
        <w:rPr>
          <w:sz w:val="20"/>
          <w:szCs w:val="20"/>
          <w:color w:val="auto"/>
        </w:rPr>
      </w:pPr>
    </w:p>
    <w:p>
      <w:pPr>
        <w:ind w:right="340" w:firstLine="464"/>
        <w:spacing w:after="0" w:line="264" w:lineRule="auto"/>
        <w:rPr>
          <w:sz w:val="20"/>
          <w:szCs w:val="20"/>
          <w:color w:val="auto"/>
        </w:rPr>
      </w:pPr>
      <w:r>
        <w:rPr>
          <w:rFonts w:ascii="Arial" w:cs="Arial" w:eastAsia="Arial" w:hAnsi="Arial"/>
          <w:sz w:val="21"/>
          <w:szCs w:val="21"/>
          <w:color w:val="auto"/>
        </w:rPr>
        <w:t>The table below summarizes average total deposits for the quarters ended March 31, 2021, December 31, 2020 and March 31, 2020.</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AVERAGE DEPOSITS</w:t>
      </w: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9"/>
              </w:rPr>
              <w:t>Retail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2"/>
              <w:spacing w:after="0" w:line="154" w:lineRule="exact"/>
              <w:rPr>
                <w:sz w:val="20"/>
                <w:szCs w:val="20"/>
                <w:color w:val="auto"/>
              </w:rPr>
            </w:pPr>
            <w:r>
              <w:rPr>
                <w:rFonts w:ascii="Arial" w:cs="Arial" w:eastAsia="Arial" w:hAnsi="Arial"/>
                <w:sz w:val="14"/>
                <w:szCs w:val="14"/>
                <w:b w:val="1"/>
                <w:bCs w:val="1"/>
                <w:color w:val="auto"/>
                <w:w w:val="97"/>
              </w:rPr>
              <w:t>Commercial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125,733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December 31,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11,920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67,139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120,976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11,313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$62 million in the first quarter of 2021, compared with $58 million in the year-earlier quarter and $64 million in the fourth quarter of 2020.</w:t>
      </w:r>
    </w:p>
    <w:p>
      <w:pPr>
        <w:spacing w:after="0" w:line="49"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Long-term borrowings averaged $3.9 billion in the recent quarter, compared $6.2 billion in the first quarter of 2020 and $5.3 billion in the fourth quarter of 2020. Average balances of outstanding senior notes were $2.5 billion, $4.2 billion and $3.4 billion during the three months ended March 31, 2021, March 31, 2020 and December 31, 2020, respectively. In July 2020, M&amp;T Bank redeemed $750 million of fixed rate senior notes and in December 2020, redeemed $650 million of fixed rate senior notes that were due to mature on January 25, 2021. In addition, in January 2021, $350 million of variable rate senior notes matured. Subordinated capital notes included in long-term borrowings averaged $828 million in the three-month period ended March 31, 2021 and $1.4 billion in each of the three-month periods ended March 31, 2020 and December 31, 2020. On March 1, 2021, M&amp;T Bank redeemed $500 million of subordinated capital notes that were due to mature on December 1, 2021, and during December 2020, $409 million of subordinated capital notes matured. Junior subordinated debentures associated with trust preferred securities that were included in average long-term borrowings were $529 million, $525 million and $528 million during the first quarters of 2021 and 2020 and the final 2020 quarter, respectively. Additional information regarding junior subordinated debentures is provided in note 5 of Notes to Financial Statements.</w:t>
      </w:r>
    </w:p>
    <w:p>
      <w:pPr>
        <w:spacing w:after="0" w:line="8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Company has utilized interest rate swap agreements to modify the repricing characteristics of certain components of its loans and long-term debt. As of March 31, 2021, interest rate swap agreements were used as fair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2" w:name="page53"/>
    <w:bookmarkEnd w:id="52"/>
    <w:p>
      <w:pPr>
        <w:jc w:val="both"/>
        <w:spacing w:after="0" w:line="249" w:lineRule="auto"/>
        <w:rPr>
          <w:sz w:val="20"/>
          <w:szCs w:val="20"/>
          <w:color w:val="auto"/>
        </w:rPr>
      </w:pPr>
      <w:r>
        <w:rPr>
          <w:rFonts w:ascii="Arial" w:cs="Arial" w:eastAsia="Arial" w:hAnsi="Arial"/>
          <w:sz w:val="21"/>
          <w:szCs w:val="21"/>
          <w:color w:val="auto"/>
        </w:rPr>
        <w:t>value hedges of approximately $1.65 billion of outstanding fixed rate long-term borrowings. Additionally, interest rate swap agreements with a notional amount of $17.35 billion were used as cash flow hedges of interest payments associated with variable rate commercial real estate loans. Further information on interest rate swap agreements is provided herein and in note 10 of Notes to Financial Statements.</w:t>
      </w:r>
    </w:p>
    <w:p>
      <w:pPr>
        <w:spacing w:after="0" w:line="78"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2.90% in the recent quarter, compared with 3.35% in the initial 2020 quarter. The yield on earning assets during the first three months of 2021 was 3.08%, down 110 basis points from 4.18% in the similar 2020 period, while the rate paid on interest-bearing liabilities declined 65 basis points to .18% in the recent quarter from .83% in the year-earlier period. In the fourth quarter of 2020, the net interest spread was also 2.90%, the yield on earning assets was 3.15% and the rate paid on interest-bearing liabilities was .25%. The narrowing of the net interest spread in the two most recent quarters as compared with the initial quarter of 2020 period reflects the decreases in short-term interest rates initiated by the Federal Reserve during March 2020.</w:t>
      </w:r>
    </w:p>
    <w:p>
      <w:pPr>
        <w:spacing w:after="0" w:line="70"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8"/>
          <w:szCs w:val="18"/>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$55.6 billion in the first quarter of 2021, compared with $38.2 billion in the year-earlier quarter and $52.5 billion in the fourth 2020 quarter. The increase in average net interest-free funds in the two most recent quarters as compared with the initial 2020 quarter reflects higher average balances of noninterest-bearing deposits. Shareholders’ equity averaged $16.3 billion during the three-month period ended March 31, 2021, $15.7 billion during the year-earlier period and $16.2 billion during the three-month period ended December 31, 2020. Goodwill and core deposit and other intangible assets averaged $4.6 billion in each of the quarters noted herein. The cash surrender value of bank owned life insurance averaged $1.9 billion in the three-month period ended March 31, 2021 and $1.8 billion in each of the three-month periods ended March 31, 2020 and December 31, 2020. Increases in the cash surrender value of bank owned life insurance and benefits received are not included in interest income, but rather are recorded in “other revenues from operations.” The contribution of net interest-free funds to net interest margin was .07% in the first quarter of 2021, compared with</w:t>
      </w:r>
    </w:p>
    <w:p>
      <w:pPr>
        <w:spacing w:after="0" w:line="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.30% and .10% in the first quarter of 2020 and the fourth quarter of 2020, respectively. The reduced contribution of net interest-free funds to net interest margin in the two most recent quarters as compared with the first quarter of 2020 reflects the lower rates on interest-bearing liabilities used to value net interest-free funds.</w:t>
      </w:r>
    </w:p>
    <w:p>
      <w:pPr>
        <w:spacing w:after="0" w:line="86"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Reflecting the changes to the net interest spread and the contribution of net interest-free funds as described herein, the Company’s net interest margin was 2.97% in the first quarter of 2021, compared with 3.65% in the year-earlier period and 3.00% in the fourth quarter of 2020.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$19.0 billion (excluding $18.7 billion of forward-starting swap agreements) at March 31, 2021, $16.4 billion (excluding $41.8 billion of forward-starting swap agreements) at March 31, 2020 and $19.0 billion (excluding $32.1 billion of forward-starting swap agreements) at December 31, 2020. Under the terms of those interest rate swap agreements, the Company received payments based on the outstanding notional amount at fixed rates and made payments at variable rates. At each of March 31, 2021 and December 31, 2020, interest rate swap agreements with notional amounts of $17.35 billion were serving as cash flow hedges of interest payments associated with variable rate commercial real estate loans, compared with $13.35 billion at March 31, 2020. Interest rate swap agreements with notional amounts of $1.65 billion at each of March 31, 2021 and December 31, 2020 and $3.05 billion at March 31, 2020 were serving as fair value hedges of fixed rate long-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21"/>
          <w:szCs w:val="21"/>
          <w:color w:val="auto"/>
        </w:rPr>
        <w:t>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7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March 31, 2021, March 31, 2020 and December 31, 2020 were not material to the Company’s consolidated results of operations. Information regarding the fair value of interest rate swap agreements and hedge ineffectiveness is presented in note 10 of Notes to Financial Statements. Information regarding the effective portion of cash flow hedges is presented in note 9 of Notes to Financial Statements. The changes in the fair values of the interest rate swap agreements and the hedged items primarily result from the effects of changing interest rates and spreads.</w:t>
      </w:r>
    </w:p>
    <w:p>
      <w:pPr>
        <w:spacing w:after="0" w:line="6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weighted-average rates to be received and paid under interest rate swap agreements currently in effect were 1.89% and .17%, respectively, at March 31, 2021.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ind w:left="232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w w:val="96"/>
              </w:rPr>
              <w:t>Three Months Ended March 31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78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82,044</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32,041</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(8,647)</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(3,765)</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90,691</w:t>
            </w:r>
          </w:p>
        </w:tc>
        <w:tc>
          <w:tcPr>
            <w:tcW w:w="4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35,806</w:t>
            </w:r>
          </w:p>
        </w:tc>
        <w:tc>
          <w:tcPr>
            <w:tcW w:w="4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18,822,222</w:t>
            </w:r>
          </w:p>
        </w:tc>
        <w:tc>
          <w:tcPr>
            <w:tcW w:w="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16,650,549</w:t>
            </w:r>
          </w:p>
        </w:tc>
        <w:tc>
          <w:tcPr>
            <w:tcW w:w="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9" w:lineRule="exact"/>
        <w:rPr>
          <w:rFonts w:ascii="Arial" w:cs="Arial" w:eastAsia="Arial" w:hAnsi="Arial"/>
          <w:sz w:val="18"/>
          <w:szCs w:val="18"/>
          <w:i w:val="1"/>
          <w:iCs w:val="1"/>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10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7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4" w:name="page55"/>
    <w:bookmarkEnd w:id="54"/>
    <w:p>
      <w:pPr>
        <w:jc w:val="both"/>
        <w:spacing w:after="0" w:line="258" w:lineRule="auto"/>
        <w:rPr>
          <w:sz w:val="20"/>
          <w:szCs w:val="20"/>
          <w:color w:val="auto"/>
        </w:rPr>
      </w:pPr>
      <w:r>
        <w:rPr>
          <w:rFonts w:ascii="Arial" w:cs="Arial" w:eastAsia="Arial" w:hAnsi="Arial"/>
          <w:sz w:val="20"/>
          <w:szCs w:val="20"/>
          <w:color w:val="auto"/>
        </w:rPr>
        <w:t>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March 31, 2021 and December 31, 2020, long-term borrowings aggregated $3.5 billion and $4.4 billion, respectively.</w:t>
      </w:r>
    </w:p>
    <w:p>
      <w:pPr>
        <w:spacing w:after="0" w:line="7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Cayman Islands office deposits have been used by some customers of the Company as an alternative to other deposit and investment products. Cayman Islands office deposits totaled $642 million at March 31, 2021, $1.2 billion at March 31, 2020 and $652 million at December 31, 2020. The Company has also benefited from the placement of brokered deposits. The Company had brokered savings and interest-bearing checking deposit accounts which aggregated approximately $4.4 billion at March 31, 2021, $3.1 billion at March 31, 2020 and $4.5 billion at December 31, 2020. Brokered time deposits were not a significant source of funding as of those dates.</w:t>
      </w:r>
    </w:p>
    <w:p>
      <w:pPr>
        <w:spacing w:after="0" w:line="8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March 31, 2021 or December 31, 2020. The total amounts of VRDBs outstanding backed by M&amp;T Bank letters of credit were $725 million at each of March 31, 2021 and December 31, 2020, compared with $850 million at March 31, 2020. M&amp;T Bank also serves as remarketing agent for most of those bonds.</w:t>
      </w:r>
    </w:p>
    <w:p>
      <w:pPr>
        <w:spacing w:after="0" w:line="7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5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2021 approximately $969 million was available for payment of dividends to M&amp;T from bank subsidiaries. M&amp;T also may obtain funding through long-term borrowings. Outstanding senior notes of M&amp;T at March 31, 2021 and December 31, 2020 were $779 million and $783 million, respectively. Junior subordinated debentures of M&amp;T associated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trust preferred securities outstanding at March 31, 2021 and December 31, 2020 totaled $529 million and $528 million, respectively.</w:t>
      </w:r>
    </w:p>
    <w:p>
      <w:pPr>
        <w:spacing w:after="0" w:line="133"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4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March 31, 2021, the aggregate notional amount of interest rate swap agreements entered into for risk management purposes that were currently in effect was $19.0 billion. In addition, the Company has entered into $18.7 billion of forward-starting interest rate swap agreements.</w:t>
      </w:r>
    </w:p>
    <w:p>
      <w:pPr>
        <w:spacing w:after="0" w:line="66"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accompanying table as of March 31, 2021 and December 31, 2020 displays the estimated impact on net interest income in the base scenario described above resulting from parallel changes in interest rates across repricing categories during the first modeling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6" w:name="page57"/>
    <w:bookmarkEnd w:id="56"/>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tbl>
      <w:tblPr>
        <w:tblLayout w:type="fixed"/>
        <w:tblInd w:w="0" w:type="dxa"/>
        <w:tblCellMar>
          <w:top w:w="0" w:type="dxa"/>
          <w:left w:w="0" w:type="dxa"/>
          <w:bottom w:w="0" w:type="dxa"/>
          <w:right w:w="0" w:type="dxa"/>
        </w:tblCellMar>
      </w:tblPr>
      <w:tr>
        <w:trPr>
          <w:trHeight w:val="136"/>
        </w:trPr>
        <w:tc>
          <w:tcPr>
            <w:tcW w:w="15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gridSpan w:val="3"/>
          </w:tcPr>
          <w:p>
            <w:pPr>
              <w:jc w:val="center"/>
              <w:ind w:right="260"/>
              <w:spacing w:after="0" w:line="137" w:lineRule="exact"/>
              <w:rPr>
                <w:sz w:val="20"/>
                <w:szCs w:val="20"/>
                <w:color w:val="auto"/>
              </w:rPr>
            </w:pPr>
            <w:r>
              <w:rPr>
                <w:rFonts w:ascii="Arial" w:cs="Arial" w:eastAsia="Arial" w:hAnsi="Arial"/>
                <w:sz w:val="14"/>
                <w:szCs w:val="14"/>
                <w:b w:val="1"/>
                <w:bCs w:val="1"/>
                <w:color w:val="auto"/>
                <w:w w:val="91"/>
              </w:rPr>
              <w:t>Calculated Increase (Decrease)</w:t>
            </w:r>
          </w:p>
        </w:tc>
      </w:tr>
      <w:tr>
        <w:trPr>
          <w:trHeight w:val="17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
          </w:tcPr>
          <w:p>
            <w:pPr>
              <w:jc w:val="center"/>
              <w:ind w:right="11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180" w:type="dxa"/>
            <w:vAlign w:val="bottom"/>
          </w:tcPr>
          <w:p>
            <w:pPr>
              <w:spacing w:after="0"/>
              <w:rPr>
                <w:sz w:val="18"/>
                <w:szCs w:val="18"/>
                <w:color w:val="auto"/>
              </w:rPr>
            </w:pPr>
          </w:p>
        </w:tc>
        <w:tc>
          <w:tcPr>
            <w:tcW w:w="152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2"/>
          </w:tcPr>
          <w:p>
            <w:pPr>
              <w:jc w:val="center"/>
              <w:ind w:right="9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r>
      <w:tr>
        <w:trPr>
          <w:trHeight w:val="273"/>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355,300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324,684</w:t>
            </w:r>
          </w:p>
        </w:tc>
        <w:tc>
          <w:tcPr>
            <w:tcW w:w="80" w:type="dxa"/>
            <w:vAlign w:val="bottom"/>
            <w:shd w:val="clear" w:color="auto" w:fill="CFF0FC"/>
          </w:tcPr>
          <w:p>
            <w:pPr>
              <w:spacing w:after="0"/>
              <w:rPr>
                <w:sz w:val="19"/>
                <w:szCs w:val="19"/>
                <w:color w:val="auto"/>
              </w:rPr>
            </w:pPr>
          </w:p>
        </w:tc>
      </w:tr>
      <w:tr>
        <w:trPr>
          <w:trHeight w:val="229"/>
        </w:trPr>
        <w:tc>
          <w:tcPr>
            <w:tcW w:w="5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8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Arial" w:cs="Arial" w:eastAsia="Arial" w:hAnsi="Arial"/>
                <w:sz w:val="18"/>
                <w:szCs w:val="18"/>
                <w:color w:val="auto"/>
              </w:rPr>
              <w:t>198,399</w:t>
            </w:r>
          </w:p>
        </w:tc>
        <w:tc>
          <w:tcPr>
            <w:tcW w:w="1480" w:type="dxa"/>
            <w:vAlign w:val="bottom"/>
          </w:tcPr>
          <w:p>
            <w:pPr>
              <w:jc w:val="right"/>
              <w:spacing w:after="0"/>
              <w:rPr>
                <w:sz w:val="20"/>
                <w:szCs w:val="20"/>
                <w:color w:val="auto"/>
              </w:rPr>
            </w:pPr>
            <w:r>
              <w:rPr>
                <w:rFonts w:ascii="Arial" w:cs="Arial" w:eastAsia="Arial" w:hAnsi="Arial"/>
                <w:sz w:val="18"/>
                <w:szCs w:val="18"/>
                <w:color w:val="auto"/>
              </w:rPr>
              <w:t>182,661</w:t>
            </w: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(73,650)</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(61,792)</w:t>
            </w:r>
          </w:p>
        </w:tc>
      </w:tr>
    </w:tbl>
    <w:p>
      <w:pPr>
        <w:spacing w:after="0" w:line="9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2" w:lineRule="exact"/>
        <w:rPr>
          <w:sz w:val="20"/>
          <w:szCs w:val="20"/>
          <w:color w:val="auto"/>
        </w:rPr>
      </w:pPr>
    </w:p>
    <w:p>
      <w:pPr>
        <w:jc w:val="both"/>
        <w:ind w:firstLine="510"/>
        <w:spacing w:after="0" w:line="315"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12 of Notes to Financial Statements.</w:t>
      </w:r>
    </w:p>
    <w:p>
      <w:pPr>
        <w:spacing w:after="0" w:line="2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62"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notional amounts of interest rate contracts entered into for trading account purposes totaled $36.2 billion at March 31, 2021, $36.7 billion at March 31, 2020 and $37.8 billion at December 31, 2020. The notional amounts of foreign currency and other option and futures contracts entered into for trading account purposes were $910 million at March 31, 2021, compared with $928 million at March 31, 2020 and $776 million at December 31, 2020.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$687 million and $95 million, respectively, at March 31, 2021 and $1.1 billion and $117 million, respectively, at December 31, 2020. The fair value asset and liability amounts at March 31, 2021 have been reduced by contractual settlements of $55 million and $502 million, respectively, and at December 31, 2020 have been reduced by contractual settlements of $6 million and $806 million, respectively. The lower balance of trading account assets at March 31, 2021 as compared with December 31, 2020 was largely the result of decreased values associated with interest rate swap agreements entered into with commercial customers that are not subject to periodic variation margin settlement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20"/>
          <w:szCs w:val="20"/>
          <w:color w:val="auto"/>
        </w:rPr>
        <w:t>payments. Included in trading account assets were assets related to deferred compensation plans aggregating $20 million at March 31, 2021, compared with $19 million March 31, 2020 and $21 million December 31, 2020. Changes in the fair values of such assets are recorded as “trading account and foreign exchange gains” in the consolidated statement of income. Included in “other liabilities” in the consolidated balance sheet at each of March 31, 2021 and December 31, 2020 were $24 million of liabilities related to deferred compensation plans, compared with $22 million at March 31, 2020.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each of March 31, 2021, March 31, 2020 and December 31, 2020.</w:t>
      </w:r>
    </w:p>
    <w:p>
      <w:pPr>
        <w:spacing w:after="0" w:line="7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 provision for credit losses is recorded to adjust the level of the allowance as deemed necessary by management. A provision for credit losses recapture was recorded in the first quarter of 2021 for $25 million, compared with provisions of $250 million in the year-earlier quarter and $75 million in the fourth quarter of 2020. The provision recapture in the recent quarter reflects improvements in macroeconomic forecasts at March 31, 2021 as compared with previous forecasts. Nevertheless, the impact of those improvements was cautiously evaluated given the somewhat uneven and incomplete recovery evident in the economy through the recent quarter-end. The level of the provisions in the 2020 quarters reflected projections of expected credit losses that were based on economic forecasts at those dates. The Company’s estimates of expected losses reflect the ongoing impacts of the COVID-19 pandemic on economic activity, concerns about commercial real estate values in the hospitality and office building sectors, and the ultimate collectability of real estate loans where borrowers requested repayment forbearance. Net charge-offs of loans were $75 million in the recent quarter, $49 million in the first quarter of 2020 and $97 million in the fourth quarter of 2020. Net charge-offs as an annualized percentage of average loans and leases were .31% in the first quarter of 2021, .22% in the year-earlier quarter and .39% in the final quarter of 2020. A summary of net charge-offs by loan type is presented in the table that follows.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92"/>
              </w:rPr>
              <w:t>First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tcPr>
          <w:p>
            <w:pPr>
              <w:jc w:val="center"/>
              <w:ind w:right="28"/>
              <w:spacing w:after="0" w:line="153" w:lineRule="exact"/>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center"/>
              <w:ind w:right="28"/>
              <w:spacing w:after="0" w:line="153" w:lineRule="exact"/>
              <w:rPr>
                <w:sz w:val="20"/>
                <w:szCs w:val="20"/>
                <w:color w:val="auto"/>
              </w:rPr>
            </w:pPr>
            <w:r>
              <w:rPr>
                <w:rFonts w:ascii="Arial" w:cs="Arial" w:eastAsia="Arial" w:hAnsi="Arial"/>
                <w:sz w:val="14"/>
                <w:szCs w:val="14"/>
                <w:b w:val="1"/>
                <w:bCs w:val="1"/>
                <w:color w:val="auto"/>
                <w:w w:val="94"/>
              </w:rPr>
              <w:t>Fourth</w:t>
            </w:r>
          </w:p>
        </w:tc>
        <w:tc>
          <w:tcPr>
            <w:tcW w:w="80" w:type="dxa"/>
            <w:vAlign w:val="bottom"/>
          </w:tcPr>
          <w:p>
            <w:pPr>
              <w:spacing w:after="0"/>
              <w:rPr>
                <w:sz w:val="13"/>
                <w:szCs w:val="13"/>
                <w:color w:val="auto"/>
              </w:rPr>
            </w:pPr>
          </w:p>
        </w:tc>
      </w:tr>
      <w:tr>
        <w:trPr>
          <w:trHeight w:val="148"/>
        </w:trPr>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71"/>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1080" w:type="dxa"/>
            <w:vAlign w:val="bottom"/>
            <w:tcBorders>
              <w:bottom w:val="single" w:sz="8" w:color="auto"/>
            </w:tcBorders>
            <w:gridSpan w:val="4"/>
          </w:tcPr>
          <w:p>
            <w:pPr>
              <w:jc w:val="center"/>
              <w:ind w:left="174"/>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r>
      <w:tr>
        <w:trPr>
          <w:trHeight w:val="225"/>
        </w:trPr>
        <w:tc>
          <w:tcPr>
            <w:tcW w:w="4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7"/>
        </w:trPr>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13,122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67,002</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Real estate:</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12,105</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3,428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(538)</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31,778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18,549</w:t>
            </w:r>
          </w:p>
        </w:tc>
        <w:tc>
          <w:tcPr>
            <w:tcW w:w="8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49,162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97,118</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higher levels of net charge-offs of commercial loans in the fourth quarter of 2020 and commercial real estate loans in the first quarter of 2021 reflect the impact of the COVID-19 pandemic on borrowers’ abilities to repay loans associated with the retail, office building and hospitality sectors. Included in net charge-offs of consumer loans were net charge-offs of: automobile loans of $2 million in the recent quarter, $7 million in the first quarter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21"/>
          <w:szCs w:val="21"/>
          <w:color w:val="auto"/>
        </w:rPr>
        <w:t>2020 and $4 million in the final quarter of 2020; recreational finance loans of $7 million in the first quarter of 2021, $9 million in the year-earlier quarter and $8 million in the fourth 2020 quarter; and home equity loans and lines of credit secured by one-to-four family residential properties of $2 million in last year’s first quarter and less than $1 million in the final 2020 quarter, compared with net recoveries of less than $1 million in the initial 2021 quarter.</w:t>
      </w:r>
    </w:p>
    <w:p>
      <w:pPr>
        <w:spacing w:after="0" w:line="7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Nonaccrual loans aggregated $1.96 billion or 1.97% of total loans and leases outstanding at March 31, 2021, compared with $1.06 billion or 1.13% at March 31, 2020 and $1.89 billion or 1.92% at December 31, 2020. The higher level of nonaccrual loans at the past two quarter-ends as compared with March 31, 2020 reflects the continuing impact of the pandemic on borrowers’ ability to make contractual payments on their loans, most notably loans in the hospitality sector.</w:t>
      </w:r>
    </w:p>
    <w:p>
      <w:pPr>
        <w:spacing w:after="0" w:line="64"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Accruing loans past due 90 days or more were $1.08 billion or 1.09% of loans and leases at March 31, 2021, compared with $530 million or .56% at March 31, 2020 and $859 million or .87% of outstanding loans at December 31, 2020. Accruing loans past due 90 days or more included loans guaranteed by government-related entities of $1.04 billion, $464 million and $798 million at March 31, 2021, March 31, 2020 and December 31, 2020, respectively. Guaranteed loans included one-to-four family residential mortgage loans serviced by the Company that were 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$1.01 billion at March 31, 2021, $439 million a year earlier and $764 million at December 31, 2020. The remaining accruing loans past due 90 days or more not guaranteed by government-related entities were loans considered to be with creditworthy borrowers that were in the process of collection or renewal. In addition to the past due loans, the Company also has $2.4 billion of government-guaranteed residential mortgage loans that are not considered delinquent because the borrower has requested and received a COVID-19 related payment deferral. In general, those loans were also purchased to reduce associated servicing costs as described above and also remain covered by the insurance or guarantee of the applicable government-related entity, but are not considered to be past due in accordance with the accounting treatment afforded under the CARES Act and related regulatory and financial accounting guidance as described below and in note 1 of Notes to Financial Statements in M&amp;T’s 2020 Annual Report.</w:t>
      </w:r>
    </w:p>
    <w:p>
      <w:pPr>
        <w:spacing w:after="0" w:line="63"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Loans that were 30-89 days past due were $692 million at March 31, 2021, compared with $1.4 billion at March 31, 2020 and $662 million at December 31, 2020. The lower levels of such past due loans at March 31, 2021 and December 31, 2020 were a result of loan payments received, many of which resulted in return to current status, and migrations of loans to nonaccrual status. COVID-19 related payment deferral modifications resulted in such loans being classified as current in accordance with regulatory guidance and, as a result, did not contribute in incremental additions to loans categorized as 30-89 days past due.</w:t>
      </w:r>
    </w:p>
    <w:p>
      <w:pPr>
        <w:spacing w:after="0" w:line="5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United States has been operating under a state of emergency related to the COVID-19 pandemic since March 13, 2020. The direct and indirect effects of the COVID-19 pandemic resulted in a dramatic reduction in economic activity that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delinquent or as troubled debt restructurings. Modifications may include payment deferrals (including extensions of maturity dates), covenant waivers and fee waivers. The Company has worked with its customers affected by COVID-19 and, as previously noted, has granted modifications across many of its loan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20"/>
          <w:szCs w:val="20"/>
          <w:color w:val="auto"/>
        </w:rPr>
        <w:t>portfolios. To the extent that such modifications met the criteria previously described, such modifications have not been classified as delinquent or as troubled debt restructurings. A summary of loans for which COVID-19 forbearances have been granted and which are not considered impaired or past due is presented herein and in note 4 of Notes to Financial Statements.</w:t>
      </w:r>
    </w:p>
    <w:p>
      <w:pPr>
        <w:spacing w:after="0" w:line="58"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8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$417 million, $176 million and $342 million at March 31, 2021, March 31, 2020 and December 31, 2020, respectively.</w:t>
      </w:r>
    </w:p>
    <w:p>
      <w:pPr>
        <w:spacing w:after="0" w:line="8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Commercial loans and leases classified as nonaccrual totaled $295 million, $287 million and $307 million at March 31, 2021, March 31, 2020, and December 31, 2020, respectively. Commercial real estate loans in nonaccrual status aggregated $952 million, $227 million and $891 million at March 31, 2021, March 31, 2020 and December 31, 2020, respectively. The increases in commercial real estate loans in nonaccrual status at the two most recent quarter-ends as compared with March 31, 2020 were largely due to the addition of $530 million of hotel loans in the second half of 2020.</w:t>
      </w:r>
    </w:p>
    <w:p>
      <w:pPr>
        <w:spacing w:after="0" w:line="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Nonaccrual residential real estate loans totaled $529 million at March 31, 2021, compared with $413 million at March 31, 2020, and $513 million at December 31, 2020. The increases at the two most recent quarter-ends as compared with the year-earlier date were largely reflective of the effect of recent economic conditions on borrowers. Included in residential real estate loans classified as nonaccrual were limited documentation first mortgage loans of $143 million at March 31, 2021, compared with $119 million at March 31, 2020 and $147 million at December 31, 2020.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$1.04 billion at March 31, 2021, compared with $474 million at March 31, 2020, and $793 million at December 31, 2020. Those amounts related to government-guaranteed loans as previously noted. Information about the location of nonaccrual and charged-off residential real estate loans as of and for the quarter ended March 31, 2021 is presented in the accompanying table.</w:t>
      </w:r>
    </w:p>
    <w:p>
      <w:pPr>
        <w:spacing w:after="0" w:line="72"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Nonaccrual consumer loans were $182 million at March 31, 2021, compared with $135 million at March 31, 2020 and $183 million at December 31, 2020. Included in nonaccrual consumer loans at March 31, 2021, March 31, 2020 and December 31, 2020 were: automobile loans of $38 million, $19 million, and $39 million, respectively; recreational finance loans of $27 million, $13 million, and $26 million, respectively; and outstanding balances of home equity loans and lines of credit of $79 million, $63 million, and $79 million, respectively. Information about the location of nonaccrual and charged-off home equity loans and lines of credit as of and for the quarter ended March 31, 2021 is presented in the accompanying table.</w:t>
      </w:r>
    </w:p>
    <w:p>
      <w:pPr>
        <w:spacing w:after="0" w:line="71"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past due and nonaccrual loans as of March 31, 2021 and December 31, 2020 is also included in note 4 of Notes to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8"/>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March 31, 2021</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5"/>
              </w:rPr>
              <w:t>March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3"/>
                <w:szCs w:val="13"/>
                <w:b w:val="1"/>
                <w:bCs w:val="1"/>
                <w:color w:val="auto"/>
              </w:rPr>
              <w:t>Nonaccrual</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3"/>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99"/>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Balances</w:t>
            </w: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1"/>
              </w:rPr>
              <w:t>Balances</w:t>
            </w: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5,200,203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141,164</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479</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1,086,503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14,167</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1,431,249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18,677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2,693,751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98,043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(105)</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1,231,129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20,748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4,100,034</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92,329</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15,742,869</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385,128</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2.45%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724</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20,716</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.70%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10,865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5,522</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75,270</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380</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700,474</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62,940</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8.99%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30,707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5,351</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17,787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563,583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46,384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16,025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202,968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24,266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(381)</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1,531,544</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143,069</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9.34%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(358)</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975,698</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17,912</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1.84%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593,748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477,952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11,422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72,202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166,160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2,778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30,766</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1,222</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2,316,526</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44,897</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1.94%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577,053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15,194</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2.63%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204,839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(115)</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398,677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10,053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(86)</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93,556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(1,168)</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180,941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4,276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(43)</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40,093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(94)</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1,495,159</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34,104</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2.28%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(1,460)</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407</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5.16%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2,157</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4,118</w:t>
            </w:r>
          </w:p>
        </w:tc>
        <w:tc>
          <w:tcPr>
            <w:tcW w:w="30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187</w:t>
            </w:r>
          </w:p>
        </w:tc>
        <w:tc>
          <w:tcPr>
            <w:tcW w:w="300" w:type="dxa"/>
            <w:vAlign w:val="bottom"/>
          </w:tcPr>
          <w:p>
            <w:pPr>
              <w:spacing w:after="0"/>
              <w:rPr>
                <w:sz w:val="13"/>
                <w:szCs w:val="13"/>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4.54%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Includes Delaware, Virginia, West Virginia and the District of Columbia.</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1" w:name="page62"/>
    <w:bookmarkEnd w:id="61"/>
    <w:p>
      <w:pPr>
        <w:jc w:val="both"/>
        <w:ind w:firstLine="510"/>
        <w:spacing w:after="0" w:line="279" w:lineRule="auto"/>
        <w:rPr>
          <w:sz w:val="20"/>
          <w:szCs w:val="20"/>
          <w:color w:val="auto"/>
        </w:rPr>
      </w:pPr>
      <w:r>
        <w:rPr>
          <w:rFonts w:ascii="Arial" w:cs="Arial" w:eastAsia="Arial" w:hAnsi="Arial"/>
          <w:sz w:val="19"/>
          <w:szCs w:val="19"/>
          <w:color w:val="auto"/>
        </w:rPr>
        <w:t>Real estate and other foreclosed assets totaled $30 million at March 31, 2021, compared with $84 million at March 31, 2020 and $35 million at December 31, 2020. The decline from March 31, 2020 is largely reflective of foreclosure moratoriums imposed by government authorities in numerous jurisdictions. Net gains or losses associated with real estate and other foreclosed assets were not material during the three-months ended March 31, 2021, March 31, 2020 and December 31, 2020. At March 31, 2021, the Company’s holdings of residential real estate-related properties comprised approximately 81% of foreclosed assets.</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2020 Quarters</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8"/>
              </w:rPr>
              <w:t>First</w:t>
            </w:r>
          </w:p>
        </w:tc>
        <w:tc>
          <w:tcPr>
            <w:tcW w:w="360" w:type="dxa"/>
            <w:vAlign w:val="bottom"/>
          </w:tcPr>
          <w:p>
            <w:pPr>
              <w:spacing w:after="0"/>
              <w:rPr>
                <w:sz w:val="11"/>
                <w:szCs w:val="11"/>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1"/>
                <w:szCs w:val="11"/>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Second</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5360" w:type="dxa"/>
            <w:vAlign w:val="bottom"/>
          </w:tcPr>
          <w:p>
            <w:pPr>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1,957,106</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1,893,299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1,239,972</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1,156,650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1,061,748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29,797</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49,872</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66,763</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1,986,903</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1,927,967</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1,289,844</w:t>
            </w:r>
          </w:p>
        </w:tc>
        <w:tc>
          <w:tcPr>
            <w:tcW w:w="36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1,223,413</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1,145,353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1,084,553</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527,258</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535,755</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530,317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51,668</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45,975</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1,044,599</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798,121</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505,446</w:t>
            </w:r>
          </w:p>
        </w:tc>
        <w:tc>
          <w:tcPr>
            <w:tcW w:w="36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454,269</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464,243</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242,121</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238,994</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242,581</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234,768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232,439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w:t>
            </w: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real estate loans.</w:t>
      </w:r>
    </w:p>
    <w:p>
      <w:pPr>
        <w:spacing w:after="0" w:line="118"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At the time of the Company’s analysis regarding the determination of the allowance for credit losses as of March 31, 2021, concerns existed about the somewhat uneven and incomplete recovery evident in the economy related to the COVID-19 pandemic, despite recent improvements in macroeconomic forecasts; the ultimate effectiveness of economic stimulus being provided by the U.S. government; the volatile nature of global markets, including the impact international economic conditions could have on the U.S. economy; Federal Reserve positioning of monetary policy; the extent to which additional repayment forbearance might be requested by borrowers, in particular commercial real estate borrowers; and continued stagnant population and economic growth in the upstate New York and central Pennsylvania regions (approximately 49% of the Company’s loans and leases are to customers in New York State and Pennsylvania) that could see lingering effects of the economic downturn. The Company utilizes a loan grading system to differentiate risk amongst its commercial loans and commercial real estate loans. Loans with a lower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20"/>
          <w:szCs w:val="20"/>
          <w:color w:val="auto"/>
        </w:rPr>
        <w:t>expectation of default are assigned one of ten possible “pass” loan grades and through the loss estimation modeling and other techniques used by the Company are generally considered to possess lower expected losses when determining the allowance for credit losses. Loans with an elevated level of credit risk are classified as “criticized” and are ascribed higher expected loss amounts when determining the allowance for credit losses. A criticized loan may be classified as “nonaccrual” if the Company no longer expects to collect all amounts according to the contractual terms of the loan agreement or the loan is delinquent 90 days or more. During 2021 and 2020, the Company re-graded significant portions of its commercial loans and commercial real estate loans, particularly those that were affected by COVID-19 impacts. Criticized commercial loans and commercial real estate loans totaled $8.4 billion at March 31, 2021, compared with $2.4 billion at March 31, 2020, and $7.2 billion at December 31, 2020. The rise in criticized loans at the two most recent quarter-ends as compared to March 31, 2020 reflects the impact of the pandemic on borrowers’ financial condition and the continuing re-grading of loans by the Company.</w:t>
      </w:r>
    </w:p>
    <w:p>
      <w:pPr>
        <w:spacing w:after="0" w:line="75"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The COVID-19 pandemic and related governmental responses led to a significant reduction in economic activity that has been detrimental to many borrowers across the Company’s geographic regions. Borrowers have been and will likely continue to be adversely impacted by the economic effects of the COVID-19 pandemic. Summaries of loans outstanding as of March 31, 2021 for which borrowers have been granted a COVID-19 related forbearance and loans extended under the PPP are provided in the accompanying table. Of the COVID-19 related modifications with payment deferrals at March 31, 2021, substantially all are scheduled to expire during 2021.</w:t>
      </w:r>
    </w:p>
    <w:p>
      <w:pPr>
        <w:spacing w:after="0" w:line="81"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9"/>
          <w:szCs w:val="19"/>
          <w:color w:val="auto"/>
        </w:rPr>
        <w:t>As commercial loans and commercial real estate loans were approved for modifications related to COVID-19, loan officers and credit department personnel reviewed and reassigned loan grades, as deemed appropriate. The Company assessed loans considering the creditworthiness of the borrower, collateral values, the financial condition of any guarantors, and the expected collectability of contractual principal and interest payments. Loan-to-collateral values on investor-owned loans are generally relatively low and oftentimes the loans include some form of recourse. Loans secured by residential real estate with a COVID-19 payment forbearance were evaluated for collectability based on the borrower’s ability to repay considering past performance and estimated collateral values. If collectability was considered doubtful, loans were classified as nonaccrual.</w:t>
      </w:r>
    </w:p>
    <w:p>
      <w:pPr>
        <w:spacing w:after="0" w:line="5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The Company re-assessed its loan grades for those borrowers most impacted by COVID-19 in 2020 and expects that loans will continue to be regraded in subsequent periods as more information becomes available. At least annually, however,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3" w:name="page64"/>
    <w:bookmarkEnd w:id="63"/>
    <w:p>
      <w:pPr>
        <w:spacing w:after="0"/>
        <w:rPr>
          <w:sz w:val="20"/>
          <w:szCs w:val="20"/>
          <w:color w:val="auto"/>
        </w:rPr>
      </w:pPr>
      <w:r>
        <w:rPr>
          <w:rFonts w:ascii="Arial" w:cs="Arial" w:eastAsia="Arial" w:hAnsi="Arial"/>
          <w:sz w:val="21"/>
          <w:szCs w:val="21"/>
          <w:color w:val="auto"/>
        </w:rPr>
        <w:t>COVID-19 RELATED LOANS AND LEASES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100"/>
              <w:spacing w:after="0" w:line="155" w:lineRule="exact"/>
              <w:rPr>
                <w:sz w:val="20"/>
                <w:szCs w:val="20"/>
                <w:color w:val="auto"/>
              </w:rPr>
            </w:pPr>
            <w:r>
              <w:rPr>
                <w:rFonts w:ascii="Arial" w:cs="Arial" w:eastAsia="Arial" w:hAnsi="Arial"/>
                <w:sz w:val="14"/>
                <w:szCs w:val="14"/>
                <w:b w:val="1"/>
                <w:bCs w:val="1"/>
                <w:color w:val="auto"/>
              </w:rPr>
              <w:t>COVID-19 Forbearance</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PPP</w:t>
            </w:r>
          </w:p>
        </w:tc>
        <w:tc>
          <w:tcPr>
            <w:tcW w:w="12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Payment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rPr>
              <w:t>Other</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20" w:type="dxa"/>
            <w:vAlign w:val="bottom"/>
            <w:gridSpan w:val="4"/>
          </w:tcPr>
          <w:p>
            <w:pPr>
              <w:spacing w:after="0" w:line="158" w:lineRule="exact"/>
              <w:rPr>
                <w:sz w:val="20"/>
                <w:szCs w:val="20"/>
                <w:color w:val="auto"/>
              </w:rPr>
            </w:pPr>
            <w:r>
              <w:rPr>
                <w:rFonts w:ascii="Arial" w:cs="Arial" w:eastAsia="Arial" w:hAnsi="Arial"/>
                <w:sz w:val="14"/>
                <w:szCs w:val="14"/>
                <w:color w:val="auto"/>
              </w:rPr>
              <w:t>Commercial, financial, leasing, etc.</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Deferrals</w:t>
            </w:r>
            <w:r>
              <w:rPr>
                <w:rFonts w:ascii="Arial" w:cs="Arial" w:eastAsia="Arial" w:hAnsi="Arial"/>
                <w:sz w:val="12"/>
                <w:szCs w:val="12"/>
                <w:b w:val="1"/>
                <w:bCs w:val="1"/>
                <w:color w:val="auto"/>
              </w:rPr>
              <w:t>(a)</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Forbearances</w:t>
            </w:r>
            <w:r>
              <w:rPr>
                <w:rFonts w:ascii="Arial" w:cs="Arial" w:eastAsia="Arial" w:hAnsi="Arial"/>
                <w:sz w:val="12"/>
                <w:szCs w:val="12"/>
                <w:b w:val="1"/>
                <w:bCs w:val="1"/>
                <w:color w:val="auto"/>
                <w:w w:val="91"/>
              </w:rPr>
              <w:t>(b)</w:t>
            </w:r>
          </w:p>
        </w:tc>
        <w:tc>
          <w:tcPr>
            <w:tcW w:w="7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140"/>
              <w:spacing w:after="0"/>
              <w:rPr>
                <w:sz w:val="20"/>
                <w:szCs w:val="20"/>
                <w:color w:val="auto"/>
              </w:rPr>
            </w:pPr>
            <w:r>
              <w:rPr>
                <w:rFonts w:ascii="Arial" w:cs="Arial" w:eastAsia="Arial" w:hAnsi="Arial"/>
                <w:sz w:val="14"/>
                <w:szCs w:val="14"/>
                <w:color w:val="auto"/>
              </w:rPr>
              <w:t>Industry</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Services</w:t>
            </w: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5,519</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1,895</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14"/>
                <w:szCs w:val="14"/>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gridSpan w:val="4"/>
            <w:shd w:val="clear" w:color="auto" w:fill="CFF0FC"/>
          </w:tcPr>
          <w:p>
            <w:pPr>
              <w:ind w:left="380"/>
              <w:spacing w:after="0" w:line="143" w:lineRule="exact"/>
              <w:rPr>
                <w:sz w:val="20"/>
                <w:szCs w:val="20"/>
                <w:color w:val="auto"/>
              </w:rPr>
            </w:pPr>
            <w:r>
              <w:rPr>
                <w:rFonts w:ascii="Arial" w:cs="Arial" w:eastAsia="Arial" w:hAnsi="Arial"/>
                <w:sz w:val="14"/>
                <w:szCs w:val="14"/>
                <w:color w:val="auto"/>
              </w:rPr>
              <w:t>Motor vehicle and recreational</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finance dealers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4,319</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Manufacturing</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3,664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Wholesale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2,188</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Construction</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Financial and insurance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Health services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2,028</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Retail</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Real estate investors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gridSpan w:val="4"/>
            <w:shd w:val="clear" w:color="auto" w:fill="CFF0FC"/>
          </w:tcPr>
          <w:p>
            <w:pPr>
              <w:ind w:left="380"/>
              <w:spacing w:after="0" w:line="143" w:lineRule="exact"/>
              <w:rPr>
                <w:sz w:val="20"/>
                <w:szCs w:val="20"/>
                <w:color w:val="auto"/>
              </w:rPr>
            </w:pPr>
            <w:r>
              <w:rPr>
                <w:rFonts w:ascii="Arial" w:cs="Arial" w:eastAsia="Arial" w:hAnsi="Arial"/>
                <w:sz w:val="14"/>
                <w:szCs w:val="14"/>
                <w:color w:val="auto"/>
              </w:rPr>
              <w:t>Transportation, communications,</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utilities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CFF0FC"/>
            </w:tcBorders>
            <w:gridSpan w:val="4"/>
            <w:shd w:val="clear" w:color="auto" w:fill="CFF0FC"/>
          </w:tcPr>
          <w:p>
            <w:pPr>
              <w:spacing w:after="0" w:line="155" w:lineRule="exact"/>
              <w:rPr>
                <w:sz w:val="20"/>
                <w:szCs w:val="20"/>
                <w:color w:val="auto"/>
              </w:rPr>
            </w:pPr>
            <w:r>
              <w:rPr>
                <w:rFonts w:ascii="Arial" w:cs="Arial" w:eastAsia="Arial" w:hAnsi="Arial"/>
                <w:sz w:val="14"/>
                <w:szCs w:val="14"/>
                <w:color w:val="auto"/>
              </w:rPr>
              <w:t>Total commercial, financial, leasing, etc.</w:t>
            </w:r>
          </w:p>
        </w:tc>
        <w:tc>
          <w:tcPr>
            <w:tcW w:w="4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27,811</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6,155</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w:t>
            </w: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3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w:t>
            </w: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Commercial real estate</w:t>
            </w:r>
          </w:p>
        </w:tc>
        <w:tc>
          <w:tcPr>
            <w:tcW w:w="14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ind w:left="140"/>
              <w:spacing w:after="0" w:line="155" w:lineRule="exact"/>
              <w:rPr>
                <w:sz w:val="20"/>
                <w:szCs w:val="20"/>
                <w:color w:val="auto"/>
              </w:rPr>
            </w:pPr>
            <w:r>
              <w:rPr>
                <w:rFonts w:ascii="Arial" w:cs="Arial" w:eastAsia="Arial" w:hAnsi="Arial"/>
                <w:sz w:val="14"/>
                <w:szCs w:val="14"/>
                <w:color w:val="auto"/>
              </w:rPr>
              <w:t>Investor-owned</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260"/>
              <w:spacing w:after="0"/>
              <w:rPr>
                <w:sz w:val="20"/>
                <w:szCs w:val="20"/>
                <w:color w:val="auto"/>
              </w:rPr>
            </w:pPr>
            <w:r>
              <w:rPr>
                <w:rFonts w:ascii="Arial" w:cs="Arial" w:eastAsia="Arial" w:hAnsi="Arial"/>
                <w:sz w:val="14"/>
                <w:szCs w:val="14"/>
                <w:color w:val="auto"/>
              </w:rPr>
              <w:t>Permanent finance by property type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Retail/Service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4,712</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Apartments/Multifamily</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4,452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Office</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Hotel</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Health facilities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2,521</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Industrial/Warehouse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gridSpan w:val="3"/>
          </w:tcPr>
          <w:p>
            <w:pPr>
              <w:ind w:left="20"/>
              <w:spacing w:after="0" w:line="155" w:lineRule="exact"/>
              <w:rPr>
                <w:sz w:val="20"/>
                <w:szCs w:val="20"/>
                <w:color w:val="auto"/>
              </w:rPr>
            </w:pPr>
            <w:r>
              <w:rPr>
                <w:rFonts w:ascii="Arial" w:cs="Arial" w:eastAsia="Arial" w:hAnsi="Arial"/>
                <w:sz w:val="14"/>
                <w:szCs w:val="14"/>
                <w:color w:val="auto"/>
              </w:rPr>
              <w:t>Total permanent</w:t>
            </w:r>
          </w:p>
        </w:tc>
        <w:tc>
          <w:tcPr>
            <w:tcW w:w="4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20,323</w:t>
            </w:r>
          </w:p>
        </w:tc>
        <w:tc>
          <w:tcPr>
            <w:tcW w:w="3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473</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w:t>
            </w:r>
          </w:p>
        </w:tc>
        <w:tc>
          <w:tcPr>
            <w:tcW w:w="3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w:t>
            </w:r>
          </w:p>
        </w:tc>
        <w:tc>
          <w:tcPr>
            <w:tcW w:w="100" w:type="dxa"/>
            <w:vAlign w:val="bottom"/>
            <w:tcBorders>
              <w:bottom w:val="single" w:sz="8" w:color="CFF0FC"/>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construction/development</w:t>
            </w:r>
          </w:p>
        </w:tc>
        <w:tc>
          <w:tcPr>
            <w:tcW w:w="4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9,659</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w:t>
            </w:r>
          </w:p>
        </w:tc>
        <w:tc>
          <w:tcPr>
            <w:tcW w:w="3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w:t>
            </w:r>
          </w:p>
        </w:tc>
        <w:tc>
          <w:tcPr>
            <w:tcW w:w="100" w:type="dxa"/>
            <w:vAlign w:val="bottom"/>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gridSpan w:val="3"/>
          </w:tcPr>
          <w:p>
            <w:pPr>
              <w:ind w:left="20"/>
              <w:spacing w:after="0" w:line="155" w:lineRule="exact"/>
              <w:rPr>
                <w:sz w:val="20"/>
                <w:szCs w:val="20"/>
                <w:color w:val="auto"/>
              </w:rPr>
            </w:pPr>
            <w:r>
              <w:rPr>
                <w:rFonts w:ascii="Arial" w:cs="Arial" w:eastAsia="Arial" w:hAnsi="Arial"/>
                <w:sz w:val="14"/>
                <w:szCs w:val="14"/>
                <w:color w:val="auto"/>
              </w:rPr>
              <w:t>Total investor-owned</w:t>
            </w:r>
          </w:p>
        </w:tc>
        <w:tc>
          <w:tcPr>
            <w:tcW w:w="4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29,982</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545</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998</w:t>
            </w:r>
          </w:p>
        </w:tc>
        <w:tc>
          <w:tcPr>
            <w:tcW w:w="100" w:type="dxa"/>
            <w:vAlign w:val="bottom"/>
            <w:tcBorders>
              <w:bottom w:val="single" w:sz="8" w:color="CFF0FC"/>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ind w:left="140"/>
              <w:spacing w:after="0" w:line="155" w:lineRule="exact"/>
              <w:rPr>
                <w:sz w:val="20"/>
                <w:szCs w:val="20"/>
                <w:color w:val="auto"/>
              </w:rPr>
            </w:pPr>
            <w:r>
              <w:rPr>
                <w:rFonts w:ascii="Arial" w:cs="Arial" w:eastAsia="Arial" w:hAnsi="Arial"/>
                <w:sz w:val="14"/>
                <w:szCs w:val="14"/>
                <w:color w:val="auto"/>
              </w:rPr>
              <w:t>Owner-occupied by industry</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 services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gridSpan w:val="4"/>
            <w:shd w:val="clear" w:color="auto" w:fill="CFF0FC"/>
          </w:tcPr>
          <w:p>
            <w:pPr>
              <w:ind w:left="380"/>
              <w:spacing w:after="0" w:line="143" w:lineRule="exact"/>
              <w:rPr>
                <w:sz w:val="20"/>
                <w:szCs w:val="20"/>
                <w:color w:val="auto"/>
              </w:rPr>
            </w:pPr>
            <w:r>
              <w:rPr>
                <w:rFonts w:ascii="Arial" w:cs="Arial" w:eastAsia="Arial" w:hAnsi="Arial"/>
                <w:sz w:val="14"/>
                <w:szCs w:val="14"/>
                <w:color w:val="auto"/>
              </w:rPr>
              <w:t>Motor vehicle and recreational</w:t>
            </w: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finance dealers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1,307</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Retail</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1,182</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Health services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Wholesale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Manufacturing</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 w:type="dxa"/>
            <w:vAlign w:val="bottom"/>
            <w:tcBorders>
              <w:top w:val="single" w:sz="8" w:color="CFF0FC"/>
            </w:tcBorders>
            <w:shd w:val="clear" w:color="auto" w:fill="CFF0FC"/>
          </w:tcPr>
          <w:p>
            <w:pPr>
              <w:spacing w:after="0"/>
              <w:rPr>
                <w:sz w:val="13"/>
                <w:szCs w:val="13"/>
                <w:color w:val="auto"/>
              </w:rPr>
            </w:pPr>
          </w:p>
        </w:tc>
        <w:tc>
          <w:tcPr>
            <w:tcW w:w="2220" w:type="dxa"/>
            <w:vAlign w:val="bottom"/>
            <w:tcBorders>
              <w:top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4"/>
                <w:szCs w:val="14"/>
                <w:color w:val="auto"/>
              </w:rPr>
              <w:t>Total owner-occupied</w:t>
            </w:r>
          </w:p>
        </w:tc>
        <w:tc>
          <w:tcPr>
            <w:tcW w:w="4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7,444</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3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bottom w:val="single" w:sz="8" w:color="CFF0FC"/>
            </w:tcBorders>
            <w:gridSpan w:val="4"/>
          </w:tcPr>
          <w:p>
            <w:pPr>
              <w:spacing w:after="0" w:line="155" w:lineRule="exact"/>
              <w:rPr>
                <w:sz w:val="20"/>
                <w:szCs w:val="20"/>
                <w:color w:val="auto"/>
              </w:rPr>
            </w:pPr>
            <w:r>
              <w:rPr>
                <w:rFonts w:ascii="Arial" w:cs="Arial" w:eastAsia="Arial" w:hAnsi="Arial"/>
                <w:sz w:val="14"/>
                <w:szCs w:val="14"/>
                <w:color w:val="auto"/>
              </w:rPr>
              <w:t>Total commercial real estate</w:t>
            </w:r>
          </w:p>
        </w:tc>
        <w:tc>
          <w:tcPr>
            <w:tcW w:w="4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37,426</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1,042</w:t>
            </w:r>
          </w:p>
        </w:tc>
        <w:tc>
          <w:tcPr>
            <w:tcW w:w="100" w:type="dxa"/>
            <w:vAlign w:val="bottom"/>
            <w:tcBorders>
              <w:bottom w:val="single" w:sz="8" w:color="CFF0FC"/>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Residential real estate</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17,350</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3,315</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(c)</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3,315</w:t>
            </w:r>
          </w:p>
        </w:tc>
        <w:tc>
          <w:tcPr>
            <w:tcW w:w="100" w:type="dxa"/>
            <w:vAlign w:val="bottom"/>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89"/>
              </w:rPr>
              <w:t>Consumer</w:t>
            </w:r>
          </w:p>
        </w:tc>
        <w:tc>
          <w:tcPr>
            <w:tcW w:w="222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20" w:type="dxa"/>
            <w:vAlign w:val="bottom"/>
            <w:gridSpan w:val="4"/>
            <w:shd w:val="clear" w:color="auto" w:fill="CFF0FC"/>
          </w:tcPr>
          <w:p>
            <w:pPr>
              <w:ind w:left="380"/>
              <w:spacing w:after="0" w:line="155" w:lineRule="exact"/>
              <w:rPr>
                <w:sz w:val="20"/>
                <w:szCs w:val="20"/>
                <w:color w:val="auto"/>
              </w:rPr>
            </w:pPr>
            <w:r>
              <w:rPr>
                <w:rFonts w:ascii="Arial" w:cs="Arial" w:eastAsia="Arial" w:hAnsi="Arial"/>
                <w:sz w:val="14"/>
                <w:szCs w:val="14"/>
                <w:color w:val="auto"/>
              </w:rPr>
              <w:t>Recreational finance</w:t>
            </w: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7,282</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Automobile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shd w:val="clear" w:color="auto" w:fill="CFF0FC"/>
          </w:tcPr>
          <w:p>
            <w:pPr>
              <w:ind w:left="380"/>
              <w:spacing w:after="0"/>
              <w:rPr>
                <w:sz w:val="20"/>
                <w:szCs w:val="20"/>
                <w:color w:val="auto"/>
              </w:rPr>
            </w:pPr>
            <w:r>
              <w:rPr>
                <w:rFonts w:ascii="Arial" w:cs="Arial" w:eastAsia="Arial" w:hAnsi="Arial"/>
                <w:sz w:val="14"/>
                <w:szCs w:val="14"/>
                <w:color w:val="auto"/>
              </w:rPr>
              <w:t>Homes equity lines and loans</w:t>
            </w: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gridSpan w:val="4"/>
          </w:tcPr>
          <w:p>
            <w:pPr>
              <w:ind w:left="380"/>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FF0FC"/>
            </w:tcBorders>
            <w:gridSpan w:val="4"/>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consumer</w:t>
            </w:r>
          </w:p>
        </w:tc>
        <w:tc>
          <w:tcPr>
            <w:tcW w:w="4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16,712</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gridSpan w:val="4"/>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99,299</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6,155</w:t>
            </w:r>
          </w:p>
        </w:tc>
        <w:tc>
          <w:tcPr>
            <w:tcW w:w="3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w:t>
            </w:r>
          </w:p>
        </w:tc>
        <w:tc>
          <w:tcPr>
            <w:tcW w:w="320" w:type="dxa"/>
            <w:vAlign w:val="bottom"/>
          </w:tcPr>
          <w:p>
            <w:pPr>
              <w:spacing w:after="0"/>
              <w:rPr>
                <w:sz w:val="13"/>
                <w:szCs w:val="13"/>
                <w:color w:val="auto"/>
              </w:rPr>
            </w:pPr>
          </w:p>
        </w:tc>
        <w:tc>
          <w:tcPr>
            <w:tcW w:w="7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4,633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40" w:type="dxa"/>
            <w:vAlign w:val="bottom"/>
            <w:gridSpan w:val="20"/>
          </w:tcPr>
          <w:p>
            <w:pPr>
              <w:ind w:left="60"/>
              <w:spacing w:after="0"/>
              <w:rPr>
                <w:sz w:val="20"/>
                <w:szCs w:val="20"/>
                <w:color w:val="auto"/>
              </w:rPr>
            </w:pPr>
            <w:r>
              <w:rPr>
                <w:rFonts w:ascii="Arial" w:cs="Arial" w:eastAsia="Arial" w:hAnsi="Arial"/>
                <w:sz w:val="18"/>
                <w:szCs w:val="18"/>
                <w:i w:val="1"/>
                <w:iCs w:val="1"/>
                <w:color w:val="auto"/>
                <w:w w:val="93"/>
              </w:rPr>
              <w:t>(a)  Represents accruing loans at March 31, 2021 for which a COVID-19 related payment deferral (including maturity extensions)</w:t>
            </w:r>
          </w:p>
        </w:tc>
        <w:tc>
          <w:tcPr>
            <w:tcW w:w="1300" w:type="dxa"/>
            <w:vAlign w:val="bottom"/>
            <w:gridSpan w:val="3"/>
          </w:tcPr>
          <w:p>
            <w:pPr>
              <w:ind w:left="20"/>
              <w:spacing w:after="0"/>
              <w:rPr>
                <w:sz w:val="20"/>
                <w:szCs w:val="20"/>
                <w:color w:val="auto"/>
              </w:rPr>
            </w:pPr>
            <w:r>
              <w:rPr>
                <w:rFonts w:ascii="Arial" w:cs="Arial" w:eastAsia="Arial" w:hAnsi="Arial"/>
                <w:sz w:val="18"/>
                <w:szCs w:val="18"/>
                <w:i w:val="1"/>
                <w:iCs w:val="1"/>
                <w:color w:val="auto"/>
                <w:w w:val="86"/>
              </w:rPr>
              <w:t>has been granted.</w:t>
            </w:r>
          </w:p>
        </w:tc>
        <w:tc>
          <w:tcPr>
            <w:tcW w:w="0" w:type="dxa"/>
            <w:vAlign w:val="bottom"/>
          </w:tcPr>
          <w:p>
            <w:pPr>
              <w:spacing w:after="0"/>
              <w:rPr>
                <w:sz w:val="1"/>
                <w:szCs w:val="1"/>
                <w:color w:val="auto"/>
              </w:rPr>
            </w:pPr>
          </w:p>
        </w:tc>
      </w:tr>
    </w:tbl>
    <w:p>
      <w:pPr>
        <w:ind w:left="420" w:hanging="358"/>
        <w:spacing w:after="0"/>
        <w:tabs>
          <w:tab w:leader="none" w:pos="4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420" w:hanging="358"/>
        <w:spacing w:after="0"/>
        <w:tabs>
          <w:tab w:leader="none" w:pos="4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$2.4 billion of government-guaranteed loans.</w:t>
      </w:r>
    </w:p>
    <w:p>
      <w:pPr>
        <w:spacing w:after="0" w:line="104"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4" w:name="page65"/>
    <w:bookmarkEnd w:id="64"/>
    <w:p>
      <w:pPr>
        <w:jc w:val="both"/>
        <w:spacing w:after="0" w:line="270" w:lineRule="auto"/>
        <w:rPr>
          <w:sz w:val="20"/>
          <w:szCs w:val="20"/>
          <w:color w:val="auto"/>
        </w:rPr>
      </w:pPr>
      <w:r>
        <w:rPr>
          <w:rFonts w:ascii="Arial" w:cs="Arial" w:eastAsia="Arial" w:hAnsi="Arial"/>
          <w:sz w:val="19"/>
          <w:szCs w:val="19"/>
          <w:color w:val="auto"/>
        </w:rPr>
        <w:t>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2021, approximately 61% of the Company’s home equity portfolio consisted of first lien loans and lines of credit. Of the remaining junior lien loans in the portfolio, approximately 60% (or approximately 23%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2021 approximately 84% of all outstanding balances of home equity lines of credit related to lines that were still in the draw period, the weighted-average remaining draw periods were approximately five years, and approximately 22%were making contractually allowed payments that do not include any repayment of principal.</w:t>
      </w:r>
    </w:p>
    <w:p>
      <w:pPr>
        <w:spacing w:after="0" w:line="6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March 31, 2021, March 31, 2020 and December 31, 2020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The assumptions utilized as of March 31, 2021 included a decrease in the unemployment rate in the first quarter of 2021 to approximately 6.2% from 6.8% at the end of the fourth quarter of 2020, followed by a gradual decrease of the unemployment rate through the first quarter of 2023 to 4.2%. The forecast assumes that GDP grows at a 6.3% annual rate during 2021 resulting in GDP returning to pre-pandemic levels during 2021.The commercial real estate price index was assumed to be flat from pre-pandemic levels over the next two years. Residential real estate prices were not assumed to fluctuate significantly. The forecast considered approved government stimulus through March 31, 2021, but not any further fiscal or monetary actions. The assumptions utilized as of December 31, 2020 included the national unemployment rate continuing at elevated levels, on average 6.9% through 2021, followed by a gradual return to long-term historical averages by the end of 2022. The forecast also assumed gross domestic product to grow at a 4.1% annual rate during 2021 resulting in a return to pre-pandemic levels by the end of 2022. Commercial real estate prices were assumed to decline by 6.8% in 2021, followed by improvement. Residential real estate prices were not assumed to fluctuate significantly. The forecast considered approved government stimulus at the end of 2020, but not any further fiscal or monetary actions. The forecast at March 31, 2020 reflected a sharp contraction of economic activity in the second quarter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20"/>
          <w:szCs w:val="20"/>
          <w:color w:val="auto"/>
        </w:rPr>
        <w:t>2020 resulting in a projected unemployment rate of 9.3% and an annualized rate of decrease in gross domestic product as low as 26.1%. The assumptions utilized were based on information available to the Company at or near March 31, 2021, December 31, 2020 and March 31, 2020 at the time it was preparing its estimate of expected credit losses as of those dates.</w:t>
      </w:r>
    </w:p>
    <w:p>
      <w:pPr>
        <w:spacing w:after="0" w:line="5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In establishing the allowance for credit losses the Company also considers the impact of portfolio concentrations, changes in underwriting practices, product expansions into new markets, imprecision in its economic forecasts, geopolitical conditions and other risk factors that influence its loss estimation process. Geopolitical conditions assessed at the end of the first quarter in 2021 included the potential impact of COVID-19 on economic activity that could influence the ability of customers to repay loan amounts in accordance with their contractual obligations. With respect to economic forecasts the Company assessed the likelihood of alternative economic scenarios during the two-year reasonable and supportable time period and of more negative or positive outcomes on its allowance for credit losses. Economic forecasts have changed rapidly in the recent past due to the uncertain impacts of COVID-</w:t>
      </w:r>
    </w:p>
    <w:p>
      <w:pPr>
        <w:spacing w:after="0" w:line="5" w:lineRule="exact"/>
        <w:rPr>
          <w:sz w:val="20"/>
          <w:szCs w:val="20"/>
          <w:color w:val="auto"/>
        </w:rPr>
      </w:pPr>
    </w:p>
    <w:p>
      <w:pPr>
        <w:jc w:val="both"/>
        <w:ind w:firstLine="8"/>
        <w:spacing w:after="0" w:line="243" w:lineRule="auto"/>
        <w:tabs>
          <w:tab w:leader="none" w:pos="370" w:val="left"/>
        </w:tabs>
        <w:numPr>
          <w:ilvl w:val="0"/>
          <w:numId w:val="23"/>
        </w:numPr>
        <w:rPr>
          <w:rFonts w:ascii="Arial" w:cs="Arial" w:eastAsia="Arial" w:hAnsi="Arial"/>
          <w:sz w:val="21"/>
          <w:szCs w:val="21"/>
          <w:color w:val="auto"/>
        </w:rPr>
      </w:pPr>
      <w:r>
        <w:rPr>
          <w:rFonts w:ascii="Arial" w:cs="Arial" w:eastAsia="Arial" w:hAnsi="Arial"/>
          <w:sz w:val="21"/>
          <w:szCs w:val="21"/>
          <w:color w:val="auto"/>
        </w:rPr>
        <w:t>Generally, an increase in unemployment rate or a decrease in any of the rate of change in gross domestic product, commercial real estate prices or home prices would have an adverse impact on expected credit losses and would likely result in an increase to the allowance for credit losses. Further information about the Company’s methodology to estimate expected credit losses is included in note 4 of Notes to Financial Statements.</w:t>
      </w:r>
    </w:p>
    <w:p>
      <w:pPr>
        <w:spacing w:after="0" w:line="84" w:lineRule="exact"/>
        <w:rPr>
          <w:sz w:val="20"/>
          <w:szCs w:val="20"/>
          <w:color w:val="auto"/>
        </w:rPr>
      </w:pPr>
    </w:p>
    <w:p>
      <w:pPr>
        <w:ind w:right="40" w:firstLine="510"/>
        <w:spacing w:after="0" w:line="258" w:lineRule="auto"/>
        <w:rPr>
          <w:sz w:val="20"/>
          <w:szCs w:val="20"/>
          <w:color w:val="auto"/>
        </w:rPr>
      </w:pPr>
      <w:r>
        <w:rPr>
          <w:rFonts w:ascii="Arial" w:cs="Arial" w:eastAsia="Arial" w:hAnsi="Arial"/>
          <w:sz w:val="20"/>
          <w:szCs w:val="20"/>
          <w:color w:val="auto"/>
        </w:rPr>
        <w:t>Management believes that the allowance for credit losses at March 31, 2021 appropriately reflected expected credit losses inherent in the portfolio as of that date. The allowance for credit losses totaled $1.64 billion at March 31, 2021, compared with $1.38 billion at March 31, 2020 and $1.74 billion at December 31, 2020. As a percentage of loans outstanding, the allowance was 1.65% at March 31, 2021, 1.47% at March 31, 2020 and 1.76% at December 31, 2020.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Other income totaled $506 million in the first quarter of 2021, compared with $529 million in the year-earlier quarter and $551 million in the final quarter of 2020. The lower level of other income as compared with the first quarter of 2020 resulted from declines in trading account and foreign exchange gains and service charges on deposit accounts, and a $23 million distribution from BLG in the initial quarter of 2020. Those factors were partially offset by increased residential mortgage banking revenues and trust income. The decreased income in the recent quarter as compared with the immediately preceding quarter predominantly reflects a fourth quarter 2020 distribution of $30 million from BLG and unrealized losses on investment securities.</w:t>
      </w:r>
    </w:p>
    <w:p>
      <w:pPr>
        <w:spacing w:after="0" w:line="53"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Mortgage banking revenues were $139 million in the recent quarter, compared with $128 million in the first quarter of 2020 and $140 million in the final 2020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8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$107 million in the initial quarter of 2021, $98 million in the similar quarter of 2020 and $95 million in the fourth quarter of 2020. As compared with the respective prior quarters, the higher residential mortgage banking revenues in the recent quarter resulted from increased gains associated with loans held for sale and related commitments, reflecting higher origination volumes and improved margins.</w:t>
      </w:r>
    </w:p>
    <w:p>
      <w:pPr>
        <w:spacing w:after="0" w:line="71"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New commitments to originate residential real estate loans to be sold were approximately $1.3 billion in the first quarter of 2021, compared with $919 million in the year-earlier quarter and $1.2 billion in the fourth quarter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21"/>
          <w:szCs w:val="21"/>
          <w:color w:val="auto"/>
        </w:rPr>
        <w:t>2020.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$50 million in the first quarter of 2021, $32 million in the corresponding period of 2020 and $43 million in 2020’s final quarter.</w:t>
      </w:r>
    </w:p>
    <w:p>
      <w:pPr>
        <w:spacing w:after="0" w:line="78"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Loans held for sale that were secured by residential real estate aggregated $773 million at March 31, 2021, $374 million at March 31, 2020 and $777 million at December 31, 2020. Commitments to sell residential real estate loans and commitments to originate residential real estate loans for sale at pre-determined rates totaled $1.53 billion and $1.08 billion, respectively, at March 31, 2021, compared with $782 million and $712 million, respectively, at March 31, 2020 and $1.47 billion and $1.03 billion, respectively, at December 31, 2020. Net recognized unrealized gains on residential real estate loans held for sale, commitments to sell loans, and commitments to originate loans for sale were $48 million at March 31, 2021, $17 million at March 31, 2020 and $52 million at December 31, 2020. Changes in net unrealized gains or losses are recorded in mortgage banking revenues and resulted in net decreases in revenues of $4 million in the recent quarter and $7 million in the final 2020 quarter, compared with net increases in revenues of $5 million in the first quarter of 2020.</w:t>
      </w:r>
    </w:p>
    <w:p>
      <w:pPr>
        <w:spacing w:after="0" w:line="70"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Revenues from servicing residential real estate loans for others were $57 million during the quarter ended March 31, 2021, compared with $67 million and $52 million during the three months ended March 31, 2020 and December 31, 2020, respectively. Residential real estate loans serviced for others totaled $95.0 billion at March 31, 2021, $93.5 billion at March 31, 2020 and $94.4 billion at December 31, 2020. Reflected in residential real estate loans serviced for others were loans sub-serviced for others of $69.7 billion, $61.9 billion and $68.1 billion at March 31, 2021, March 31, 2020 and December 31, 2020, respectively. Revenues earned for sub-servicing loans totaled $34 million during the recent quarter, $37 million in the first quarter of 2020 and $28 million in the final quarter of 2020. The contractual servicing rights associated with loans sub-serviced by the Company were predominantly held by affiliates of BLG. Information about the Company’s relationship with BLG and its affiliates is included in note 15 of Notes to Financial Statements.</w:t>
      </w:r>
    </w:p>
    <w:p>
      <w:pPr>
        <w:spacing w:after="0" w:line="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Capitalized residential mortgage servicing assets totaled $218 million at March 31, 2021 (net of a $21 million valuation allowance), $224 million at March 31, 2020 (net of a $17 million valuation allowance) and $201 million at December 31, 2020 (net of a $30 million valuation allowance). During the recent quarter, the valuation allowance for capitalized residential mortgage servicing rights was reduced by $9 million, compared with additions to the valuation allowance of $10 million and $3 million in the first and fourth quarters of 2020, respectively. Those increases and decreases in the valuation allowance resulted from changes in the estimated fair value of capitalized mortgage servicing rights that reflected the impact of changes in interest rates on the expected rate of residential mortgage loan prepayments.</w:t>
      </w:r>
    </w:p>
    <w:p>
      <w:pPr>
        <w:spacing w:after="0" w:line="7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Commercial mortgage banking revenues totaled $32 million in the first quarter of 2021, compared with $30 million in the first quarter of 2020 and $45 million in the fourth quarter of 2020. Included in such amounts were revenues from loan origination and sales activities of $17 million and $14 million in the first quarters of 2021 and 2020 respectively, and $31 million in the fourth quarter of 2020. Commercial real estate loans originated for sale to other investors were approximately $619 million in the recent quarter, compared with $611 million in the first quarter of 2020 and $1.1 billion in the fourth quarter of 2020. Loan servicing revenues totaled $15 million in the first quarter of 2021, compared with $16 million and $14 million in the first and fourth quarters of 2020, respectively. Capitalized commercial mortgage servicing assets were $136 million and $129 million at March 31, 2021 and 2020, respectively, and $133 million at December 31, 2020. Commercial real estate loans serviced for other investors totaled $22.6 billion at March 31, 2021, $21.0 billion at March 31, 2020 and $22.2 billion at December 31, 2020. Those servicing amounts included $4.0 billion at each of March 31, 2021 and December 31, 2020 and $3.8 billion at March 31, 2020 of loan balances for which investors had recourse to the Company if such balances are ultimately uncollectable. Included in commercial real estate loans serviced for others were loans sub-serviced for others of $3.3 billion at each of March 31, 2021, March 31, 2020 and December 31, 2020. Commitments to sell commercial real estate loans and commitments to originate commercial real estate loans for sale were $348 million and $250 million, respectively, at March 31, 2021, $542 million and $291 million, respectively, at March 31, 2020 and $641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7" w:name="page68"/>
    <w:bookmarkEnd w:id="67"/>
    <w:p>
      <w:pPr>
        <w:jc w:val="both"/>
        <w:spacing w:after="0" w:line="264" w:lineRule="auto"/>
        <w:rPr>
          <w:sz w:val="20"/>
          <w:szCs w:val="20"/>
          <w:color w:val="auto"/>
        </w:rPr>
      </w:pPr>
      <w:r>
        <w:rPr>
          <w:rFonts w:ascii="Arial" w:cs="Arial" w:eastAsia="Arial" w:hAnsi="Arial"/>
          <w:sz w:val="21"/>
          <w:szCs w:val="21"/>
          <w:color w:val="auto"/>
        </w:rPr>
        <w:t>and $364 million, respectively, at December 31, 2020. Commercial real estate loans held for sale at March 31, 2021, March 31, 2020 and December 31, 2020 were $99 million, $250 million and $278 million, respectively.</w:t>
      </w:r>
    </w:p>
    <w:p>
      <w:pPr>
        <w:spacing w:after="0" w:line="6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Service charges on deposit accounts were $93 million and $106 million in the first quarters of 2021 and 2020, respectively, and $96 million in the final quarter of 2020. The declines in such service charges in the two most recent quarters as compared with the first quarter of 2020 resulted predominantly from lower consumer service charges, largely resulting from higher customer deposit balances offsetting transaction-based fees, largely overdraft fees.</w:t>
      </w:r>
    </w:p>
    <w:p>
      <w:pPr>
        <w:spacing w:after="0" w:line="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$156 million in the first quarter of 2021, compared with $149 million in the year-earlier quarter and $151 million in the fourth quarter of 2020. Revenues associated with the ICS business were approximately $89 million during the quarter ended March 31, 2021, compared with $85 million and $86 million during the quarters ended March 31, 2020 and December 31, 2020, respectively. The higher revenues in the recent quarter as compared with the respective 2020 quarters were largely attributable to increased retirement services income resulting from growth in collective fund balances. Revenues attributable to WAS totaled approximately $59 million in each of three-month periods ended March 31, 2021 and December 31, 2020 and $56 million during the three-month period ended March 31, 2020. The higher revenues in the recent quarter as compared with the initial 2020 quarter were largely attributable to favorable equity market performance that was partially offset by proprietary fund money market fee waivers as a result of the current interest rate environment. Trust assets under management were $141.5 billion, $103.6 billion and $135.8 billion at March 31, 2021, March 31, 2020 and December 31, 2020, respectively. Trust assets under management include the Company’s proprietary mutual funds’ assets of $12.7 billion, $12.8 billion and $12.9 billion at March 31, 2021, March 31, 2020 and December 31, 2020, respectively. Additional trust income from investment management activities was $8 million in each of the first quarters of 2021 and 2020 and $6 million in the fourth 2020 quarter, and is predominantly comprised of fees earned from retail customer investment accounts.</w:t>
      </w:r>
    </w:p>
    <w:p>
      <w:pPr>
        <w:spacing w:after="0" w:line="7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Brokerage services income, which includes revenues from the sale of mutual funds and annuities and securities brokerage fees, totaled $13 million in each of the first quarters of 2021 and 2020 and $12 million in the fourth quarter of 2020. Trading account and foreign exchange activity resulted in gains of $6 million, $21 million and $7 million during the quarters ended March 31, 2021, March 31, 2020 and December 31, 2020, respectively. The lower gains in the two most recent quarters as compared with the first quarter of 2020 were predominantly due to decreased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75"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The Company recognized net losses on investment securities of $12 million in the recent quarter and $21 million in the first quarter of 2020, compared with net gains of $2 million in the fourth quarter of 2020. The gains and losses represented unrealized gains and losses on investments in Fannie Mae and Freddie Mac preferred stock.</w:t>
      </w:r>
    </w:p>
    <w:p>
      <w:pPr>
        <w:spacing w:after="0" w:line="7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Other revenues from operations were $111 million in the first quarter of 2021, compared with $133 million in the corresponding 2020 period and $143 million in the fourth quarter of 2020. The primary factor for the decrease in such revenues in the recent quarter as compared with the first and fourth quarters of 2020 was distributions from BLG in the 2020 periods. Included in other revenues from operations were the following significant components. Letter of credit and other credit-related fees aggregated $31 million in the recent quarter, $32 million in the year-earlier quarter and $26 million in the final quarter of 2020. Revenues from merchant discount and credit card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jc w:val="both"/>
        <w:spacing w:after="0" w:line="245" w:lineRule="auto"/>
        <w:rPr>
          <w:sz w:val="20"/>
          <w:szCs w:val="20"/>
          <w:color w:val="auto"/>
        </w:rPr>
      </w:pPr>
      <w:r>
        <w:rPr>
          <w:rFonts w:ascii="Arial" w:cs="Arial" w:eastAsia="Arial" w:hAnsi="Arial"/>
          <w:sz w:val="21"/>
          <w:szCs w:val="21"/>
          <w:color w:val="auto"/>
        </w:rPr>
        <w:t>were $26 million in the first quarter of 2021, compared with $30 million in the year-earlier quarter and and $31 million in the fourth quarter of 2020. Tax-exempt income from bank owned life insurance, which includes increases in the cash surrender value of life insurance policies and benefits received, totaled $10 million in each of the first quarter of 2021 and fourth quarter of 2020 and $12 million in the first quarter of 2020. Insurance-related sales commissions and other revenues totaled $14 million in the quarter ended March 31, 2021, compared with $15 million in the first quarter of 2020 and $11 million in the fourth quarter of 2020. M&amp;T’s investment in BLG resulted in income of $23 million and $30 million in the first and fourth quarters of 2020, respectively. There was no similar income in the initial 2021 quarter.</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Other expense totaled $919 million in the first quarter of 2021, compared with $906 million in the year-earlier quarter and $845 million in the final three months of 2020. Included in those amounts are expenses considered to be “nonoperating” in nature consisting of amortization of core deposit and other intangible assets of $3 million in each of the two most recent quarters and $4 million in the first quarter of 2020 and merger-related expenses of $10 million in the initial 2021 quarter. Exclusive of those nonoperating expenses, noninterest operating expenses were $907 million in the recent quarter, compared with $903 million in the year-earlier quarter and $842 million in the final 2020 quarter. As compared with the first quarter of 2020, higher expenses for salaries and employee benefits and professional services in the initial 2021 quarter were partially offset by a recent quarter reduction of the valuation allowance for capitalized residential mortgage servicing rights of $9 million. When compared with the fourth quarter of 2020, the recent quarter increase in noninterest operating expenses resulted from higher costs for salaries and employee benefits, reflecting seasonally higher stock-based compensation and employee benefits expenses during the recent quarter, and increased professional services expenses, partially offset by the recent quarter reduction of the valuation allowance for capitalized residential mortgage servicing rights. Table 2 provides a reconciliation of other expense to noninterest operating expense.</w:t>
      </w:r>
    </w:p>
    <w:p>
      <w:pPr>
        <w:spacing w:after="0" w:line="64"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Salaries and employee benefits expense totaled $541 million in the first quarter of 2021, compared with $537 million in the year-earlier quarter and $476 million in the fourth quarter of 2020. The higher salaries and employee benefits expenses in the recent quarter as compared with the fourth quarter of 2020 reflect seasonally higher stock-based compensation, medical plan costs, payroll-related taxes, unemployment insurance and the Company’s contributions for retirement savings plan benefits related to annual incentive compensation payments that aggregated approximately $69 million. Similar expenses in the first quarter of 2020 were approximately $67 million.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2021 and 2020 included $34 million and $31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$48 million and $43 million in the three-month periods ended March 31, 2021 and March 31, 2020, respectively, and $11 million in the three-month period ended December 31, 2020. The number of full-time equivalent employees was 17,157 at March 31, 2021, compared with 17,416 and 17,076 at March 31, 2020 and December 31, 2020, respectively.</w:t>
      </w:r>
    </w:p>
    <w:p>
      <w:pPr>
        <w:spacing w:after="0" w:line="7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Excluding the nonoperating expense items described earlier from each quarter, nonpersonnel operating expenses were $366 million in the each of the quarters ended March 31, 2021, March 31, 2020 and December 31, 2020. As compared with the first and fourth quarters of 2020, higher contributions made to The M&amp;T Charitable Foundation and professional services costs in the recent quarter were offset by a $9 million reduction of the valuation allowance for capitalized residential mortgage servicing rights in the initial 2021 quarter (compared with additions to that valuation allowance of $10 million and $3 million in the first and fourth quarters of 2020, respectively).</w:t>
      </w:r>
    </w:p>
    <w:p>
      <w:pPr>
        <w:spacing w:after="0" w:line="81"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60.3% during the recent quarter, compared with 58.9% and 54.6% in the first quarter of 2020 and fourth quarter of 2020, respectively. The calculation of the efficiency ratio is presented in Table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provision for income taxes was $145 million in the first quarter of 2021, compared with $81 million in the year-earlier quarter and $149 million in the final quarter of 2020. The effective tax rates were 24.5%, 23.1% and 24.1% for the quarters ended March 31, 2021, March 31, 2020 and December 31, 2020, respectively.</w:t>
      </w:r>
    </w:p>
    <w:p>
      <w:pPr>
        <w:spacing w:after="0" w:line="7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Shareholders’ equity was $16.4 billion at March 31, 2021, representing 10.93% of total assets, compared with $15.8 billion or 12.70% a year earlier and $16.2 billion or 11.35% at December 31, 2020.</w:t>
      </w:r>
    </w:p>
    <w:p>
      <w:pPr>
        <w:spacing w:after="0" w:line="6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Included in shareholders’ equity was preferred stock with financial statement carrying values of $1.25 billion at each of March 31, 2021, March 31, 2020 and December 31, 2020.</w:t>
      </w:r>
    </w:p>
    <w:p>
      <w:pPr>
        <w:spacing w:after="0" w:line="6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Common shareholders’ equity was $15.2 billion or $118.12 per share, at March 31, 2021, compared with $14.6 billion or $113.54 per share, a year earlier and $14.9 billion or $116.39 per share at December 31, 2020. Tangible equity per common share, which excludes goodwill and core deposit and other intangible assets and applicable deferred tax balances, was $82.35 at the end of the recent quarter, compared with $77.60 at March 31, 2020 and $80.52 at December 31, 2020. The Company’s ratio of tangible common equity to tangible assets was 7.26% at March 31, 2021, compared with 8.30% a year earlier and 7.49% at December 31, 2020. Reconciliations of total common shareholders’ equity and tangible common equity and total assets and tangible assets as of each of those respective dates are presented in table 2.</w:t>
      </w:r>
    </w:p>
    <w:p>
      <w:pPr>
        <w:spacing w:after="0" w:line="7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$122 million or $.95 per common share, at March 31, 2021, $135 million, or $1.05 per common share, at March 31, 2020 and $145 million, or $1.13 per common share, at December 31, 2020. Changes in unrealized gains and losses on investment securities are predominantly reflective of the impact of changes in interest rates on the values of such securities. Information about unrealized gains and losses as of March 31, 2021 and December 31, 2020 is included in note 3 of Notes to Financial Statements.</w:t>
      </w:r>
    </w:p>
    <w:p>
      <w:pPr>
        <w:spacing w:after="0" w:line="75"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Reflected in the carrying amount of available-for-sale investment securities at March 31, 2021 were pre-tax effect unrealized gains of $177 million on securities with an amortized cost of $4.1 billion and pre-tax effect unrealized losses of $7 million on securities with an amortized cost of $103 million. Information concerning the Company’s fair valuations of investment securities is provided in notes 3 and 12 of Notes to Financial Statements.</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6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As of March 31, 2021, based on a review of each of the securities in the available-for-sale investment securities portfolio, the Company concluded that it expected to realize the amortized cost basis of each security. As of March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21"/>
          <w:szCs w:val="21"/>
          <w:color w:val="auto"/>
        </w:rPr>
        <w:t>31, 2021,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Accounting guidance requires investment securities held to maturity to be presented at their net carrying value that is expected to be collected over their contractual term. The Company estimated no material allowance for credit losses for its investment securities classified as held-to-maturity at March 31, 2021 and December 31,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2021 and December 31, 2020, the Company had in its held-to-maturity portfolio privately issued mortgage-backed securities with an amortized cost basis of $73 million and $77 million, respectively, and a fair value of $68 million and $70 million, respectively. At March 31, 2021, 81% of the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has concluded that as of March 31, 2021,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6"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$468 million, or $3.64 per common share, at March 31, 2021, $333 million or $2.60 per common share, at March 31, 2020 and $481 million or $3.75 per common share, at December 31, 2020.</w:t>
      </w:r>
    </w:p>
    <w:p>
      <w:pPr>
        <w:spacing w:after="0" w:line="4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On January 20, 2021, M&amp;T’s Board of Directors authorized a stock repurchase plan to repurchase up to $800 million of shares of M&amp;T’s common stock subject to all applicable regulatory limitations. There were no repurchases pursuant to that repurchase plan in the first quarter of 2021, and M&amp;T does not expect any repurchases while the acquisition of People’s United is pending. Pursuant to previously approved capital plans and authorizations by M&amp;T’s Board of Directors, M&amp;T repurchased 2,577,000 shares of its common stock for $374 million in the first quarter of 2020. There were no repurchases of M&amp;T common stock in the fourth quarter of 2020.</w:t>
      </w:r>
    </w:p>
    <w:p>
      <w:pPr>
        <w:spacing w:after="0" w:line="53"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Cash dividends declared on M&amp;T’s common stock totaled $143 million in each of the first quarters of 2021 and 2020, compared with $142 million in the final quarter of 2020. Cash dividends declared on preferred stock aggregated $17 million in each of the two most recent quarters and in the first quarter of 2020.</w:t>
      </w:r>
    </w:p>
    <w:p>
      <w:pPr>
        <w:spacing w:after="0" w:line="76"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63"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09"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2" w:lineRule="exact"/>
        <w:rPr>
          <w:rFonts w:ascii="Arial" w:cs="Arial" w:eastAsia="Arial" w:hAnsi="Arial"/>
          <w:sz w:val="21"/>
          <w:szCs w:val="21"/>
          <w:color w:val="auto"/>
        </w:rPr>
      </w:pPr>
    </w:p>
    <w:p>
      <w:pPr>
        <w:ind w:left="740" w:right="20" w:hanging="368"/>
        <w:spacing w:after="0" w:line="264"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2"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3" w:lineRule="exact"/>
        <w:rPr>
          <w:sz w:val="20"/>
          <w:szCs w:val="20"/>
          <w:color w:val="auto"/>
        </w:rPr>
      </w:pPr>
    </w:p>
    <w:p>
      <w:pPr>
        <w:ind w:right="20" w:firstLine="510"/>
        <w:spacing w:after="0" w:line="264"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 minimum risk-weighted asset ratios.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1" w:name="page72"/>
    <w:bookmarkEnd w:id="71"/>
    <w:p>
      <w:pPr>
        <w:jc w:val="both"/>
        <w:ind w:firstLine="510"/>
        <w:spacing w:after="0" w:line="279" w:lineRule="auto"/>
        <w:rPr>
          <w:sz w:val="20"/>
          <w:szCs w:val="20"/>
          <w:color w:val="auto"/>
        </w:rPr>
      </w:pPr>
      <w:r>
        <w:rPr>
          <w:rFonts w:ascii="Arial" w:cs="Arial" w:eastAsia="Arial" w:hAnsi="Arial"/>
          <w:sz w:val="19"/>
          <w:szCs w:val="19"/>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followed by a three-year transition period. M&amp;T and its subsidiary banks adopted these rules and the impact is reflected in the regulatory capital ratios presented below.</w:t>
      </w:r>
    </w:p>
    <w:p>
      <w:pPr>
        <w:spacing w:after="0" w:line="53"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March 31, 2021 are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March 31,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r>
      <w:tr>
        <w:trPr>
          <w:trHeight w:val="171"/>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Trust, N.A.</w:t>
            </w: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10.42%</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11.29%</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41.29%</w:t>
            </w:r>
          </w:p>
        </w:tc>
        <w:tc>
          <w:tcPr>
            <w:tcW w:w="80" w:type="dxa"/>
            <w:vAlign w:val="bottom"/>
          </w:tcPr>
          <w:p>
            <w:pPr>
              <w:spacing w:after="0"/>
              <w:rPr>
                <w:sz w:val="24"/>
                <w:szCs w:val="24"/>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11.61%</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11.29%</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41.29%</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13.81%</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13.01%</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41.40%</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8.49%</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8.26%</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9.84%</w:t>
            </w:r>
          </w:p>
        </w:tc>
        <w:tc>
          <w:tcPr>
            <w:tcW w:w="80" w:type="dxa"/>
            <w:vAlign w:val="bottom"/>
            <w:shd w:val="clear" w:color="auto" w:fill="CFF0FC"/>
          </w:tcPr>
          <w:p>
            <w:pPr>
              <w:spacing w:after="0"/>
              <w:rPr>
                <w:sz w:val="19"/>
                <w:szCs w:val="19"/>
                <w:color w:val="auto"/>
              </w:rPr>
            </w:pPr>
          </w:p>
        </w:tc>
      </w:tr>
    </w:tbl>
    <w:p>
      <w:pPr>
        <w:spacing w:after="0" w:line="20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w:t>
      </w:r>
    </w:p>
    <w:p>
      <w:pPr>
        <w:spacing w:after="0" w:line="7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20"/>
          <w:szCs w:val="20"/>
          <w:color w:val="auto"/>
        </w:rPr>
        <w:t>The Business Banking segment contributed net income of $46 million during the three-month period ended March 31, 2021, compared with $33 million in the first quarter of 2020 and $53 million in the fourth quarter of 2020. As compared with the year-earlier quarter, a $22 million increase in net interest income and a $6 million reduction in the provision for credit losses, due to lower net charge-offs, were partially offset by higher personnel-related costs of $4 million and a $3 million decrease in service charges on deposit accounts. The higher net interest income reflected higher average outstanding balances of deposits and loans of $5.0 billion and $2.6 billion, respectively, and a 76 basis point widening of the net interest margin on loans offset, in part, by a narrowing of the net interest margin on deposits of 111 basis points. The decline in net income in the initial 2021 quarter as compared with the immediately preceding quarter reflected a $5 million increase in personnel-related costs, lower merchant discount and credit card fees of $2 million, and $2 million of higher centrally-allocated costs associated with data processing, risk management and other support services provided to the Business Banking segment.</w:t>
      </w:r>
    </w:p>
    <w:p>
      <w:pPr>
        <w:spacing w:after="0" w:line="75" w:lineRule="exact"/>
        <w:rPr>
          <w:sz w:val="20"/>
          <w:szCs w:val="20"/>
          <w:color w:val="auto"/>
        </w:rPr>
      </w:pPr>
    </w:p>
    <w:p>
      <w:pPr>
        <w:jc w:val="both"/>
        <w:ind w:firstLine="464"/>
        <w:spacing w:after="0" w:line="247" w:lineRule="auto"/>
        <w:rPr>
          <w:sz w:val="20"/>
          <w:szCs w:val="20"/>
          <w:color w:val="auto"/>
        </w:rPr>
      </w:pPr>
      <w:r>
        <w:rPr>
          <w:rFonts w:ascii="Arial" w:cs="Arial" w:eastAsia="Arial" w:hAnsi="Arial"/>
          <w:sz w:val="21"/>
          <w:szCs w:val="21"/>
          <w:color w:val="auto"/>
        </w:rPr>
        <w:t>Net income of the Commercial Banking segment was $123 million in the recent quarter, compared with $144 million in the initial 2020 quarter and $122 million in the final 2020 quarter. The recent quarter’s decline in net income as compared with the first quarter of 2020 included an increase in the provision for credit losses of $26 million that reflected the impact of portfolio composition and net charge-offs, and a $5 million decrease in trading account and foreign exchange gains that resulted from lower activity related to interest rate swap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2" w:name="page73"/>
    <w:bookmarkEnd w:id="72"/>
    <w:p>
      <w:pPr>
        <w:jc w:val="both"/>
        <w:spacing w:after="0" w:line="249" w:lineRule="auto"/>
        <w:rPr>
          <w:sz w:val="20"/>
          <w:szCs w:val="20"/>
          <w:color w:val="auto"/>
        </w:rPr>
      </w:pPr>
      <w:r>
        <w:rPr>
          <w:rFonts w:ascii="Arial" w:cs="Arial" w:eastAsia="Arial" w:hAnsi="Arial"/>
          <w:sz w:val="21"/>
          <w:szCs w:val="21"/>
          <w:color w:val="auto"/>
        </w:rPr>
        <w:t>executed on behalf of commercial customers. Those unfavorable factors were offset, in part, by a decline in personnel-related costs of $4 million. The slight increase in net income in the first quarter of 2021 quarter as compared with the fourth quarter of 2020 was due to higher fees for providing loan syndication services of $6 million and lower personnel-related costs of $6 million, partially offset by a $7 million increase in the provision for credit losses.</w:t>
      </w:r>
    </w:p>
    <w:p>
      <w:pPr>
        <w:spacing w:after="0" w:line="78" w:lineRule="exact"/>
        <w:rPr>
          <w:sz w:val="20"/>
          <w:szCs w:val="20"/>
          <w:color w:val="auto"/>
        </w:rPr>
      </w:pPr>
    </w:p>
    <w:p>
      <w:pPr>
        <w:jc w:val="both"/>
        <w:ind w:firstLine="464"/>
        <w:spacing w:after="0" w:line="289" w:lineRule="auto"/>
        <w:rPr>
          <w:sz w:val="20"/>
          <w:szCs w:val="20"/>
          <w:color w:val="auto"/>
        </w:rPr>
      </w:pPr>
      <w:r>
        <w:rPr>
          <w:rFonts w:ascii="Arial" w:cs="Arial" w:eastAsia="Arial" w:hAnsi="Arial"/>
          <w:sz w:val="18"/>
          <w:szCs w:val="18"/>
          <w:color w:val="auto"/>
        </w:rPr>
        <w:t>The Commercial Real Estate segment recorded net income of $71 million in the first quarter of 2021, compared with $117 million in the year-earlier period and $70 million in the fourth quarter of 2020. The 39% decline in net income in the recent quarter as compared with the first quarter of 2020 reflected an increase in the provision for credit losses of $36 million, due to higher net charge-offs, a $13 million decline in net interest income, and lower trading account and foreign exchange gains of $10 million, due largely to decreased activity related to interest rate swap transactions executed on behalf of commercial customers. The lower net interest income reflected a narrowing of the net interest margin on deposits and loans of 105 basis points and 19 basis points, respectively. The recent quarter’s modest improvement in net income as compared with the immediately preceding quarter reflected decreases in the provision for credit losses and personnel-related expenses that were largely offset by a decline in commercial mortgage banking revenues, reflecting lower gains on loans originated for sale, and a decrease in net interest income. The $9 million decline in net interest income reflected a narrowing of the net interest margin on deposits and loans of 16 basis points and 3 basis points, respectively.</w:t>
      </w:r>
    </w:p>
    <w:p>
      <w:pPr>
        <w:spacing w:after="0" w:line="46"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20"/>
          <w:szCs w:val="20"/>
          <w:color w:val="auto"/>
        </w:rPr>
        <w:t>Net income earned by the Discretionary Portfolio segment totaled $91 million during the three-month period ended March 31, 2021, compared with $26 million in the year-earlier period and $108 million in the fourth quarter of 2020. The significant improvement in the recent quarter’s net income as compared with the initial 2020 quarter was predominantly due to an increase in net interest income of $77 million that reflected additional income from interest rate swap agreements utilized as part of the Company’s management of interest rate risk of $55 million. A 148 basis point and 55 basis point widening of the net interest margin on loans and deposits, respectively, also contributed to the higher net interest income. The 17% decline in net income in the initial 2021 quarter as compared with immediately preceding quarter reflected $12 million of valuation losses on marketable equity securities in the recent quarter (compared with valuation gains of $2 million in the fourth quarter of 2020) and lower net interest income of $7 million, largely reflecting a narrowing of the net interest margin on loans of 41 basis points.</w:t>
      </w:r>
    </w:p>
    <w:p>
      <w:pPr>
        <w:spacing w:after="0" w:line="70"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9"/>
          <w:szCs w:val="19"/>
          <w:color w:val="auto"/>
        </w:rPr>
        <w:t>Net income from the Residential Mortgage Banking segment was $50 million in the initial three months of 2021, compared with $25 million in the first quarter of 2020 and $27 million in 2020’s fourth quarter. The increase in net income in the recent quarter as compared with the year-earlier period reflected lower servicing-related costs (including intersegment costs and changes to the valuation allowance for capitalized residential mortgage servicing rights) of $21 million, higher net interest income of $18 million, reflecting increased average outstanding balances of loans and deposits of $2.3 billion and $1.6 billion, respectively, and higher revenues associated with mortgage origination and sales activities (including intersegment revenues) of $17 million. Those favorable factors were partially offset by an $11 million decrease in revenues associated with servicing and sub-servicing residential real estate loans (including intersegment revenues) and $7 million of increases in centrally-allocated costs associated with data processing, risk management and other support services provided to the Residential Mortgage Banking segment. As compared with the final quarter of 2020, the improved performance in the recent quarter reflected lower servicing-related costs (including intersegment costs and changes to the valuation allowance for capitalized residential mortgage servicing rights) of $15 million, higher revenues associated with mortgage origination and sales activities (including intersegment revenues) of $6 million, and a $5 million increase in revenues associated with servicing and sub-servicing residential real estate loans (including intersegment revenues).</w:t>
      </w:r>
    </w:p>
    <w:p>
      <w:pPr>
        <w:spacing w:after="0" w:line="168"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8"/>
          <w:szCs w:val="18"/>
          <w:color w:val="auto"/>
        </w:rPr>
        <w:t>Net income earned by the Retail Banking segment totaled $85 million in the first quarter of 2021, compared with $110 million in the year-earlier quarter and $83 million in the final 2020 quarter. The 23% decline in net income in the recent quarter as compared with the first quarter of 2020 resulted predominantly from a $46 million decline in net interest income, due largely to an 85 basis point narrowing of the net interest margin on deposits, partially offset by an increase of average outstanding deposit balances of $6.0 billion, and a $10 million decrease in service charges on deposit accounts. Those factors were partially offset by a $17 million decrease in the provision for credit losses, due to lower net charge-offs, and lower personnel-related costs of $7 million. The recent quarter’s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3" w:name="page74"/>
    <w:bookmarkEnd w:id="73"/>
    <w:p>
      <w:pPr>
        <w:jc w:val="both"/>
        <w:spacing w:after="0" w:line="283" w:lineRule="auto"/>
        <w:rPr>
          <w:sz w:val="20"/>
          <w:szCs w:val="20"/>
          <w:color w:val="auto"/>
        </w:rPr>
      </w:pPr>
      <w:r>
        <w:rPr>
          <w:rFonts w:ascii="Arial" w:cs="Arial" w:eastAsia="Arial" w:hAnsi="Arial"/>
          <w:sz w:val="19"/>
          <w:szCs w:val="19"/>
          <w:color w:val="auto"/>
        </w:rPr>
        <w:t>slightly improved performance as compared with the fourth quarter of 2020 was due to decreases in the provision for credit losses and net occupancy expenses of $12 million. Those favorable factors were offset, in part, by $5 million decreases in each of service charges on deposit accounts and net interest income. The lower net interest income reflected a narrowing of the net interest margin on deposits of 9 basis points that was partially offset by an increase in average outstanding deposit balances of $2.1 billion.</w:t>
      </w:r>
    </w:p>
    <w:p>
      <w:pPr>
        <w:spacing w:after="0" w:line="49"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$18 million in the first quarter of 2021 and $186 million in the year-earlier quarter, compared with net income of $7 million in the fourth quarter of 2020. The significantly lower loss in the recent quarter as compared with the initial 2020 quarter largely reflected: a decrease to the provision for credit losses of $312 million; a $7 million increase in trust income; lower advertising and promotional expenses of $6 million; and the favorable impact from the Company’s allocation methodologies for internal transfers for funding charges and credits associated with earning assets and interest-bearing liabilities of the Company’s reportable segments. Those favorable factors were partially offset by lower income from BLG of $23 million; $15 million in higher professional services; and higher personnel-related expenses of $6 million, including incentive-based compensation and employee benefits expenses. As compared with the immediately preceding quarter, factors contributing to the unfavorable performance in the recent quarter included: a $75 million rise in personnel-related costs that included the seasonally higher stock-based compensation and employee benefits expenses; $30 million of income received from BLG in the fourth quarter of 2020; and $18 million of higher professional services costs. Partially offsetting those unfavorable factors were a decrease to the provision for credit losses of $73 million, lower FDIC assessments of $6 million, higher trust income of $5 million in the first quarter of 2021, and the favorable impact from the Company’s allocation methodologies.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Any statement that does not describe historical or current facts is a forward-looking statement.</w:t>
      </w:r>
    </w:p>
    <w:p>
      <w:pPr>
        <w:spacing w:after="0" w:line="78" w:lineRule="exact"/>
        <w:rPr>
          <w:sz w:val="20"/>
          <w:szCs w:val="20"/>
          <w:color w:val="auto"/>
        </w:rPr>
      </w:pPr>
    </w:p>
    <w:p>
      <w:pPr>
        <w:jc w:val="both"/>
        <w:ind w:firstLine="468"/>
        <w:spacing w:after="0" w:line="246" w:lineRule="auto"/>
        <w:rPr>
          <w:sz w:val="20"/>
          <w:szCs w:val="20"/>
          <w:color w:val="auto"/>
        </w:rPr>
      </w:pPr>
      <w:r>
        <w:rPr>
          <w:rFonts w:ascii="Arial" w:cs="Arial" w:eastAsia="Arial" w:hAnsi="Arial"/>
          <w:sz w:val="21"/>
          <w:szCs w:val="21"/>
          <w:color w:val="auto"/>
        </w:rPr>
        <w:t>Statements regarding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including the scope and duration of the pandemic, actions taken by governmental authorities in response to the pandemic, and the direct and indirect impact of the pandemic on customers, clients, third parties and the Company.</w:t>
      </w:r>
    </w:p>
    <w:p>
      <w:pPr>
        <w:spacing w:after="0" w:line="81" w:lineRule="exact"/>
        <w:rPr>
          <w:sz w:val="20"/>
          <w:szCs w:val="20"/>
          <w:color w:val="auto"/>
        </w:rPr>
      </w:pPr>
    </w:p>
    <w:p>
      <w:pPr>
        <w:jc w:val="both"/>
        <w:ind w:firstLine="468"/>
        <w:spacing w:after="0" w:line="292" w:lineRule="auto"/>
        <w:rPr>
          <w:sz w:val="20"/>
          <w:szCs w:val="20"/>
          <w:color w:val="auto"/>
        </w:rPr>
      </w:pPr>
      <w:r>
        <w:rPr>
          <w:rFonts w:ascii="Arial" w:cs="Arial" w:eastAsia="Arial" w:hAnsi="Arial"/>
          <w:sz w:val="19"/>
          <w:szCs w:val="19"/>
          <w:color w:val="auto"/>
        </w:rPr>
        <w:t>Statements regarding the Company’s expectations or predictions regarding the proposed transaction between M&amp;T and People’s United also are forward-looking statements, including statements regarding the expected timing, completion and effects of the proposed transaction as well as M&amp;T’s and People’s United’s expected financial results, prospects, targets, goals and outlook.</w:t>
      </w:r>
    </w:p>
    <w:p>
      <w:pPr>
        <w:spacing w:after="0" w:line="40"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4" w:name="page75"/>
    <w:bookmarkEnd w:id="74"/>
    <w:p>
      <w:pPr>
        <w:jc w:val="both"/>
        <w:spacing w:after="0" w:line="249" w:lineRule="auto"/>
        <w:rPr>
          <w:sz w:val="20"/>
          <w:szCs w:val="20"/>
          <w:color w:val="auto"/>
        </w:rPr>
      </w:pPr>
      <w:r>
        <w:rPr>
          <w:rFonts w:ascii="Arial" w:cs="Arial" w:eastAsia="Arial" w:hAnsi="Arial"/>
          <w:sz w:val="21"/>
          <w:szCs w:val="21"/>
          <w:color w:val="auto"/>
        </w:rPr>
        <w:t>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78" w:lineRule="exact"/>
        <w:rPr>
          <w:sz w:val="20"/>
          <w:szCs w:val="20"/>
          <w:color w:val="auto"/>
        </w:rPr>
      </w:pPr>
    </w:p>
    <w:p>
      <w:pPr>
        <w:jc w:val="both"/>
        <w:ind w:firstLine="46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risks, predictions and uncertainties relating to the impact of the COVID-19 pandemic and the People’s United transaction; the impact of changes in market values on trust-related revenues; legislation and/or regulations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Financial Accounting Standards Board, regulatory agencies or legislation;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3" w:lineRule="exact"/>
        <w:rPr>
          <w:sz w:val="20"/>
          <w:szCs w:val="20"/>
          <w:color w:val="auto"/>
        </w:rPr>
      </w:pPr>
    </w:p>
    <w:p>
      <w:pPr>
        <w:jc w:val="both"/>
        <w:ind w:firstLine="468"/>
        <w:spacing w:after="0" w:line="265"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4" w:lineRule="exact"/>
        <w:rPr>
          <w:sz w:val="20"/>
          <w:szCs w:val="20"/>
          <w:color w:val="auto"/>
        </w:rPr>
      </w:pPr>
    </w:p>
    <w:p>
      <w:pPr>
        <w:jc w:val="both"/>
        <w:ind w:firstLine="468"/>
        <w:spacing w:after="0" w:line="317" w:lineRule="auto"/>
        <w:rPr>
          <w:sz w:val="20"/>
          <w:szCs w:val="20"/>
          <w:color w:val="auto"/>
        </w:rPr>
      </w:pPr>
      <w:r>
        <w:rPr>
          <w:rFonts w:ascii="Arial" w:cs="Arial" w:eastAsia="Arial" w:hAnsi="Arial"/>
          <w:sz w:val="19"/>
          <w:szCs w:val="19"/>
          <w:color w:val="auto"/>
        </w:rPr>
        <w:t>M&amp;T provides further detail regarding these risks, uncertainties and other factors elsewhere in this quarterly report and in other public filings, including the risk factors described in Form 10-K for the year ended December 31, 2020 and this quarterly report.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rPr>
          <w:sz w:val="20"/>
          <w:szCs w:val="20"/>
          <w:color w:val="auto"/>
        </w:rPr>
      </w:pPr>
      <w:r>
        <w:rPr>
          <w:rFonts w:ascii="Arial" w:cs="Arial" w:eastAsia="Arial" w:hAnsi="Arial"/>
          <w:sz w:val="20"/>
          <w:szCs w:val="20"/>
          <w:color w:val="auto"/>
        </w:rPr>
        <w:t>QUARTERLY TRENDS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2020 Quarters</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First Quarter</w:t>
            </w:r>
          </w:p>
        </w:tc>
        <w:tc>
          <w:tcPr>
            <w:tcW w:w="260" w:type="dxa"/>
            <w:vAlign w:val="bottom"/>
          </w:tcPr>
          <w:p>
            <w:pPr>
              <w:spacing w:after="0"/>
              <w:rPr>
                <w:sz w:val="13"/>
                <w:szCs w:val="13"/>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Fourth</w:t>
            </w:r>
          </w:p>
        </w:tc>
        <w:tc>
          <w:tcPr>
            <w:tcW w:w="3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Third</w:t>
            </w:r>
          </w:p>
        </w:tc>
        <w:tc>
          <w:tcPr>
            <w:tcW w:w="320" w:type="dxa"/>
            <w:vAlign w:val="bottom"/>
          </w:tcPr>
          <w:p>
            <w:pPr>
              <w:spacing w:after="0"/>
              <w:rPr>
                <w:sz w:val="13"/>
                <w:szCs w:val="13"/>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b w:val="1"/>
                <w:bCs w:val="1"/>
                <w:color w:val="auto"/>
              </w:rPr>
              <w:t>Second</w:t>
            </w:r>
          </w:p>
        </w:tc>
        <w:tc>
          <w:tcPr>
            <w:tcW w:w="320" w:type="dxa"/>
            <w:vAlign w:val="bottom"/>
          </w:tcPr>
          <w:p>
            <w:pPr>
              <w:spacing w:after="0"/>
              <w:rPr>
                <w:sz w:val="13"/>
                <w:szCs w:val="13"/>
                <w:color w:val="auto"/>
              </w:rPr>
            </w:pPr>
          </w:p>
        </w:tc>
        <w:tc>
          <w:tcPr>
            <w:tcW w:w="820" w:type="dxa"/>
            <w:vAlign w:val="bottom"/>
          </w:tcPr>
          <w:p>
            <w:pPr>
              <w:jc w:val="right"/>
              <w:ind w:right="217"/>
              <w:spacing w:after="0"/>
              <w:rPr>
                <w:sz w:val="20"/>
                <w:szCs w:val="20"/>
                <w:color w:val="auto"/>
              </w:rPr>
            </w:pPr>
            <w:r>
              <w:rPr>
                <w:rFonts w:ascii="Arial" w:cs="Arial" w:eastAsia="Arial" w:hAnsi="Arial"/>
                <w:sz w:val="13"/>
                <w:szCs w:val="13"/>
                <w:b w:val="1"/>
                <w:bCs w:val="1"/>
                <w:color w:val="auto"/>
              </w:rPr>
              <w:t>First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1,020,695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1,042,862</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1,005,180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1,036,476</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1,125,482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expense</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35,567</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49,610</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58,066</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75,105</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143,614</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985,128</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993,252</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947,114</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961,371</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981,868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(25,000)</w:t>
            </w: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75,000</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150,000</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325,000</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250,000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505,598</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551,250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520,561</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other expense</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919,444</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845,008</w:t>
            </w:r>
          </w:p>
        </w:tc>
        <w:tc>
          <w:tcPr>
            <w:tcW w:w="3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826,774</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807,042</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906,416</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596,282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624,494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490,901</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316,602</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354,812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145,300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149,382</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114,746</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71,314</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80,927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3,972</w:t>
            </w:r>
          </w:p>
        </w:tc>
        <w:tc>
          <w:tcPr>
            <w:tcW w:w="3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4,019</w:t>
            </w:r>
          </w:p>
        </w:tc>
        <w:tc>
          <w:tcPr>
            <w:tcW w:w="3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4,234</w:t>
            </w:r>
          </w:p>
        </w:tc>
        <w:tc>
          <w:tcPr>
            <w:tcW w:w="3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5,063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447,249</w:t>
            </w: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471,140</w:t>
            </w:r>
          </w:p>
        </w:tc>
        <w:tc>
          <w:tcPr>
            <w:tcW w:w="3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372,136</w:t>
            </w:r>
          </w:p>
        </w:tc>
        <w:tc>
          <w:tcPr>
            <w:tcW w:w="3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241,054</w:t>
            </w:r>
          </w:p>
        </w:tc>
        <w:tc>
          <w:tcPr>
            <w:tcW w:w="3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268,822</w:t>
            </w:r>
          </w:p>
        </w:tc>
        <w:tc>
          <w:tcPr>
            <w:tcW w:w="3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80" w:type="dxa"/>
            <w:vAlign w:val="bottom"/>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428,093</w:t>
            </w: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451,869</w:t>
            </w: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353,400</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223,099</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250,701</w:t>
            </w: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color w:val="auto"/>
              </w:rPr>
              <w:t>Per common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3.52</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2.75</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1.74</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128,303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128,285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128,275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129,696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Diluted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128,669</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128,379</w:t>
            </w:r>
          </w:p>
        </w:tc>
        <w:tc>
          <w:tcPr>
            <w:tcW w:w="3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128,355</w:t>
            </w:r>
          </w:p>
        </w:tc>
        <w:tc>
          <w:tcPr>
            <w:tcW w:w="32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128,333</w:t>
            </w:r>
          </w:p>
        </w:tc>
        <w:tc>
          <w:tcPr>
            <w:tcW w:w="32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129,755</w:t>
            </w:r>
          </w:p>
        </w:tc>
        <w:tc>
          <w:tcPr>
            <w:tcW w:w="3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20"/>
                <w:szCs w:val="20"/>
                <w:color w:val="auto"/>
              </w:rPr>
            </w:pPr>
            <w:r>
              <w:rPr>
                <w:rFonts w:ascii="Arial" w:cs="Arial" w:eastAsia="Arial" w:hAnsi="Arial"/>
                <w:sz w:val="13"/>
                <w:szCs w:val="13"/>
                <w:color w:val="auto"/>
              </w:rPr>
              <w:t>Return 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3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11.57</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12.07</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9.53</w:t>
            </w:r>
          </w:p>
        </w:tc>
        <w:tc>
          <w:tcPr>
            <w:tcW w:w="3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6.13</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7.00</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5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(taxable-equivalent basis)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3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56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32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5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457,372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473,453</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375,029</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243,958</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271,705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20"/>
                <w:szCs w:val="20"/>
                <w:color w:val="auto"/>
              </w:rPr>
            </w:pPr>
            <w:r>
              <w:rPr>
                <w:rFonts w:ascii="Arial" w:cs="Arial" w:eastAsia="Arial" w:hAnsi="Arial"/>
                <w:sz w:val="13"/>
                <w:szCs w:val="13"/>
                <w:color w:val="auto"/>
              </w:rPr>
              <w:t>Annualized return 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3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17.05</w:t>
            </w:r>
          </w:p>
        </w:tc>
        <w:tc>
          <w:tcPr>
            <w:tcW w:w="80" w:type="dxa"/>
            <w:vAlign w:val="bottom"/>
          </w:tcPr>
          <w:p>
            <w:pPr>
              <w:spacing w:after="0"/>
              <w:rPr>
                <w:sz w:val="12"/>
                <w:szCs w:val="12"/>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17.53</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13.94</w:t>
            </w:r>
          </w:p>
        </w:tc>
        <w:tc>
          <w:tcPr>
            <w:tcW w:w="3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9.04</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10.39</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60.3</w:t>
            </w:r>
          </w:p>
        </w:tc>
        <w:tc>
          <w:tcPr>
            <w:tcW w:w="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56.2</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55.7</w:t>
            </w:r>
          </w:p>
        </w:tc>
        <w:tc>
          <w:tcPr>
            <w:tcW w:w="32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58.9</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20"/>
                <w:szCs w:val="20"/>
                <w:color w:val="auto"/>
              </w:rPr>
            </w:pPr>
            <w:r>
              <w:rPr>
                <w:rFonts w:ascii="Arial" w:cs="Arial" w:eastAsia="Arial" w:hAnsi="Arial"/>
                <w:sz w:val="13"/>
                <w:szCs w:val="13"/>
                <w:color w:val="auto"/>
              </w:rPr>
              <w:t>Average balances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144,563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140,181</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143,554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139,958</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135,574</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131,836</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115,972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134,355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131,916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127,689</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123,492</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108,226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7,195</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7,876</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8,500</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9,102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99,356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98,666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98,210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97,797</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91,706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125,733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120,976</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116,306</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111,795</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96,166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10,474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10,358</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10,216</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10,093</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9,857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150,481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142,601</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138,627</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139,537</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124,578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145,879</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137,998</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134,021</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134,928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119,966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137,367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129,295</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126,418</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127,149</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112,046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8,454</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99,299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98,536</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98,447</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97,758</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94,142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128,476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119,806</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114,968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100,183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ind w:left="260"/>
              <w:spacing w:after="0"/>
              <w:rPr>
                <w:sz w:val="20"/>
                <w:szCs w:val="20"/>
                <w:color w:val="auto"/>
              </w:rPr>
            </w:pPr>
            <w:r>
              <w:rPr>
                <w:rFonts w:ascii="Arial" w:cs="Arial" w:eastAsia="Arial" w:hAnsi="Arial"/>
                <w:sz w:val="13"/>
                <w:szCs w:val="13"/>
                <w:color w:val="auto"/>
              </w:rPr>
              <w:t>Common shareholders’ equity (c)</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14,937</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14,851</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14,695</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14,566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10,334</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10,086</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116.39</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115.75</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114.54</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113.54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80.52</w:t>
            </w: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78.62</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line="224"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2</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RECONCILIATION OF QUARTERLY GAAP TO NON-GAAP MEASURES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w w:val="89"/>
              </w:rPr>
              <w:t>2020 Quarters</w:t>
            </w: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97"/>
              <w:spacing w:after="0" w:line="142" w:lineRule="exact"/>
              <w:rPr>
                <w:sz w:val="20"/>
                <w:szCs w:val="20"/>
                <w:color w:val="auto"/>
              </w:rPr>
            </w:pPr>
            <w:r>
              <w:rPr>
                <w:rFonts w:ascii="Arial" w:cs="Arial" w:eastAsia="Arial" w:hAnsi="Arial"/>
                <w:sz w:val="13"/>
                <w:szCs w:val="13"/>
                <w:b w:val="1"/>
                <w:bCs w:val="1"/>
                <w:color w:val="auto"/>
                <w:w w:val="96"/>
              </w:rPr>
              <w:t>First Quarter</w:t>
            </w:r>
          </w:p>
        </w:tc>
        <w:tc>
          <w:tcPr>
            <w:tcW w:w="30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Arial" w:cs="Arial" w:eastAsia="Arial" w:hAnsi="Arial"/>
                <w:sz w:val="13"/>
                <w:szCs w:val="13"/>
                <w:b w:val="1"/>
                <w:bCs w:val="1"/>
                <w:color w:val="auto"/>
              </w:rPr>
              <w:t>Fourth</w:t>
            </w:r>
          </w:p>
        </w:tc>
        <w:tc>
          <w:tcPr>
            <w:tcW w:w="1640" w:type="dxa"/>
            <w:vAlign w:val="bottom"/>
            <w:gridSpan w:val="3"/>
          </w:tcPr>
          <w:p>
            <w:pPr>
              <w:ind w:left="380"/>
              <w:spacing w:after="0" w:line="142" w:lineRule="exact"/>
              <w:rPr>
                <w:sz w:val="20"/>
                <w:szCs w:val="20"/>
                <w:color w:val="auto"/>
              </w:rPr>
            </w:pPr>
            <w:r>
              <w:rPr>
                <w:rFonts w:ascii="Arial" w:cs="Arial" w:eastAsia="Arial" w:hAnsi="Arial"/>
                <w:sz w:val="13"/>
                <w:szCs w:val="13"/>
                <w:b w:val="1"/>
                <w:bCs w:val="1"/>
                <w:color w:val="auto"/>
              </w:rPr>
              <w:t>Third</w:t>
            </w:r>
          </w:p>
        </w:tc>
        <w:tc>
          <w:tcPr>
            <w:tcW w:w="10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w w:val="85"/>
              </w:rPr>
              <w:t>Second</w:t>
            </w:r>
          </w:p>
        </w:tc>
        <w:tc>
          <w:tcPr>
            <w:tcW w:w="1080" w:type="dxa"/>
            <w:vAlign w:val="bottom"/>
          </w:tcPr>
          <w:p>
            <w:pPr>
              <w:jc w:val="right"/>
              <w:ind w:right="357"/>
              <w:spacing w:after="0" w:line="142"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52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Income statement data (in thousands,</w:t>
            </w:r>
          </w:p>
        </w:tc>
        <w:tc>
          <w:tcPr>
            <w:tcW w:w="10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except per share)</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447,249</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471,140</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372,136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241,054</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rPr>
                <w:sz w:val="20"/>
                <w:szCs w:val="20"/>
                <w:color w:val="auto"/>
              </w:rPr>
            </w:pPr>
            <w:r>
              <w:rPr>
                <w:rFonts w:ascii="Arial" w:cs="Arial" w:eastAsia="Arial" w:hAnsi="Arial"/>
                <w:sz w:val="13"/>
                <w:szCs w:val="13"/>
                <w:color w:val="auto"/>
              </w:rPr>
              <w:t>intangible assets (a)</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2,034</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2,313</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2,893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2,904</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2,883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 (a)</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8,089</w:t>
            </w: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3"/>
            <w:shd w:val="clear" w:color="auto" w:fill="CFF0FC"/>
          </w:tcPr>
          <w:p>
            <w:pPr>
              <w:jc w:val="right"/>
              <w:ind w:right="6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457,372</w:t>
            </w:r>
          </w:p>
        </w:tc>
        <w:tc>
          <w:tcPr>
            <w:tcW w:w="300" w:type="dxa"/>
            <w:vAlign w:val="bottom"/>
            <w:tcBorders>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473,453</w:t>
            </w:r>
          </w:p>
        </w:tc>
        <w:tc>
          <w:tcPr>
            <w:tcW w:w="280" w:type="dxa"/>
            <w:vAlign w:val="bottom"/>
            <w:tcBorders>
              <w:bottom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375,029</w:t>
            </w:r>
          </w:p>
        </w:tc>
        <w:tc>
          <w:tcPr>
            <w:tcW w:w="2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243,958</w:t>
            </w:r>
          </w:p>
        </w:tc>
        <w:tc>
          <w:tcPr>
            <w:tcW w:w="280" w:type="dxa"/>
            <w:vAlign w:val="bottom"/>
            <w:tcBorders>
              <w:bottom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271,705</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3.33</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3.52</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intangible assets (a)</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Merger-related expenses (a)</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.06</w:t>
            </w:r>
          </w:p>
        </w:tc>
        <w:tc>
          <w:tcPr>
            <w:tcW w:w="300" w:type="dxa"/>
            <w:vAlign w:val="bottom"/>
          </w:tcPr>
          <w:p>
            <w:pPr>
              <w:spacing w:after="0"/>
              <w:rPr>
                <w:sz w:val="12"/>
                <w:szCs w:val="1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52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Diluted net operating earnings per</w:t>
            </w: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3"/>
                <w:szCs w:val="13"/>
                <w:color w:val="auto"/>
              </w:rPr>
              <w:t>common share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2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919,444</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845,008</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826,774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807,042</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906,416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(2,738)</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(3,129)</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(3,914)</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(3,913)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(3,913)</w:t>
            </w: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(9,951)</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3"/>
            <w:shd w:val="clear" w:color="auto" w:fill="CFF0FC"/>
          </w:tcPr>
          <w:p>
            <w:pPr>
              <w:jc w:val="right"/>
              <w:ind w:right="6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5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906,755</w:t>
            </w:r>
          </w:p>
        </w:tc>
        <w:tc>
          <w:tcPr>
            <w:tcW w:w="300" w:type="dxa"/>
            <w:vAlign w:val="bottom"/>
            <w:tcBorders>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841,879</w:t>
            </w:r>
          </w:p>
        </w:tc>
        <w:tc>
          <w:tcPr>
            <w:tcW w:w="280" w:type="dxa"/>
            <w:vAlign w:val="bottom"/>
            <w:tcBorders>
              <w:bottom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822,860</w:t>
            </w:r>
          </w:p>
        </w:tc>
        <w:tc>
          <w:tcPr>
            <w:tcW w:w="2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803,129</w:t>
            </w:r>
          </w:p>
        </w:tc>
        <w:tc>
          <w:tcPr>
            <w:tcW w:w="280" w:type="dxa"/>
            <w:vAlign w:val="bottom"/>
            <w:tcBorders>
              <w:bottom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902,503</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Efficiency ratio</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Noninterest operating expense (numerator)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906,755</w:t>
            </w:r>
          </w:p>
        </w:tc>
        <w:tc>
          <w:tcPr>
            <w:tcW w:w="3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841,879</w:t>
            </w:r>
          </w:p>
        </w:tc>
        <w:tc>
          <w:tcPr>
            <w:tcW w:w="28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822,860</w:t>
            </w:r>
          </w:p>
        </w:tc>
        <w:tc>
          <w:tcPr>
            <w:tcW w:w="2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803,129</w:t>
            </w:r>
          </w:p>
        </w:tc>
        <w:tc>
          <w:tcPr>
            <w:tcW w:w="28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902,503</w:t>
            </w:r>
          </w:p>
        </w:tc>
        <w:tc>
          <w:tcPr>
            <w:tcW w:w="2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Taxable-equivalent net 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985,128</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993,252</w:t>
            </w: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947,114</w:t>
            </w: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961,371</w:t>
            </w: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981,868</w:t>
            </w: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Other income</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505,598</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551,250</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520,561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487,273</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529,360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Less: Gain (loss) on bank investment</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ind w:left="80"/>
              <w:spacing w:after="0"/>
              <w:rPr>
                <w:sz w:val="20"/>
                <w:szCs w:val="20"/>
                <w:color w:val="auto"/>
              </w:rPr>
            </w:pPr>
            <w:r>
              <w:rPr>
                <w:rFonts w:ascii="Arial" w:cs="Arial" w:eastAsia="Arial" w:hAnsi="Arial"/>
                <w:sz w:val="13"/>
                <w:szCs w:val="13"/>
                <w:color w:val="auto"/>
              </w:rPr>
              <w:t>securities</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(12,282)</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1,619</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2,773</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6,969</w:t>
            </w:r>
          </w:p>
        </w:tc>
        <w:tc>
          <w:tcPr>
            <w:tcW w:w="28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(20,782)</w:t>
            </w:r>
          </w:p>
        </w:tc>
        <w:tc>
          <w:tcPr>
            <w:tcW w:w="0" w:type="dxa"/>
            <w:vAlign w:val="bottom"/>
          </w:tcPr>
          <w:p>
            <w:pPr>
              <w:spacing w:after="0"/>
              <w:rPr>
                <w:sz w:val="1"/>
                <w:szCs w:val="1"/>
                <w:color w:val="auto"/>
              </w:rPr>
            </w:pPr>
          </w:p>
        </w:tc>
      </w:tr>
      <w:tr>
        <w:trPr>
          <w:trHeight w:val="182"/>
        </w:trPr>
        <w:tc>
          <w:tcPr>
            <w:tcW w:w="45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Denominator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1,503,008</w:t>
            </w:r>
          </w:p>
        </w:tc>
        <w:tc>
          <w:tcPr>
            <w:tcW w:w="300" w:type="dxa"/>
            <w:vAlign w:val="bottom"/>
            <w:tcBorders>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1,542,883</w:t>
            </w:r>
          </w:p>
        </w:tc>
        <w:tc>
          <w:tcPr>
            <w:tcW w:w="280" w:type="dxa"/>
            <w:vAlign w:val="bottom"/>
            <w:tcBorders>
              <w:bottom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1,464,902</w:t>
            </w:r>
          </w:p>
        </w:tc>
        <w:tc>
          <w:tcPr>
            <w:tcW w:w="2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1,441,675</w:t>
            </w:r>
          </w:p>
        </w:tc>
        <w:tc>
          <w:tcPr>
            <w:tcW w:w="280" w:type="dxa"/>
            <w:vAlign w:val="bottom"/>
            <w:tcBorders>
              <w:bottom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1,532,010</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Efficiency ratio</w:t>
            </w:r>
          </w:p>
        </w:tc>
        <w:tc>
          <w:tcPr>
            <w:tcW w:w="1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60.3%</w:t>
            </w:r>
          </w:p>
        </w:tc>
        <w:tc>
          <w:tcPr>
            <w:tcW w:w="132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54.6%</w:t>
            </w:r>
          </w:p>
        </w:tc>
        <w:tc>
          <w:tcPr>
            <w:tcW w:w="134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56.2%</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55.7%</w:t>
            </w:r>
          </w:p>
        </w:tc>
        <w:tc>
          <w:tcPr>
            <w:tcW w:w="136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 (in millions)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Average assets</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20"/>
                <w:szCs w:val="20"/>
                <w:color w:val="auto"/>
              </w:rPr>
            </w:pPr>
            <w:r>
              <w:rPr>
                <w:rFonts w:ascii="Arial" w:cs="Arial" w:eastAsia="Arial" w:hAnsi="Arial"/>
                <w:sz w:val="13"/>
                <w:szCs w:val="13"/>
                <w:color w:val="auto"/>
              </w:rPr>
              <w:t>Average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148,157</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144,563</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140,181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136,446</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120,585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(13)</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(16)</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(19)</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(23)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0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143,554</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139,958</w:t>
            </w:r>
          </w:p>
        </w:tc>
        <w:tc>
          <w:tcPr>
            <w:tcW w:w="2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135,574</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131,836</w:t>
            </w:r>
          </w:p>
        </w:tc>
        <w:tc>
          <w:tcPr>
            <w:tcW w:w="2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115,972</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Average common equity</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Average total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16,327</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16,213</w:t>
            </w:r>
          </w:p>
        </w:tc>
        <w:tc>
          <w:tcPr>
            <w:tcW w:w="2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16,073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15,953</w:t>
            </w:r>
          </w:p>
        </w:tc>
        <w:tc>
          <w:tcPr>
            <w:tcW w:w="2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15,720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4520" w:type="dxa"/>
            <w:vAlign w:val="bottom"/>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15,077</w:t>
            </w:r>
          </w:p>
        </w:tc>
        <w:tc>
          <w:tcPr>
            <w:tcW w:w="30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14,963</w:t>
            </w:r>
          </w:p>
        </w:tc>
        <w:tc>
          <w:tcPr>
            <w:tcW w:w="28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14,823</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14,703</w:t>
            </w:r>
          </w:p>
        </w:tc>
        <w:tc>
          <w:tcPr>
            <w:tcW w:w="280" w:type="dxa"/>
            <w:vAlign w:val="bottom"/>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14,470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(13)</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(16)</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(19)</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(23)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0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8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10,474</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10,358</w:t>
            </w:r>
          </w:p>
        </w:tc>
        <w:tc>
          <w:tcPr>
            <w:tcW w:w="2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10,216</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10,093</w:t>
            </w:r>
          </w:p>
        </w:tc>
        <w:tc>
          <w:tcPr>
            <w:tcW w:w="2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9,857</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At end of quarter</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150,481</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142,601</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138,627</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139,537</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124,578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(21)</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145,879</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137,998</w:t>
            </w:r>
          </w:p>
        </w:tc>
        <w:tc>
          <w:tcPr>
            <w:tcW w:w="2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134,021</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134,928</w:t>
            </w:r>
          </w:p>
        </w:tc>
        <w:tc>
          <w:tcPr>
            <w:tcW w:w="2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119,966</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16,447</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16,187</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16,101</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15,945</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15,816</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452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Common equity</w:t>
            </w: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15,197</w:t>
            </w:r>
          </w:p>
        </w:tc>
        <w:tc>
          <w:tcPr>
            <w:tcW w:w="30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14,937</w:t>
            </w:r>
          </w:p>
        </w:tc>
        <w:tc>
          <w:tcPr>
            <w:tcW w:w="28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14,851</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14,695</w:t>
            </w:r>
          </w:p>
        </w:tc>
        <w:tc>
          <w:tcPr>
            <w:tcW w:w="28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14,566</w:t>
            </w: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52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(17)</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(21)</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9"/>
        </w:trPr>
        <w:tc>
          <w:tcPr>
            <w:tcW w:w="45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10,595</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10,334</w:t>
            </w:r>
          </w:p>
        </w:tc>
        <w:tc>
          <w:tcPr>
            <w:tcW w:w="2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10,245</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10,086</w:t>
            </w:r>
          </w:p>
        </w:tc>
        <w:tc>
          <w:tcPr>
            <w:tcW w:w="2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9,954</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22"/>
        </w:trPr>
        <w:tc>
          <w:tcPr>
            <w:tcW w:w="7620" w:type="dxa"/>
            <w:vAlign w:val="bottom"/>
            <w:gridSpan w:val="15"/>
          </w:tcPr>
          <w:p>
            <w:pPr>
              <w:spacing w:after="0"/>
              <w:rPr>
                <w:sz w:val="20"/>
                <w:szCs w:val="20"/>
                <w:color w:val="auto"/>
              </w:rPr>
            </w:pPr>
            <w:r>
              <w:rPr>
                <w:rFonts w:ascii="Arial" w:cs="Arial" w:eastAsia="Arial" w:hAnsi="Arial"/>
                <w:sz w:val="20"/>
                <w:szCs w:val="20"/>
                <w:color w:val="auto"/>
                <w:w w:val="99"/>
              </w:rPr>
              <w:t>AVERAGE BALANCE SHEETS AND ANNUALIZED TAXABLE-EQUIVALENT RATES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2021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5"/>
          </w:tcPr>
          <w:p>
            <w:pPr>
              <w:jc w:val="center"/>
              <w:ind w:left="480"/>
              <w:spacing w:after="0"/>
              <w:rPr>
                <w:sz w:val="20"/>
                <w:szCs w:val="20"/>
                <w:color w:val="auto"/>
              </w:rPr>
            </w:pPr>
            <w:r>
              <w:rPr>
                <w:rFonts w:ascii="Arial" w:cs="Arial" w:eastAsia="Arial" w:hAnsi="Arial"/>
                <w:sz w:val="14"/>
                <w:szCs w:val="14"/>
                <w:b w:val="1"/>
                <w:bCs w:val="1"/>
                <w:color w:val="auto"/>
                <w:w w:val="95"/>
              </w:rPr>
              <w:t>2020 Fourth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center"/>
              <w:ind w:left="520"/>
              <w:spacing w:after="0"/>
              <w:rPr>
                <w:sz w:val="20"/>
                <w:szCs w:val="20"/>
                <w:color w:val="auto"/>
              </w:rPr>
            </w:pPr>
            <w:r>
              <w:rPr>
                <w:rFonts w:ascii="Arial" w:cs="Arial" w:eastAsia="Arial" w:hAnsi="Arial"/>
                <w:sz w:val="14"/>
                <w:szCs w:val="14"/>
                <w:b w:val="1"/>
                <w:bCs w:val="1"/>
                <w:color w:val="auto"/>
                <w:w w:val="97"/>
              </w:rPr>
              <w:t>2020 Third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3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3"/>
            <w:vMerge w:val="continue"/>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00" w:type="dxa"/>
            <w:vAlign w:val="bottom"/>
            <w:gridSpan w:val="2"/>
            <w:vMerge w:val="continue"/>
          </w:tcPr>
          <w:p>
            <w:pPr>
              <w:spacing w:after="0"/>
              <w:rPr>
                <w:sz w:val="14"/>
                <w:szCs w:val="14"/>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i w:val="1"/>
                <w:iCs w:val="1"/>
                <w:color w:val="auto"/>
              </w:rPr>
              <w:t>Average balance in millions; interest</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27,723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240,961</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247,847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217,171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391,094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37,707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400,176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37,243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398,619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154,219</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149,218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152,594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190,038</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16,485</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197,992</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192,223</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99,356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976,312</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98,666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995,233</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98,210</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960,607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27,666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6,874</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22,206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5,648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16,440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3,799</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34,094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37,768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37,157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6,605</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37,129</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40,637</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7,876</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38,594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134,355</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1,020,695</w:t>
            </w: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131,916</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1,042,862</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127,689</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1,005,180</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(1,744)</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(1,768)</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(1,649)</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13,043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148,157</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144,563</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140,181</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38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70,458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11,504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69,133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65,848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22,403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74,873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18,699</w:t>
            </w:r>
          </w:p>
        </w:tc>
        <w:tc>
          <w:tcPr>
            <w:tcW w:w="20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74,072</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30,080</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71,520</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37,163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16,866</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5,294</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19,528</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5,499</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20,902</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78,786</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35,567</w:t>
            </w: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79,430</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49,610</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77,081</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58,066</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50,860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46,904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44,786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131,830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128,350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124,108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16,327</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16,213</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16,073</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FF0FC"/>
            </w:tcBorders>
            <w:gridSpan w:val="2"/>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148,157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144,563</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140,181</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985,128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993,252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947,114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AVERAGE BALANCE SHEETS AND ANNUALIZED TAXABLE-EQUIVALENT RATES (continued)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2020 Second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2020 First Quarter</w:t>
            </w:r>
          </w:p>
        </w:tc>
        <w:tc>
          <w:tcPr>
            <w:tcW w:w="7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Balance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29,733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229,058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24,290</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247,344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36,947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412,362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36,034</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440,291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156,135</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15,931</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160,650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15,518</w:t>
            </w:r>
          </w:p>
        </w:tc>
        <w:tc>
          <w:tcPr>
            <w:tcW w:w="3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187,041</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15,451</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203,546</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97,797</w:t>
            </w:r>
          </w:p>
        </w:tc>
        <w:tc>
          <w:tcPr>
            <w:tcW w:w="3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984,596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91,706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1,051,831</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16,454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4,179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6,130</w:t>
            </w: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18,966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7,796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43,889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8,359</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45,449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3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3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47,256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50,194</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123,492</w:t>
            </w: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1,036,476</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108,226</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1,125,482</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2"/>
              <w:spacing w:after="0"/>
              <w:rPr>
                <w:sz w:val="20"/>
                <w:szCs w:val="20"/>
                <w:color w:val="auto"/>
              </w:rPr>
            </w:pPr>
            <w:r>
              <w:rPr>
                <w:rFonts w:ascii="Arial" w:cs="Arial" w:eastAsia="Arial" w:hAnsi="Arial"/>
                <w:sz w:val="16"/>
                <w:szCs w:val="16"/>
                <w:color w:val="auto"/>
              </w:rPr>
              <w:t>(1,401)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(1,191)</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13,110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136,446</w:t>
            </w: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120,585</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Savings and interest-checking 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62,927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26,454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56,366</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78,002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5,672</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21,872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3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69,298</w:t>
            </w:r>
          </w:p>
        </w:tc>
        <w:tc>
          <w:tcPr>
            <w:tcW w:w="3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46,498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63,710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103,293</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6,189</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28,605</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40,298</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4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75,550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75,105</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70,008</w:t>
            </w: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143,614</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42,497</w:t>
            </w: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32,456</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3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120,493</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104,865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w:t>
            </w: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136,446</w:t>
            </w:r>
          </w:p>
        </w:tc>
        <w:tc>
          <w:tcPr>
            <w:tcW w:w="3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120,585</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3.35</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961,371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981,868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9" w:name="page80"/>
    <w:bookmarkEnd w:id="79"/>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46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10" w:lineRule="exact"/>
        <w:rPr>
          <w:sz w:val="20"/>
          <w:szCs w:val="20"/>
          <w:color w:val="auto"/>
        </w:rPr>
      </w:pPr>
    </w:p>
    <w:p>
      <w:pPr>
        <w:jc w:val="both"/>
        <w:ind w:firstLine="476"/>
        <w:spacing w:after="0" w:line="249" w:lineRule="auto"/>
        <w:tabs>
          <w:tab w:leader="none" w:pos="786" w:val="left"/>
        </w:tabs>
        <w:numPr>
          <w:ilvl w:val="0"/>
          <w:numId w:val="28"/>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March 31, 2021.</w:t>
      </w:r>
    </w:p>
    <w:p>
      <w:pPr>
        <w:spacing w:after="0" w:line="212" w:lineRule="exact"/>
        <w:rPr>
          <w:rFonts w:ascii="Arial" w:cs="Arial" w:eastAsia="Arial" w:hAnsi="Arial"/>
          <w:sz w:val="21"/>
          <w:szCs w:val="21"/>
          <w:color w:val="auto"/>
        </w:rPr>
      </w:pPr>
    </w:p>
    <w:p>
      <w:pPr>
        <w:jc w:val="both"/>
        <w:ind w:firstLine="476"/>
        <w:spacing w:after="0" w:line="247" w:lineRule="auto"/>
        <w:tabs>
          <w:tab w:leader="none" w:pos="806" w:val="left"/>
        </w:tabs>
        <w:numPr>
          <w:ilvl w:val="0"/>
          <w:numId w:val="28"/>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2021 that have materially affected, or are reasonably likely to materially affect, M&amp;T’s internal control over financial reporting.</w:t>
      </w:r>
    </w:p>
    <w:p>
      <w:pPr>
        <w:spacing w:after="0" w:line="215"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In addition to the risk factors disclosed in response to Item 1A to Part I of M&amp;T’s Form 10-K for the year ended December 31, 2020, M&amp;T has identified certain supplemental risk factors relating to M&amp;T’s acquisition of People’s United Financial, Inc. (“People’s United”) pursuant to an agreement and plan of merger, dated February 21, 2021, by and among M&amp;T, Bridge Merger Corp., a direct, wholly owned subsidiary of M&amp;T, and People’s United (the “merger agreement” and, such transaction, the “merger”). These risk factors and other risks associated with the merger are more fully discussed in the joint proxy statement/prospectus in connection with the merger that was filed by M&amp;T with the Securities and Exchange Commission on April 23,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0" w:name="page81"/>
    <w:bookmarkEnd w:id="80"/>
    <w:p>
      <w:pPr>
        <w:ind w:left="580"/>
        <w:spacing w:after="0"/>
        <w:rPr>
          <w:sz w:val="20"/>
          <w:szCs w:val="20"/>
          <w:color w:val="auto"/>
        </w:rPr>
      </w:pPr>
      <w:r>
        <w:rPr>
          <w:rFonts w:ascii="Arial" w:cs="Arial" w:eastAsia="Arial" w:hAnsi="Arial"/>
          <w:sz w:val="21"/>
          <w:szCs w:val="21"/>
          <w:b w:val="1"/>
          <w:bCs w:val="1"/>
          <w:color w:val="auto"/>
        </w:rPr>
        <w:t>Risks Related to the Merger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is expected to incur significant costs related to the merger and integration.</w:t>
      </w:r>
    </w:p>
    <w:p>
      <w:pPr>
        <w:spacing w:after="0" w:line="110"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20"/>
          <w:szCs w:val="20"/>
          <w:color w:val="auto"/>
        </w:rPr>
        <w:t>M&amp;T has incurred and expects to incur significant, non-recurring costs in connection with negotiating the merger agreement and closing the merger. In addition, M&amp;T will incur integration costs following the completion of the merger as M&amp;T integrates the People’s United business, including facilities and systems consolidation costs and employment-related costs.</w:t>
      </w:r>
    </w:p>
    <w:p>
      <w:pPr>
        <w:spacing w:after="0" w:line="58" w:lineRule="exact"/>
        <w:rPr>
          <w:sz w:val="20"/>
          <w:szCs w:val="20"/>
          <w:color w:val="auto"/>
        </w:rPr>
      </w:pPr>
    </w:p>
    <w:p>
      <w:pPr>
        <w:jc w:val="both"/>
        <w:ind w:firstLine="562"/>
        <w:spacing w:after="0" w:line="262" w:lineRule="auto"/>
        <w:rPr>
          <w:sz w:val="20"/>
          <w:szCs w:val="20"/>
          <w:color w:val="auto"/>
        </w:rPr>
      </w:pPr>
      <w:r>
        <w:rPr>
          <w:rFonts w:ascii="Arial" w:cs="Arial" w:eastAsia="Arial" w:hAnsi="Arial"/>
          <w:sz w:val="20"/>
          <w:szCs w:val="20"/>
          <w:color w:val="auto"/>
        </w:rPr>
        <w:t>There can be no assurances that the expected benefits and efficiencies related to the integration of the businesses will be realized to offset these transaction and integration costs over time. M&amp;T may also incur additional costs to maintain employee morale and to retain key employees. M&amp;T will also incur significant legal, financial advisory, accounting, banking and consulting fees, fees relating to regulatory filings and notices, SEC filing fees, printing and mailing fees and other costs associated with the merger. Some of these costs are payable regardless of whether the merger is completed.</w:t>
      </w:r>
    </w:p>
    <w:p>
      <w:pPr>
        <w:spacing w:after="0" w:line="68"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b w:val="1"/>
          <w:bCs w:val="1"/>
          <w:i w:val="1"/>
          <w:iCs w:val="1"/>
          <w:color w:val="auto"/>
        </w:rPr>
        <w:t>Combining M&amp;T and People’s United may be more difficult, costly or time-consuming than expected, and M&amp;T may fail to realize the anticipated benefits of the merger.</w:t>
      </w:r>
    </w:p>
    <w:p>
      <w:pPr>
        <w:spacing w:after="0" w:line="6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The success of the merger will depend, in part, on the ability to realize the anticipated cost savings from combining the businesses of M&amp;T and People’s United. To realize the anticipated benefits and cost savings from the merger M&amp;T and People’s United must integrate and combine their businesses in a manner that permits cost savings to be realized, without adversely affecting revenues and future growth. If M&amp;T and People’s United are not able to successfully achieve these objectives, the anticipated benefits of the merger may not be realized fully or at all or may take longer to realize than expected. In addition, the actual cost savings of the merger could be less than anticipated, and integration may result in additional and unforeseen expenses.</w:t>
      </w:r>
    </w:p>
    <w:p>
      <w:pPr>
        <w:spacing w:after="0" w:line="53"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M&amp;T following the completion of the merger, which may adversely affect the value of M&amp;T’s common stock following the completion of the merger.</w:t>
      </w:r>
    </w:p>
    <w:p>
      <w:pPr>
        <w:spacing w:after="0" w:line="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M&amp;T and People’s United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and cost savings of the merger. Integration efforts between the two companies may also divert management attention and resources. These integration matters could have an adverse effect on M&amp;T during this transition period and for an undetermined period after completion of the merger.</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M&amp;T may be unable to retain M&amp;T and/or People’s United personnel successfully after the merger is completed.</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9"/>
          <w:szCs w:val="19"/>
          <w:color w:val="auto"/>
        </w:rPr>
        <w:t>The success of the merger will depend in part on M&amp;T’s ability to retain the talents and dedication of key employees currently employed by M&amp;T and People’s United. It is possible that these employees may decide not to remain with M&amp;T or People’s United, as applicable, while the merger is pending or with M&amp;T after the merger is completed. If M&amp;T and People’s United are unable to retain key employees, including management, who are critical to the successful integration and future operations of the companies, M&amp;T and People’s United could face disruptions in their operations, loss of existing customers, loss of key information, expertise or know-how and unanticipated additional recruitment costs. In addition, following the merger, if key employees terminate their employment, M&amp;T’s business activities may be adversely affected, and management’s attention may be diverted from successfully integrating M&amp;T and People’s United to hiring suitable replacements, all of which may cause M&amp;T’s business to suffer. In addition, M&amp;T and People’s United may not be able to locate or retain suitable replacements for any key employees who leave either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1" w:name="page82"/>
    <w:bookmarkEnd w:id="81"/>
    <w:p>
      <w:pPr>
        <w:ind w:left="580"/>
        <w:spacing w:after="0"/>
        <w:rPr>
          <w:sz w:val="20"/>
          <w:szCs w:val="20"/>
          <w:color w:val="auto"/>
        </w:rPr>
      </w:pPr>
      <w:r>
        <w:rPr>
          <w:rFonts w:ascii="Arial" w:cs="Arial" w:eastAsia="Arial" w:hAnsi="Arial"/>
          <w:sz w:val="21"/>
          <w:szCs w:val="21"/>
          <w:b w:val="1"/>
          <w:bCs w:val="1"/>
          <w:i w:val="1"/>
          <w:iCs w:val="1"/>
          <w:color w:val="auto"/>
        </w:rPr>
        <w:t>The COVID-19 pandemic may delay and adversely affect the completion of the merger</w:t>
      </w:r>
      <w:r>
        <w:rPr>
          <w:rFonts w:ascii="Arial" w:cs="Arial" w:eastAsia="Arial" w:hAnsi="Arial"/>
          <w:sz w:val="21"/>
          <w:szCs w:val="21"/>
          <w:b w:val="1"/>
          <w:bCs w:val="1"/>
          <w:color w:val="auto"/>
        </w:rPr>
        <w:t>.</w:t>
      </w:r>
    </w:p>
    <w:p>
      <w:pPr>
        <w:spacing w:after="0" w:line="11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The Coronavirus Disease 2019 (“COVID-19”) pandemic has created economic and financial disruptions that have adversely affected, and are likely to continue to adversely affect, the business, financial condition, liquidity, capital and results of operations of M&amp;T and People’s United. If the effects of the COVID-19 pandemic cause a continued or extended decline in the economic environment and the financial results of M&amp;T or People’s United, or the business operations of M&amp;T or People’s United are further disrupted as a result of the COVID-19 pandemic, efforts to complete the merger and integrate the businesses of M&amp;T and People’s United may also be delayed and adversely affected. Additional time may be required to obtain the requisite regulatory approvals, and the Board of Governors of the Federal Reserve System (the “Federal Reserve Board”), the New York Department of Financial Services (“NYDFS”), the Connecticut Department of Banking (“CTDOB”) and/or other regulators may impose additional requirements on M&amp;T or People’s United that must be satisfied prior to completion of the merger, which could delay and adversely affect the completion of the merger.</w:t>
      </w:r>
    </w:p>
    <w:p>
      <w:pPr>
        <w:spacing w:after="0" w:line="75"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21"/>
          <w:szCs w:val="21"/>
          <w:b w:val="1"/>
          <w:bCs w:val="1"/>
          <w:i w:val="1"/>
          <w:iCs w:val="1"/>
          <w:color w:val="auto"/>
        </w:rPr>
        <w:t>Regulatory approvals may not be received, may take longer than expected, or may impose conditions that are not presently anticipated or that could have an adverse effect on M&amp;T following the merger.</w:t>
      </w:r>
    </w:p>
    <w:p>
      <w:pPr>
        <w:spacing w:after="0" w:line="6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Before the merger and the other transactions contemplated by the merger agreement may be completed, various approvals, consents and non-objections must be obtained from the Federal Reserve Board, the NYDFS, the CTDOB, and other regulatory authorities. In determining whether to grant these approvals, such regulatory authorities consider a variety of factors. These approvals could be delayed or not obtained at all, including due to: an adverse development in either party’s regulatory standing or in any other factors considered by regulators when granting such approvals, including factors not known at the present time and factors that may arise in the future; governmental, political or community group inquiries, investigations or opposition; or changes in legislation or the political environment generally. The Federal Reserve Board has stated that if material weaknesses are identified by examiners before a banking organization applies to engage in expansionary activity, the Federal Reserve Board will expect the banking organization to resolve all such weaknesses before applying for such expansionary activity. The Federal Reserve Board has also stated that if issues arise during the processing of an application for expansionary activity, it will expect the applicant banking organization to withdraw its application pending resolution of any supervisory concerns.</w:t>
      </w:r>
    </w:p>
    <w:p>
      <w:pPr>
        <w:spacing w:after="0" w:line="6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The approvals that are granted may impose terms and conditions, limitations, obligations or costs, or place restrictions on the conduct of M&amp;T’s business or require changes to the terms of the transactions contemplated by the merger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M&amp;T following the merger or otherwise reduce the anticipated benefits of the merger if the merger were consummated successfully within the expected timeframe. In addition, there can be no assurance that any such conditions, terms, obligations or restrictions will not result in the delay or abandonment of the merger. Additionally, the completion of the merger is conditioned on the absence of certain orders, injunctions or decrees by any court or regulatory agency of competent jurisdiction that would prohibit or make illegal the completion of any of the transactions contemplated by the merger agreement.</w:t>
      </w:r>
    </w:p>
    <w:p>
      <w:pPr>
        <w:spacing w:after="0" w:line="75"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21"/>
          <w:szCs w:val="21"/>
          <w:color w:val="auto"/>
        </w:rPr>
        <w:t>In addition, despite the parties’ commitments to use their reasonable best efforts to comply with conditions imposed by regulators, under the terms of the merger agreement, M&amp;T will not be required, and People’s United will not be permitted without M&amp;T’s prior written consent, to take actions or agree to conditions in connection with obtaining the foregoing permits, consents, approvals and authorizations of governmental entities that would reasonably be expected to have a material adverse effect on M&amp;T and its subsidiaries, taken as a whole, after giving effect to the merger.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Failure to complete the merger could negatively impact M&amp;T.</w:t>
      </w:r>
    </w:p>
    <w:p>
      <w:pPr>
        <w:spacing w:after="0" w:line="110"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color w:val="auto"/>
        </w:rPr>
        <w:t>If the merger is not completed for any reason, including as a result of M&amp;T shareholders failing to approve either the amendment to M&amp;T’s restated certificate of incorporation to increase the number of authorized shares of M&amp;T’s capital stock and preferred stock or the issuance of shares of M&amp;T common stock to People’s United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2" w:name="page83"/>
    <w:bookmarkEnd w:id="82"/>
    <w:p>
      <w:pPr>
        <w:jc w:val="both"/>
        <w:spacing w:after="0" w:line="258" w:lineRule="auto"/>
        <w:rPr>
          <w:sz w:val="20"/>
          <w:szCs w:val="20"/>
          <w:color w:val="auto"/>
        </w:rPr>
      </w:pPr>
      <w:r>
        <w:rPr>
          <w:rFonts w:ascii="Arial" w:cs="Arial" w:eastAsia="Arial" w:hAnsi="Arial"/>
          <w:sz w:val="20"/>
          <w:szCs w:val="20"/>
          <w:color w:val="auto"/>
        </w:rPr>
        <w:t>stockholders in the merger or People’s United stockholders failing to approve the merger, there may be various adverse consequences and M&amp;T may experience negative reactions from the financial markets and from its customers and employees. For example, M&amp;T’s business may have been impacted adversely by the failure to pursue other beneficial opportunities due to the focus of management on the merger, without realizing any of the anticipated benefits of completing the merger. Additionally, if the merger agreement is terminated, the market price of M&amp;T common stock could decline to the extent that the current market price of M&amp;T common stock reflects a market assumption that the merger will be beneficial to M&amp;T and will be completed. M&amp;T could be subject to litigation related to any failure to complete the merger or to proceedings commenced against M&amp;T to perform its obligations under the merger agreement. If the merger agreement is terminated under certain circumstances, M&amp;T may be required to pay a termination fee of $280 million to People’s United.</w:t>
      </w:r>
    </w:p>
    <w:p>
      <w:pPr>
        <w:spacing w:after="0" w:line="70" w:lineRule="exact"/>
        <w:rPr>
          <w:sz w:val="20"/>
          <w:szCs w:val="20"/>
          <w:color w:val="auto"/>
        </w:rPr>
      </w:pPr>
    </w:p>
    <w:p>
      <w:pPr>
        <w:jc w:val="both"/>
        <w:ind w:firstLine="562"/>
        <w:spacing w:after="0" w:line="265" w:lineRule="auto"/>
        <w:rPr>
          <w:sz w:val="20"/>
          <w:szCs w:val="20"/>
          <w:color w:val="auto"/>
        </w:rPr>
      </w:pPr>
      <w:r>
        <w:rPr>
          <w:rFonts w:ascii="Arial" w:cs="Arial" w:eastAsia="Arial" w:hAnsi="Arial"/>
          <w:sz w:val="20"/>
          <w:szCs w:val="20"/>
          <w:color w:val="auto"/>
        </w:rPr>
        <w:t>Additionally, M&amp;T has incurred and will incur substantial expenses in connection with the negotiation and completion of the transactions contemplated by the merger agreement, as well as the costs and expenses of preparing, filing, printing and mailing the joint proxy statement/prospectus for the merger, and all filing and other fees paid in connection with the merger. If the merger is not completed, M&amp;T would have to pay these expenses without realizing the expected benefits of the merger.</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will be subject to business uncertainties and contractual restrictions while the merger is pending.</w:t>
      </w:r>
    </w:p>
    <w:p>
      <w:pPr>
        <w:spacing w:after="0" w:line="110"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Uncertainty about the effect of the merger on employees and customers may have an adverse effect on M&amp;T. These uncertainties may impair M&amp;T’s ability to attract, retain and motivate key personnel until the merger is completed, and could cause customers and others that deal with M&amp;T to seek to change existing business relationships with M&amp;T. In addition, subject to certain exceptions, M&amp;T has agreed to refrain from taking certain actions that may adversely affect its ability to consummate the merger on a timely basis without People United’s consent. These restrictions may prevent M&amp;T from pursuing attractive business opportunities that may arise prior to the completion of the merger.</w:t>
      </w:r>
    </w:p>
    <w:p>
      <w:pPr>
        <w:spacing w:after="0" w:line="8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b w:val="1"/>
          <w:bCs w:val="1"/>
          <w:i w:val="1"/>
          <w:iCs w:val="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which could prevent or delay the completion of the merger, result in the payment of damages or otherwise negatively impact the business and operations of M&amp;T.</w:t>
      </w:r>
    </w:p>
    <w:p>
      <w:pPr>
        <w:spacing w:after="0" w:line="7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21"/>
          <w:szCs w:val="2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Among other remedies, litigation that has been filed seeks, and additional litigation by shareholders of M&amp;T and/or stockholders of People’s United in the future may seek, damages and/or to enjoin the merger or the other transactions contemplated by the merger agreement. The outcome of any litigation is uncertain. If any plaintiff were successful in obtaining an injunction prohibiting M&amp;T or People’s United from completing the merger or any other transactions contemplated by the merger agreement, then such injunction may delay or prevent the effectiveness of the merger and could result in significant costs to M&amp;T, including costs in connection with the defense or settlement of any shareholder lawsuits filed in connection with the merger. Further, such lawsuits and the defense or settlement of any such lawsuits may have an adverse effect on the financial condition and results of operations of M&amp;T.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COVID-19 pandemic’s impact on M&amp;T’s business and operations following the completion of the merger is uncertain.</w:t>
      </w:r>
    </w:p>
    <w:p>
      <w:pPr>
        <w:spacing w:after="0" w:line="144" w:lineRule="exact"/>
        <w:rPr>
          <w:sz w:val="20"/>
          <w:szCs w:val="20"/>
          <w:color w:val="auto"/>
        </w:rPr>
      </w:pPr>
    </w:p>
    <w:p>
      <w:pPr>
        <w:jc w:val="both"/>
        <w:ind w:firstLine="562"/>
        <w:spacing w:after="0" w:line="246" w:lineRule="exact"/>
        <w:rPr>
          <w:sz w:val="20"/>
          <w:szCs w:val="20"/>
          <w:color w:val="auto"/>
        </w:rPr>
      </w:pPr>
      <w:r>
        <w:rPr>
          <w:rFonts w:ascii="Arial" w:cs="Arial" w:eastAsia="Arial" w:hAnsi="Arial"/>
          <w:sz w:val="19"/>
          <w:szCs w:val="19"/>
          <w:color w:val="auto"/>
        </w:rPr>
        <w:t>The extent to which the COVID-19 pandemic will negatively affect the business, financial condition, liquidity, capital and results of operations of M&amp;T following the completion of the merger will depend on future developments, which are highly uncertain and cannot be predicted, including the scope and duration of the COVID</w:t>
      </w:r>
      <w:r>
        <w:rPr>
          <w:rFonts w:ascii="MS PGothic" w:cs="MS PGothic" w:eastAsia="MS PGothic" w:hAnsi="MS PGothic"/>
          <w:sz w:val="19"/>
          <w:szCs w:val="19"/>
          <w:color w:val="auto"/>
        </w:rPr>
        <w:t>‑</w:t>
      </w:r>
      <w:r>
        <w:rPr>
          <w:rFonts w:ascii="Arial" w:cs="Arial" w:eastAsia="Arial" w:hAnsi="Arial"/>
          <w:sz w:val="19"/>
          <w:szCs w:val="19"/>
          <w:color w:val="auto"/>
        </w:rPr>
        <w:t>19 pandemic, the direct and indirect impact of the COVID-19 pandemic on employees, clients, counterparties and service providers, as well as other market participants, and actions taken by governmental authorities and other third parties in response to the COVID-19 pandemic. Given the ongoing and dynamic nature of the circumstances, it is difficult to predict the impact of the COVID-19 pandemic on M&amp;T’s business, and there is no guarantee that efforts by M&amp;T to address the adverse impacts of the COVID-19 pandemic will be effective.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3" w:name="page84"/>
    <w:bookmarkEnd w:id="83"/>
    <w:p>
      <w:pPr>
        <w:jc w:val="both"/>
        <w:ind w:firstLine="562"/>
        <w:spacing w:after="0" w:line="252" w:lineRule="auto"/>
        <w:rPr>
          <w:sz w:val="20"/>
          <w:szCs w:val="20"/>
          <w:color w:val="auto"/>
        </w:rPr>
      </w:pPr>
      <w:r>
        <w:rPr>
          <w:rFonts w:ascii="Arial" w:cs="Arial" w:eastAsia="Arial" w:hAnsi="Arial"/>
          <w:sz w:val="21"/>
          <w:szCs w:val="21"/>
          <w:color w:val="auto"/>
        </w:rPr>
        <w:t>Even after the COVID-19 pandemic has subsided, M&amp;T may continue to experience adverse impacts to its business as a result of the COVID-19 pandemic’s global economic impact, including reduced availability of credit, adverse impacts on liquidity and the negative financial effects from any recession or depression that may occur.</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82"/>
        <w:spacing w:after="0"/>
        <w:tabs>
          <w:tab w:leader="none" w:pos="8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0"/>
        </w:numPr>
        <w:rPr>
          <w:rFonts w:ascii="Arial" w:cs="Arial" w:eastAsia="Arial" w:hAnsi="Arial"/>
          <w:sz w:val="21"/>
          <w:szCs w:val="21"/>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1"/>
              </w:rPr>
              <w:t>Issuer Purchases of Equity Securities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(or 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(b)Average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180" w:type="dxa"/>
            <w:vAlign w:val="bottom"/>
            <w:gridSpan w:val="3"/>
            <w:vMerge w:val="continue"/>
          </w:tcPr>
          <w:p>
            <w:pPr>
              <w:spacing w:after="0"/>
              <w:rPr>
                <w:sz w:val="14"/>
                <w:szCs w:val="14"/>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(or Unit)</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0"/>
        </w:trPr>
        <w:tc>
          <w:tcPr>
            <w:tcW w:w="42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January 1 - January 31,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132.47</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February 1 - February 28, 2021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 March 31,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00" w:hanging="492"/>
        <w:spacing w:after="0" w:line="254" w:lineRule="auto"/>
        <w:tabs>
          <w:tab w:leader="none" w:pos="5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00" w:hanging="492"/>
        <w:spacing w:after="0"/>
        <w:tabs>
          <w:tab w:leader="none" w:pos="50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20, 2021, M&amp;T's Board of Directors authorized a new stock repurchase program to repurchase up to $800 million of common shares.</w:t>
      </w:r>
    </w:p>
    <w:p>
      <w:pPr>
        <w:spacing w:after="0" w:line="262"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4" w:name="page85"/>
    <w:bookmarkEnd w:id="84"/>
    <w:p>
      <w:pPr>
        <w:spacing w:after="0"/>
        <w:tabs>
          <w:tab w:leader="none" w:pos="1000" w:val="left"/>
        </w:tabs>
        <w:rPr>
          <w:sz w:val="20"/>
          <w:szCs w:val="20"/>
          <w:color w:val="auto"/>
        </w:rPr>
      </w:pPr>
      <w:r>
        <w:rPr>
          <w:rFonts w:ascii="Arial" w:cs="Arial" w:eastAsia="Arial" w:hAnsi="Arial"/>
          <w:sz w:val="21"/>
          <w:szCs w:val="21"/>
          <w:color w:val="auto"/>
        </w:rPr>
        <w:t>Item 6.</w:t>
      </w:r>
      <w:r>
        <w:rPr>
          <w:sz w:val="20"/>
          <w:szCs w:val="20"/>
          <w:color w:val="auto"/>
        </w:rPr>
        <w:tab/>
      </w:r>
      <w:r>
        <w:rPr>
          <w:rFonts w:ascii="Arial" w:cs="Arial" w:eastAsia="Arial" w:hAnsi="Arial"/>
          <w:sz w:val="19"/>
          <w:szCs w:val="19"/>
          <w:color w:val="auto"/>
        </w:rPr>
        <w:t>Exhibits.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following exhibits are filed as a part of this report.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1"/>
          <w:szCs w:val="21"/>
          <w:color w:val="auto"/>
        </w:rPr>
        <w:t>Exhibit</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00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gridSpan w:val="3"/>
          </w:tcPr>
          <w:p>
            <w:pPr>
              <w:ind w:left="120"/>
              <w:spacing w:after="0"/>
              <w:rPr>
                <w:rFonts w:ascii="Arial" w:cs="Arial" w:eastAsia="Arial" w:hAnsi="Arial"/>
                <w:sz w:val="21"/>
                <w:szCs w:val="21"/>
                <w:color w:val="0000EE"/>
              </w:rPr>
            </w:pPr>
            <w:hyperlink r:id="rId124">
              <w:r>
                <w:rPr>
                  <w:rFonts w:ascii="Arial" w:cs="Arial" w:eastAsia="Arial" w:hAnsi="Arial"/>
                  <w:sz w:val="21"/>
                  <w:szCs w:val="21"/>
                  <w:color w:val="0000EE"/>
                </w:rPr>
                <w:t>2.</w:t>
              </w:r>
              <w:r>
                <w:rPr>
                  <w:rFonts w:ascii="Arial" w:cs="Arial" w:eastAsia="Arial" w:hAnsi="Arial"/>
                  <w:sz w:val="21"/>
                  <w:szCs w:val="21"/>
                  <w:u w:val="single" w:color="auto"/>
                  <w:color w:val="0000EE"/>
                </w:rPr>
                <w:t>1</w:t>
              </w:r>
            </w:hyperlink>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1"/>
              </w:rPr>
              <w:t>Agreement and Plan of Merger dated as of February 21, 2021, by and between M&amp;T Bank Corporation, Bridge Merger</w:t>
            </w:r>
          </w:p>
        </w:tc>
      </w:tr>
      <w:tr>
        <w:trPr>
          <w:trHeight w:val="250"/>
        </w:trPr>
        <w:tc>
          <w:tcPr>
            <w:tcW w:w="12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2"/>
              </w:rPr>
              <w:t>Corp. and People’s United Financial, Inc. Incorporated by reference to Exhibit 2.1 of M&amp;T Bank Corporation’s Form 8-</w:t>
            </w:r>
          </w:p>
        </w:tc>
      </w:tr>
      <w:tr>
        <w:trPr>
          <w:trHeight w:val="264"/>
        </w:trPr>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K dated February 25, 2021 (File No. 1-9861).</w:t>
            </w:r>
          </w:p>
        </w:tc>
      </w:tr>
      <w:tr>
        <w:trPr>
          <w:trHeight w:val="438"/>
        </w:trPr>
        <w:tc>
          <w:tcPr>
            <w:tcW w:w="480" w:type="dxa"/>
            <w:vAlign w:val="bottom"/>
            <w:gridSpan w:val="3"/>
          </w:tcPr>
          <w:p>
            <w:pPr>
              <w:ind w:left="120"/>
              <w:spacing w:after="0"/>
              <w:rPr>
                <w:rFonts w:ascii="Arial" w:cs="Arial" w:eastAsia="Arial" w:hAnsi="Arial"/>
                <w:sz w:val="21"/>
                <w:szCs w:val="21"/>
                <w:color w:val="0000EE"/>
                <w:w w:val="83"/>
              </w:rPr>
            </w:pPr>
            <w:hyperlink r:id="rId125">
              <w:r>
                <w:rPr>
                  <w:rFonts w:ascii="Arial" w:cs="Arial" w:eastAsia="Arial" w:hAnsi="Arial"/>
                  <w:sz w:val="21"/>
                  <w:szCs w:val="21"/>
                  <w:color w:val="0000EE"/>
                  <w:w w:val="83"/>
                </w:rPr>
                <w:t>10.</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M&amp;T Bank Corporation 2008 Directors’ Stock Plan, as amended on February 19, 2021.  Incorporated by reference to</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Exhibit 4.1 of M&amp;T Bank Corporation’s Form S-8 dated March 26, 2021 (File No. 333-254786).</w:t>
            </w:r>
          </w:p>
        </w:tc>
      </w:tr>
      <w:tr>
        <w:trPr>
          <w:trHeight w:val="438"/>
        </w:trPr>
        <w:tc>
          <w:tcPr>
            <w:tcW w:w="480" w:type="dxa"/>
            <w:vAlign w:val="bottom"/>
            <w:gridSpan w:val="3"/>
          </w:tcPr>
          <w:p>
            <w:pPr>
              <w:ind w:left="120"/>
              <w:spacing w:after="0"/>
              <w:rPr>
                <w:rFonts w:ascii="Arial" w:cs="Arial" w:eastAsia="Arial" w:hAnsi="Arial"/>
                <w:sz w:val="21"/>
                <w:szCs w:val="21"/>
                <w:color w:val="0000EE"/>
                <w:w w:val="83"/>
              </w:rPr>
            </w:pPr>
            <w:hyperlink w:anchor="page87">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Arial" w:cs="Arial" w:eastAsia="Arial" w:hAnsi="Arial"/>
                <w:sz w:val="21"/>
                <w:szCs w:val="21"/>
                <w:color w:val="0000EE"/>
                <w:w w:val="83"/>
              </w:rPr>
            </w:pPr>
            <w:hyperlink w:anchor="page88">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Arial" w:cs="Arial" w:eastAsia="Arial" w:hAnsi="Arial"/>
                <w:sz w:val="21"/>
                <w:szCs w:val="21"/>
                <w:color w:val="0000EE"/>
                <w:w w:val="83"/>
              </w:rPr>
            </w:pPr>
            <w:hyperlink w:anchor="page89">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Certification of Chief Executive Officer under 18 U.S.C. §1350 pursuant to Section 906 of the Sarbanes-Oxley Act of</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38"/>
        </w:trPr>
        <w:tc>
          <w:tcPr>
            <w:tcW w:w="480" w:type="dxa"/>
            <w:vAlign w:val="bottom"/>
            <w:gridSpan w:val="3"/>
          </w:tcPr>
          <w:p>
            <w:pPr>
              <w:ind w:left="120"/>
              <w:spacing w:after="0"/>
              <w:rPr>
                <w:rFonts w:ascii="Arial" w:cs="Arial" w:eastAsia="Arial" w:hAnsi="Arial"/>
                <w:sz w:val="21"/>
                <w:szCs w:val="21"/>
                <w:color w:val="0000EE"/>
                <w:w w:val="83"/>
              </w:rPr>
            </w:pPr>
            <w:hyperlink w:anchor="page90">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4"/>
              </w:rPr>
              <w:t>Certification of Chief Financial Officer under 18 U.S.C. §1350 pursuant to Section 906 of the Sarbanes-Oxley Act of</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101.INS</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Instance Document.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101.SCH</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Schema.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101.CAL</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Calculation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101.DEF</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Definition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101.LAB</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Label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101.PRE</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Presentation Linkbase. Filed herewith.</w:t>
            </w:r>
          </w:p>
        </w:tc>
      </w:tr>
    </w:tbl>
    <w:p>
      <w:pPr>
        <w:spacing w:after="0" w:line="222" w:lineRule="exact"/>
        <w:rPr>
          <w:sz w:val="20"/>
          <w:szCs w:val="20"/>
          <w:color w:val="auto"/>
        </w:rPr>
      </w:pPr>
    </w:p>
    <w:p>
      <w:pPr>
        <w:ind w:left="1140" w:right="1700" w:hanging="1132"/>
        <w:spacing w:after="0" w:line="264" w:lineRule="auto"/>
        <w:tabs>
          <w:tab w:leader="none" w:pos="11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March 31, 2021 has been formatted in Inline XBRL.</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5540" w:hanging="111"/>
        <w:spacing w:after="0"/>
        <w:tabs>
          <w:tab w:leader="none" w:pos="5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Arial" w:cs="Arial" w:eastAsia="Arial" w:hAnsi="Arial"/>
          <w:sz w:val="20"/>
          <w:szCs w:val="20"/>
          <w:color w:val="auto"/>
        </w:rPr>
        <w:t>Date: May 6,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10160</wp:posOffset>
            </wp:positionV>
            <wp:extent cx="26574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Executive Vice President</w:t>
      </w:r>
    </w:p>
    <w:p>
      <w:pPr>
        <w:ind w:left="7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220"/>
          </w:cols>
          <w:pgMar w:left="320" w:top="342"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6,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9525</wp:posOffset>
            </wp:positionV>
            <wp:extent cx="25285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6, 2021</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45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240"/>
          </w:cols>
          <w:pgMar w:left="320" w:top="85" w:right="339" w:bottom="1440" w:gutter="0" w:footer="0" w:header="0"/>
        </w:sectPr>
      </w:pPr>
    </w:p>
    <w:bookmarkStart w:id="88" w:name="page89"/>
    <w:bookmarkEnd w:id="88"/>
    <w:p>
      <w:pPr>
        <w:ind w:left="1000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jc w:val="both"/>
        <w:ind w:left="1880" w:right="1860" w:hanging="941"/>
        <w:spacing w:after="0" w:line="262" w:lineRule="auto"/>
        <w:tabs>
          <w:tab w:leader="none" w:pos="18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March 31,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89" w:name="page90"/>
    <w:bookmarkEnd w:id="89"/>
    <w:p>
      <w:pPr>
        <w:ind w:left="1000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880" w:right="1860" w:hanging="941"/>
        <w:spacing w:after="0" w:line="262" w:lineRule="auto"/>
        <w:tabs>
          <w:tab w:leader="none" w:pos="18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March 31,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lvl w:ilvl="1">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lvl w:ilvl="1">
      <w:lvlJc w:val="left"/>
      <w:lvlText w:val="-"/>
      <w:numFmt w:val="bullet"/>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decimal"/>
      <w:start w:val="12"/>
    </w:lvl>
  </w:abstractNum>
  <w:abstractNum w:abstractNumId="15">
    <w:nsid w:val="2901D82"/>
    <w:multiLevelType w:val="hybridMultilevel"/>
    <w:lvl w:ilvl="0">
      <w:lvlJc w:val="left"/>
      <w:lvlText w:val="(%1)"/>
      <w:numFmt w:val="lowerLetter"/>
      <w:start w:val="1"/>
    </w:lvl>
    <w:lvl w:ilvl="1">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lvl w:ilvl="1">
      <w:lvlJc w:val="left"/>
      <w:lvlText w:val="-"/>
      <w:numFmt w:val="bullet"/>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2"/>
    </w:lvl>
  </w:abstractNum>
  <w:abstractNum w:abstractNumId="22">
    <w:nsid w:val="22221A70"/>
    <w:multiLevelType w:val="hybridMultilevel"/>
    <w:lvl w:ilvl="0">
      <w:lvlJc w:val="left"/>
      <w:lvlText w:val="%1."/>
      <w:numFmt w:val="decimal"/>
      <w:start w:val="19"/>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Letter"/>
      <w:start w:val="1"/>
    </w:lvl>
    <w:lvl w:ilvl="1">
      <w:lvlJc w:val="left"/>
      <w:lvlText w:val="-"/>
      <w:numFmt w:val="bullet"/>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3"/>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04"/>
    </w:lvl>
    <w:lvl w:ilvl="1">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24" Type="http://schemas.openxmlformats.org/officeDocument/2006/relationships/hyperlink" Target="https://www.sec.gov/ix?doc=/Archives/edgar/data/36270/000119312521057039/d102284d8k.htm" TargetMode="External"/><Relationship Id="rId125" Type="http://schemas.openxmlformats.org/officeDocument/2006/relationships/hyperlink" Target="http://www.sec.gov/Archives/edgar/data/36270/000119312521096691/d153368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2021-05-06T14:48:14Z</dcterms:created>
  <dcterms:modified xsi:type="dcterms:W3CDTF">2021-05-06T14:48:14Z</dcterms:modified>
</cp:coreProperties>
</file>