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403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032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PEARSON KEVIN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LIGHT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M&amp;T BANK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77"/>
        <w:spacing w:after="0"/>
        <w:rPr>
          <w:sz w:val="20"/>
          <w:szCs w:val="20"/>
          <w:color w:val="auto"/>
        </w:rPr>
      </w:pPr>
      <w:r>
        <w:rPr>
          <w:rFonts w:ascii="Times New Roman" w:cs="Times New Roman" w:eastAsia="Times New Roman" w:hAnsi="Times New Roman"/>
          <w:sz w:val="17"/>
          <w:szCs w:val="17"/>
          <w:color w:val="0000FF"/>
        </w:rPr>
        <w:t>Vice Chairman</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3"/>
                <w:szCs w:val="3"/>
                <w:color w:val="auto"/>
              </w:rPr>
            </w:pPr>
          </w:p>
        </w:tc>
        <w:tc>
          <w:tcPr>
            <w:tcW w:w="3540" w:type="dxa"/>
            <w:vAlign w:val="bottom"/>
            <w:gridSpan w:val="8"/>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BALTIMORE</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21202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6"/>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44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3"/>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8"/>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3"/>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860" w:type="dxa"/>
            <w:vAlign w:val="bottom"/>
            <w:gridSpan w:val="3"/>
            <w:vMerge w:val="restart"/>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5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ind w:right="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w:t>
            </w:r>
          </w:p>
        </w:tc>
        <w:tc>
          <w:tcPr>
            <w:tcW w:w="1220" w:type="dxa"/>
            <w:vAlign w:val="bottom"/>
            <w:tcBorders>
              <w:bottom w:val="single" w:sz="8" w:color="2C2C2C"/>
            </w:tcBorders>
            <w:gridSpan w:val="2"/>
          </w:tcPr>
          <w:p>
            <w:pPr>
              <w:jc w:val="right"/>
              <w:ind w:right="359"/>
              <w:spacing w:after="0"/>
              <w:rPr>
                <w:sz w:val="20"/>
                <w:szCs w:val="20"/>
                <w:color w:val="auto"/>
              </w:rPr>
            </w:pPr>
            <w:r>
              <w:rPr>
                <w:rFonts w:ascii="Times New Roman" w:cs="Times New Roman" w:eastAsia="Times New Roman" w:hAnsi="Times New Roman"/>
                <w:sz w:val="17"/>
                <w:szCs w:val="17"/>
                <w:color w:val="0000FF"/>
              </w:rPr>
              <w:t>46,107</w:t>
            </w:r>
          </w:p>
        </w:tc>
        <w:tc>
          <w:tcPr>
            <w:tcW w:w="8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7"/>
                <w:szCs w:val="17"/>
                <w:color w:val="0000FF"/>
                <w:w w:val="93"/>
              </w:rPr>
              <w:t>3,493</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20" w:type="dxa"/>
            <w:vAlign w:val="bottom"/>
            <w:gridSpan w:val="16"/>
          </w:tcPr>
          <w:p>
            <w:pPr>
              <w:jc w:val="center"/>
              <w:ind w:right="71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4"/>
          </w:tcPr>
          <w:p>
            <w:pPr>
              <w:jc w:val="center"/>
              <w:ind w:left="3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w w:val="95"/>
              </w:rPr>
              <w:t>9. Number of</w:t>
            </w:r>
          </w:p>
        </w:tc>
        <w:tc>
          <w:tcPr>
            <w:tcW w:w="8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380" w:type="dxa"/>
            <w:vAlign w:val="bottom"/>
          </w:tcPr>
          <w:p>
            <w:pPr>
              <w:spacing w:after="0"/>
              <w:rPr>
                <w:sz w:val="11"/>
                <w:szCs w:val="11"/>
                <w:color w:val="auto"/>
              </w:rPr>
            </w:pP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2"/>
                <w:szCs w:val="12"/>
                <w:color w:val="auto"/>
              </w:rPr>
            </w:pPr>
          </w:p>
        </w:tc>
        <w:tc>
          <w:tcPr>
            <w:tcW w:w="500" w:type="dxa"/>
            <w:vAlign w:val="bottom"/>
          </w:tcPr>
          <w:p>
            <w:pPr>
              <w:jc w:val="right"/>
              <w:ind w:right="278"/>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3,783</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3,783</w:t>
            </w:r>
          </w:p>
        </w:tc>
        <w:tc>
          <w:tcPr>
            <w:tcW w:w="8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Supplemental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60" w:type="dxa"/>
            <w:vAlign w:val="bottom"/>
            <w:tcBorders>
              <w:right w:val="single" w:sz="8" w:color="2C2C2C"/>
            </w:tcBorders>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401(k)</w:t>
            </w:r>
          </w:p>
        </w:tc>
        <w:tc>
          <w:tcPr>
            <w:tcW w:w="0" w:type="dxa"/>
            <w:vAlign w:val="bottom"/>
          </w:tcPr>
          <w:p>
            <w:pPr>
              <w:spacing w:after="0"/>
              <w:rPr>
                <w:sz w:val="1"/>
                <w:szCs w:val="1"/>
                <w:color w:val="auto"/>
              </w:rPr>
            </w:pPr>
          </w:p>
        </w:tc>
      </w:tr>
      <w:tr>
        <w:trPr>
          <w:trHeight w:val="238"/>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right w:val="single" w:sz="8" w:color="2C2C2C"/>
            </w:tcBorders>
            <w:gridSpan w:val="3"/>
          </w:tcPr>
          <w:p>
            <w:pPr>
              <w:ind w:left="80"/>
              <w:spacing w:after="0" w:line="232" w:lineRule="exact"/>
              <w:rPr>
                <w:sz w:val="20"/>
                <w:szCs w:val="20"/>
                <w:color w:val="auto"/>
              </w:rPr>
            </w:pPr>
            <w:r>
              <w:rPr>
                <w:rFonts w:ascii="Times New Roman" w:cs="Times New Roman" w:eastAsia="Times New Roman" w:hAnsi="Times New Roman"/>
                <w:sz w:val="13"/>
                <w:szCs w:val="13"/>
                <w:color w:val="0000FF"/>
              </w:rPr>
              <w:t>Plan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-2200910</wp:posOffset>
            </wp:positionV>
            <wp:extent cx="29210" cy="2205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59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occurred automatically pursuant to a Rule 10b5-1 trading plan adopted by the reporting person on March 5,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presented is as of March 31, 2026.</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phantom common stock units are held by the reporting person in a plan account maintained by M&amp;T Bank Corporation under the M&amp;T Bank Corporation Leadership Retirement Savings Plan and represent a like number of shares of M&amp;T Bank Corporation common stock. The phantom common stock units are payable in cash and distributed in accordance with the terms of the plan. The reported phantom common stock units also include units acquired through the dividend reinvestment feature of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By: Stephen T. Wilson</w:t>
            </w:r>
          </w:p>
        </w:tc>
        <w:tc>
          <w:tcPr>
            <w:tcW w:w="6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5781" TargetMode="External"/><Relationship Id="rId14" Type="http://schemas.openxmlformats.org/officeDocument/2006/relationships/hyperlink" Target="http://www.sec.gov/cgi-bin/browse-edgar?action=getcompany&amp;CIK=00000362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2026-06-08T14:50:53Z</dcterms:created>
  <dcterms:modified xsi:type="dcterms:W3CDTF">2026-06-08T14:50:53Z</dcterms:modified>
</cp:coreProperties>
</file>