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323"/>
              <w:spacing w:after="0"/>
              <w:rPr>
                <w:sz w:val="20"/>
                <w:szCs w:val="20"/>
                <w:color w:val="auto"/>
              </w:rPr>
            </w:pPr>
            <w:r>
              <w:rPr>
                <w:rFonts w:ascii="Arial" w:cs="Arial" w:eastAsia="Arial" w:hAnsi="Arial"/>
                <w:sz w:val="18"/>
                <w:szCs w:val="18"/>
                <w:b w:val="1"/>
                <w:bCs w:val="1"/>
                <w:color w:val="auto"/>
              </w:rPr>
              <w:t>16-0968385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20" w:type="dxa"/>
            <w:vAlign w:val="bottom"/>
          </w:tcPr>
          <w:p>
            <w:pPr>
              <w:jc w:val="center"/>
              <w:ind w:right="78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7"/>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88"/>
              <w:spacing w:after="0"/>
              <w:rPr>
                <w:sz w:val="20"/>
                <w:szCs w:val="20"/>
                <w:color w:val="auto"/>
              </w:rPr>
            </w:pPr>
            <w:r>
              <w:rPr>
                <w:rFonts w:ascii="Arial" w:cs="Arial" w:eastAsia="Arial" w:hAnsi="Arial"/>
                <w:sz w:val="18"/>
                <w:szCs w:val="18"/>
                <w:b w:val="1"/>
                <w:bCs w:val="1"/>
                <w:color w:val="auto"/>
                <w:w w:val="92"/>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543"/>
              <w:spacing w:after="0"/>
              <w:rPr>
                <w:sz w:val="20"/>
                <w:szCs w:val="20"/>
                <w:color w:val="auto"/>
              </w:rPr>
            </w:pPr>
            <w:r>
              <w:rPr>
                <w:rFonts w:ascii="Arial" w:cs="Arial" w:eastAsia="Arial" w:hAnsi="Arial"/>
                <w:sz w:val="18"/>
                <w:szCs w:val="18"/>
                <w:b w:val="1"/>
                <w:bCs w:val="1"/>
                <w:color w:val="auto"/>
              </w:rPr>
              <w:t>14203</w:t>
            </w:r>
          </w:p>
        </w:tc>
        <w:tc>
          <w:tcPr>
            <w:tcW w:w="0" w:type="dxa"/>
            <w:vAlign w:val="bottom"/>
          </w:tcPr>
          <w:p>
            <w:pPr>
              <w:spacing w:after="0"/>
              <w:rPr>
                <w:sz w:val="1"/>
                <w:szCs w:val="1"/>
                <w:color w:val="auto"/>
              </w:rPr>
            </w:pPr>
          </w:p>
        </w:tc>
      </w:tr>
      <w:tr>
        <w:trPr>
          <w:trHeight w:val="186"/>
        </w:trPr>
        <w:tc>
          <w:tcPr>
            <w:tcW w:w="26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(716) 635-4000</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spacing w:after="0"/>
              <w:rPr>
                <w:sz w:val="19"/>
                <w:szCs w:val="19"/>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3"/>
              </w:rPr>
              <w:t>Trading Symbols</w:t>
            </w:r>
          </w:p>
        </w:tc>
        <w:tc>
          <w:tcPr>
            <w:tcW w:w="2820" w:type="dxa"/>
            <w:vAlign w:val="bottom"/>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value</w:t>
            </w: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gridSpan w:val="2"/>
          </w:tcPr>
          <w:p>
            <w:pPr>
              <w:spacing w:after="0"/>
              <w:rPr>
                <w:sz w:val="20"/>
                <w:szCs w:val="20"/>
                <w:color w:val="auto"/>
              </w:rPr>
            </w:pPr>
            <w:r>
              <w:rPr>
                <w:rFonts w:ascii="Arial" w:cs="Arial" w:eastAsia="Arial" w:hAnsi="Arial"/>
                <w:sz w:val="14"/>
                <w:szCs w:val="14"/>
                <w:color w:val="auto"/>
                <w:w w:val="94"/>
              </w:rPr>
              <w:t>Common Stock, $.50 par</w:t>
            </w:r>
          </w:p>
        </w:tc>
        <w:tc>
          <w:tcPr>
            <w:tcW w:w="1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color w:val="auto"/>
              </w:rPr>
              <w:t>MTB</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July 30, 2021: 128,677,826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M&amp;T BANK CORPORATION</w:t>
            </w:r>
          </w:p>
        </w:tc>
        <w:tc>
          <w:tcPr>
            <w:tcW w:w="41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12"/>
          </w:tcPr>
          <w:p>
            <w:pPr>
              <w:jc w:val="center"/>
              <w:ind w:right="4780"/>
              <w:spacing w:after="0"/>
              <w:rPr>
                <w:sz w:val="20"/>
                <w:szCs w:val="20"/>
                <w:color w:val="auto"/>
              </w:rPr>
            </w:pPr>
            <w:r>
              <w:rPr>
                <w:rFonts w:ascii="Arial" w:cs="Arial" w:eastAsia="Arial" w:hAnsi="Arial"/>
                <w:sz w:val="18"/>
                <w:szCs w:val="18"/>
                <w:color w:val="auto"/>
                <w:w w:val="93"/>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00" w:type="dxa"/>
            <w:vAlign w:val="bottom"/>
            <w:gridSpan w:val="15"/>
          </w:tcPr>
          <w:p>
            <w:pPr>
              <w:jc w:val="center"/>
              <w:ind w:right="3580"/>
              <w:spacing w:after="0"/>
              <w:rPr>
                <w:sz w:val="20"/>
                <w:szCs w:val="20"/>
                <w:color w:val="auto"/>
              </w:rPr>
            </w:pPr>
            <w:r>
              <w:rPr>
                <w:rFonts w:ascii="Arial" w:cs="Arial" w:eastAsia="Arial" w:hAnsi="Arial"/>
                <w:sz w:val="18"/>
                <w:szCs w:val="18"/>
                <w:color w:val="auto"/>
                <w:w w:val="89"/>
              </w:rPr>
              <w:t>For the Quarterly Period Ended June 30, 2021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60" w:type="dxa"/>
            <w:vAlign w:val="bottom"/>
            <w:gridSpan w:val="15"/>
          </w:tcPr>
          <w:p>
            <w:pPr>
              <w:spacing w:after="0"/>
              <w:rPr>
                <w:sz w:val="20"/>
                <w:szCs w:val="20"/>
                <w:color w:val="auto"/>
              </w:rPr>
            </w:pPr>
            <w:r>
              <w:rPr>
                <w:rFonts w:ascii="Arial" w:cs="Arial" w:eastAsia="Arial" w:hAnsi="Arial"/>
                <w:sz w:val="18"/>
                <w:szCs w:val="18"/>
                <w:color w:val="auto"/>
                <w:w w:val="95"/>
              </w:rPr>
              <w:t>Table of Contents of Information Required in Report</w:t>
            </w:r>
          </w:p>
        </w:tc>
        <w:tc>
          <w:tcPr>
            <w:tcW w:w="3320" w:type="dxa"/>
            <w:vAlign w:val="bottom"/>
            <w:tcBorders>
              <w:top w:val="single" w:sz="8" w:color="auto"/>
            </w:tcBorders>
            <w:gridSpan w:val="9"/>
          </w:tcPr>
          <w:p>
            <w:pPr>
              <w:spacing w:after="0"/>
              <w:rPr>
                <w:sz w:val="24"/>
                <w:szCs w:val="24"/>
                <w:color w:val="auto"/>
              </w:rPr>
            </w:pPr>
          </w:p>
        </w:tc>
        <w:tc>
          <w:tcPr>
            <w:tcW w:w="35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06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800" w:type="dxa"/>
            <w:vAlign w:val="bottom"/>
            <w:tcBorders>
              <w:bottom w:val="single" w:sz="8" w:color="0000EE"/>
            </w:tcBorders>
            <w:gridSpan w:val="10"/>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06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June 30, 2021 and December 31, 2020</w:t>
              </w:r>
            </w:hyperlink>
          </w:p>
        </w:tc>
        <w:tc>
          <w:tcPr>
            <w:tcW w:w="37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2021 and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 – Three and six months ended June 30, 2021 and 2020</w:t>
              </w:r>
            </w:hyperlink>
          </w:p>
        </w:tc>
        <w:tc>
          <w:tcPr>
            <w:tcW w:w="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2021 and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CHANGES IN SHAREHOLDERS' EQUITY – Three and six months ended June 30, 2021</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1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2020</w:t>
              </w:r>
            </w:hyperlink>
          </w:p>
        </w:tc>
        <w:tc>
          <w:tcPr>
            <w:tcW w:w="2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Controls and Procedures.</w:t>
              </w:r>
            </w:hyperlink>
          </w:p>
        </w:tc>
        <w:tc>
          <w:tcPr>
            <w:tcW w:w="77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Part II. OTHER INFORMATION</w:t>
              </w:r>
            </w:hyperlink>
          </w:p>
        </w:tc>
        <w:tc>
          <w:tcPr>
            <w:tcW w:w="842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Legal Proceedings</w:t>
              </w:r>
            </w:hyperlink>
          </w:p>
        </w:tc>
        <w:tc>
          <w:tcPr>
            <w:tcW w:w="824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Defaults Upon Senior Securities.</w:t>
              </w:r>
            </w:hyperlink>
          </w:p>
        </w:tc>
        <w:tc>
          <w:tcPr>
            <w:tcW w:w="5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2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Other Information.</w:t>
              </w:r>
            </w:hyperlink>
          </w:p>
        </w:tc>
        <w:tc>
          <w:tcPr>
            <w:tcW w:w="82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790"/>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gridSpan w:val="19"/>
          </w:tcPr>
          <w:p>
            <w:pPr>
              <w:jc w:val="center"/>
              <w:ind w:left="381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4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1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1,410,468</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1,552,743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33,864,824</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23,663,810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Trading account</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712,558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1,068,581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$117,382 at June 30, 2021; $105,136 at December 31, 2020)</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line="162" w:lineRule="exact"/>
              <w:rPr>
                <w:sz w:val="20"/>
                <w:szCs w:val="20"/>
                <w:color w:val="auto"/>
              </w:rPr>
            </w:pPr>
            <w:r>
              <w:rPr>
                <w:rFonts w:ascii="Arial" w:cs="Arial" w:eastAsia="Arial" w:hAnsi="Arial"/>
                <w:sz w:val="15"/>
                <w:szCs w:val="15"/>
                <w:color w:val="auto"/>
              </w:rPr>
              <w:t>Available for sale (cost: $3,801,940 at June 30, 2021;</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360"/>
              <w:spacing w:after="0"/>
              <w:rPr>
                <w:sz w:val="20"/>
                <w:szCs w:val="20"/>
                <w:color w:val="auto"/>
              </w:rPr>
            </w:pPr>
            <w:r>
              <w:rPr>
                <w:rFonts w:ascii="Arial" w:cs="Arial" w:eastAsia="Arial" w:hAnsi="Arial"/>
                <w:sz w:val="15"/>
                <w:szCs w:val="15"/>
                <w:color w:val="auto"/>
              </w:rPr>
              <w:t>$4,621,027 at December 31, 2020</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3,959,783</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4,822,606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Held to maturity (fair value: $1,785,014 at June 30, 2021;</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$1,842,281 at December 31, 2020)</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1,718,198</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1,748,989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line="162" w:lineRule="exact"/>
              <w:rPr>
                <w:sz w:val="20"/>
                <w:szCs w:val="20"/>
                <w:color w:val="auto"/>
              </w:rPr>
            </w:pPr>
            <w:r>
              <w:rPr>
                <w:rFonts w:ascii="Arial" w:cs="Arial" w:eastAsia="Arial" w:hAnsi="Arial"/>
                <w:sz w:val="15"/>
                <w:szCs w:val="15"/>
                <w:color w:val="auto"/>
              </w:rPr>
              <w:t>Equity and other securities (cost: $463,043 at June 30, 2021;</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$449,008 at December 31, 2020)</w:t>
            </w:r>
          </w:p>
        </w:tc>
        <w:tc>
          <w:tcPr>
            <w:tcW w:w="14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465,196</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474,102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14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6,143,177</w:t>
            </w:r>
          </w:p>
        </w:tc>
        <w:tc>
          <w:tcPr>
            <w:tcW w:w="4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7,045,697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line="169" w:lineRule="exact"/>
              <w:rPr>
                <w:sz w:val="20"/>
                <w:szCs w:val="20"/>
                <w:color w:val="auto"/>
              </w:rPr>
            </w:pPr>
            <w:r>
              <w:rPr>
                <w:rFonts w:ascii="Arial" w:cs="Arial" w:eastAsia="Arial" w:hAnsi="Arial"/>
                <w:sz w:val="15"/>
                <w:szCs w:val="15"/>
                <w:color w:val="auto"/>
              </w:rPr>
              <w:t>Loans and leases</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97,487,955</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98,875,788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Unearned discount</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(374,523)</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(339,921)</w:t>
            </w:r>
          </w:p>
        </w:tc>
        <w:tc>
          <w:tcPr>
            <w:tcW w:w="0" w:type="dxa"/>
            <w:vAlign w:val="bottom"/>
          </w:tcPr>
          <w:p>
            <w:pPr>
              <w:spacing w:after="0"/>
              <w:rPr>
                <w:sz w:val="1"/>
                <w:szCs w:val="1"/>
                <w:color w:val="auto"/>
              </w:rPr>
            </w:pPr>
          </w:p>
        </w:tc>
      </w:tr>
      <w:tr>
        <w:trPr>
          <w:trHeight w:val="169"/>
        </w:trPr>
        <w:tc>
          <w:tcPr>
            <w:tcW w:w="6460" w:type="dxa"/>
            <w:vAlign w:val="bottom"/>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14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97,113,432</w:t>
            </w: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98,535,867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Allowance for credit losses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(1,575,128)</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(1,736,387)</w:t>
            </w:r>
          </w:p>
        </w:tc>
        <w:tc>
          <w:tcPr>
            <w:tcW w:w="0" w:type="dxa"/>
            <w:vAlign w:val="bottom"/>
          </w:tcPr>
          <w:p>
            <w:pPr>
              <w:spacing w:after="0"/>
              <w:rPr>
                <w:sz w:val="1"/>
                <w:szCs w:val="1"/>
                <w:color w:val="auto"/>
              </w:rPr>
            </w:pPr>
          </w:p>
        </w:tc>
      </w:tr>
      <w:tr>
        <w:trPr>
          <w:trHeight w:val="169"/>
        </w:trPr>
        <w:tc>
          <w:tcPr>
            <w:tcW w:w="6460" w:type="dxa"/>
            <w:vAlign w:val="bottom"/>
            <w:tcBorders>
              <w:bottom w:val="single" w:sz="8" w:color="CFF0FC"/>
            </w:tcBorders>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144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95,538,304</w:t>
            </w:r>
          </w:p>
        </w:tc>
        <w:tc>
          <w:tcPr>
            <w:tcW w:w="4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96,799,480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Premises and equipment</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1,116,703</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1,161,558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5"/>
                <w:szCs w:val="15"/>
                <w:color w:val="auto"/>
              </w:rPr>
              <w:t>Goodwill</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Core deposit and other intangible assets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8,690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Accrued interest and other assets</w:t>
            </w:r>
          </w:p>
        </w:tc>
        <w:tc>
          <w:tcPr>
            <w:tcW w:w="14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7,234,871</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6,701,959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17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150,622,707</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6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Noninterest-bearing deposits</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55,621,230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47,572,884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5"/>
                <w:szCs w:val="15"/>
                <w:color w:val="auto"/>
              </w:rPr>
              <w:t>Savings and interest-checking deposits</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69,491,942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67,680,840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Time deposits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3,155,600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3,899,910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Deposits at Cayman Islands office</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652,104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14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128,268,772</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119,805,738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line="169" w:lineRule="exact"/>
              <w:rPr>
                <w:sz w:val="20"/>
                <w:szCs w:val="20"/>
                <w:color w:val="auto"/>
              </w:rPr>
            </w:pPr>
            <w:r>
              <w:rPr>
                <w:rFonts w:ascii="Arial" w:cs="Arial" w:eastAsia="Arial" w:hAnsi="Arial"/>
                <w:sz w:val="15"/>
                <w:szCs w:val="15"/>
                <w:color w:val="auto"/>
              </w:rPr>
              <w:t>Short-term borrowings</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91,235</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59,482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liabilities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2,042,948</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2,166,409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Long-term borrowings</w:t>
            </w:r>
          </w:p>
        </w:tc>
        <w:tc>
          <w:tcPr>
            <w:tcW w:w="14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3,499,448</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4,382,193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14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133,902,403</w:t>
            </w:r>
          </w:p>
        </w:tc>
        <w:tc>
          <w:tcPr>
            <w:tcW w:w="4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126,413,822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6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460" w:type="dxa"/>
            <w:vAlign w:val="bottom"/>
            <w:shd w:val="clear" w:color="auto" w:fill="CFF0FC"/>
          </w:tcPr>
          <w:p>
            <w:pPr>
              <w:spacing w:after="0" w:line="165" w:lineRule="exact"/>
              <w:rPr>
                <w:sz w:val="20"/>
                <w:szCs w:val="20"/>
                <w:color w:val="auto"/>
              </w:rPr>
            </w:pPr>
            <w:r>
              <w:rPr>
                <w:rFonts w:ascii="Arial" w:cs="Arial" w:eastAsia="Arial" w:hAnsi="Arial"/>
                <w:sz w:val="15"/>
                <w:szCs w:val="15"/>
                <w:color w:val="auto"/>
              </w:rPr>
              <w:t>Preferred stock, $1.00 par, 1,000,000 shares authorized;</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 share: 350,000</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shares at June 30, 2021 and December 31, 2020; Liquidation preference of</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$10,000 per share: 90,000 shares at June 30, 2021 and December 31, 2020</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1,250,000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1,250,000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120"/>
              <w:spacing w:after="0"/>
              <w:rPr>
                <w:sz w:val="20"/>
                <w:szCs w:val="20"/>
                <w:color w:val="auto"/>
              </w:rPr>
            </w:pPr>
            <w:r>
              <w:rPr>
                <w:rFonts w:ascii="Arial" w:cs="Arial" w:eastAsia="Arial" w:hAnsi="Arial"/>
                <w:sz w:val="15"/>
                <w:szCs w:val="15"/>
                <w:color w:val="auto"/>
              </w:rPr>
              <w:t>159,741,898 shares issued at June 30, 2021 and December 31, 2020</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79,871</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79,871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issuable, 15,568 shares at June 30, 2021;</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18,113 shares at December 31, 2020</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1,179</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6,620,528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6,617,404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Retained earnings</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14,030,215</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13,444,428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5"/>
                <w:szCs w:val="15"/>
                <w:color w:val="auto"/>
              </w:rPr>
              <w:t>Accumulated other comprehensive income (loss), net</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5"/>
                <w:szCs w:val="15"/>
                <w:color w:val="auto"/>
              </w:rPr>
              <w:t>(176,974)</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(63,032)</w:t>
            </w:r>
          </w:p>
        </w:tc>
        <w:tc>
          <w:tcPr>
            <w:tcW w:w="0" w:type="dxa"/>
            <w:vAlign w:val="bottom"/>
          </w:tcPr>
          <w:p>
            <w:pPr>
              <w:spacing w:after="0"/>
              <w:rPr>
                <w:sz w:val="1"/>
                <w:szCs w:val="1"/>
                <w:color w:val="auto"/>
              </w:rPr>
            </w:pPr>
          </w:p>
        </w:tc>
      </w:tr>
      <w:tr>
        <w:trPr>
          <w:trHeight w:val="162"/>
        </w:trPr>
        <w:tc>
          <w:tcPr>
            <w:tcW w:w="6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Treasury stock — common, at cost — 31,070,980 shares at June 30, 2021;</w:t>
            </w: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31,426,742 shares at December 31, 2020</w:t>
            </w: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(5,084,515)</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(5,142,732)</w:t>
            </w:r>
          </w:p>
        </w:tc>
        <w:tc>
          <w:tcPr>
            <w:tcW w:w="0" w:type="dxa"/>
            <w:vAlign w:val="bottom"/>
          </w:tcPr>
          <w:p>
            <w:pPr>
              <w:spacing w:after="0"/>
              <w:rPr>
                <w:sz w:val="1"/>
                <w:szCs w:val="1"/>
                <w:color w:val="auto"/>
              </w:rPr>
            </w:pPr>
          </w:p>
        </w:tc>
      </w:tr>
      <w:tr>
        <w:trPr>
          <w:trHeight w:val="169"/>
        </w:trPr>
        <w:tc>
          <w:tcPr>
            <w:tcW w:w="6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44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16,720,304</w:t>
            </w:r>
          </w:p>
        </w:tc>
        <w:tc>
          <w:tcPr>
            <w:tcW w:w="4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16,187,283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7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150,622,707</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gridSpan w:val="6"/>
          </w:tcPr>
          <w:p>
            <w:pPr>
              <w:ind w:left="20"/>
              <w:spacing w:after="0"/>
              <w:rPr>
                <w:sz w:val="20"/>
                <w:szCs w:val="20"/>
                <w:color w:val="auto"/>
              </w:rPr>
            </w:pPr>
            <w:r>
              <w:rPr>
                <w:rFonts w:ascii="Arial" w:cs="Arial" w:eastAsia="Arial" w:hAnsi="Arial"/>
                <w:sz w:val="17"/>
                <w:szCs w:val="17"/>
                <w:b w:val="1"/>
                <w:bCs w:val="1"/>
                <w:color w:val="auto"/>
                <w:w w:val="92"/>
              </w:rPr>
              <w:t>Three Months Ended June 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7"/>
                <w:szCs w:val="17"/>
                <w:b w:val="1"/>
                <w:bCs w:val="1"/>
                <w:color w:val="auto"/>
                <w:w w:val="90"/>
              </w:rPr>
              <w:t>Six Months Ended June 30</w:t>
            </w:r>
          </w:p>
        </w:tc>
        <w:tc>
          <w:tcPr>
            <w:tcW w:w="0" w:type="dxa"/>
            <w:vAlign w:val="bottom"/>
          </w:tcPr>
          <w:p>
            <w:pPr>
              <w:spacing w:after="0"/>
              <w:rPr>
                <w:sz w:val="1"/>
                <w:szCs w:val="1"/>
                <w:color w:val="auto"/>
              </w:rPr>
            </w:pPr>
          </w:p>
        </w:tc>
      </w:tr>
      <w:tr>
        <w:trPr>
          <w:trHeight w:val="220"/>
        </w:trPr>
        <w:tc>
          <w:tcPr>
            <w:tcW w:w="4980" w:type="dxa"/>
            <w:vAlign w:val="bottom"/>
          </w:tcPr>
          <w:p>
            <w:pPr>
              <w:spacing w:after="0"/>
              <w:rPr>
                <w:sz w:val="20"/>
                <w:szCs w:val="20"/>
                <w:color w:val="auto"/>
              </w:rPr>
            </w:pPr>
            <w:r>
              <w:rPr>
                <w:rFonts w:ascii="Arial" w:cs="Arial" w:eastAsia="Arial" w:hAnsi="Arial"/>
                <w:sz w:val="17"/>
                <w:szCs w:val="17"/>
                <w:b w:val="1"/>
                <w:bCs w:val="1"/>
                <w:color w:val="auto"/>
              </w:rPr>
              <w:t>(In thousands, except per share)</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7"/>
                <w:szCs w:val="17"/>
                <w:b w:val="1"/>
                <w:bCs w:val="1"/>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Loans and leases, including fees</w:t>
            </w:r>
          </w:p>
        </w:tc>
        <w:tc>
          <w:tcPr>
            <w:tcW w:w="1340" w:type="dxa"/>
            <w:vAlign w:val="bottom"/>
            <w:gridSpan w:val="2"/>
            <w:shd w:val="clear" w:color="auto" w:fill="CFF0FC"/>
          </w:tcPr>
          <w:p>
            <w:pPr>
              <w:ind w:left="1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926,965</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980,372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1,899,547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2,027,193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Investment securities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Fully taxable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47,219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71,527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97,329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60"/>
              <w:spacing w:after="0"/>
              <w:rPr>
                <w:sz w:val="20"/>
                <w:szCs w:val="20"/>
                <w:color w:val="auto"/>
              </w:rPr>
            </w:pPr>
            <w:r>
              <w:rPr>
                <w:rFonts w:ascii="Arial" w:cs="Arial" w:eastAsia="Arial" w:hAnsi="Arial"/>
                <w:sz w:val="17"/>
                <w:szCs w:val="17"/>
                <w:color w:val="auto"/>
              </w:rPr>
              <w:t>Exempt from federal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Deposits at banks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15,584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23,145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4,890</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interest income</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970,358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1,032,242</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1,987,320</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2,152,661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Savings and interest-checking deposits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26,454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19,556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104,456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Time deposits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19,883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12,094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41,755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Deposits at Cayman Islands office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Short-term borrowings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Long-term borrowings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28,605</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31,731</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68,903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interest expense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28,018</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75,105</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63,585</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218,719</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Net interest income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942,340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957,137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1,923,735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1,933,942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Provision for credit losses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(40,000)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575,000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interest income after provision for credit losses</w:t>
            </w:r>
          </w:p>
        </w:tc>
        <w:tc>
          <w:tcPr>
            <w:tcW w:w="1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957,340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632,137</w:t>
            </w: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1,963,735</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1,358,942</w:t>
            </w: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7"/>
                <w:szCs w:val="17"/>
                <w:b w:val="1"/>
                <w:bCs w:val="1"/>
                <w:color w:val="auto"/>
              </w:rPr>
              <w:t>Other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Mortgage banking revenues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133,313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145,024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272,067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272,933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Service charges on deposit accounts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98,518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77,455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191,295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183,616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Trust income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162,991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151,882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319,013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300,633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Brokerage services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10,463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23,378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23,592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Trading account and foreign exchange gains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8,290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Gain (loss) on bank investment securities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(22,937)</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(13,813)</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Other revenues from operations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112,699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87,190</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223,629</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220,366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income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513,633</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487,273</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1,019,231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1,016,633</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expense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Salaries and employee benefits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479,134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458,842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1,020,212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995,685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Equipment and net occupancy</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80,848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77,089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163,319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156,729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Outside data processing and software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74,492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61,376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140,243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125,786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FDIC assessments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17,876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14,207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32,064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26,478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Advertising and marketing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13,364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9,842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27,992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32,217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Printing, postage and supplies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11,133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11,260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20,450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22,112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Amortization of core deposit and other intangible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Other costs of operations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185,761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170,513</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375,034</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346,625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expense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865,345</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807,042</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1,784,789</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1,713,458</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Income before taxes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605,628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312,368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1,198,177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662,117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taxes</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147,559</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71,314</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292,859</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152,241</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Net income</w:t>
            </w:r>
          </w:p>
        </w:tc>
        <w:tc>
          <w:tcPr>
            <w:tcW w:w="1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458,069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241,054</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905,318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509,876</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7"/>
                <w:szCs w:val="17"/>
                <w:b w:val="1"/>
                <w:bCs w:val="1"/>
                <w:color w:val="auto"/>
              </w:rPr>
              <w:t>Net income available to common shareholders</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1340" w:type="dxa"/>
            <w:vAlign w:val="bottom"/>
            <w:gridSpan w:val="2"/>
            <w:shd w:val="clear" w:color="auto" w:fill="CFF0FC"/>
          </w:tcPr>
          <w:p>
            <w:pPr>
              <w:ind w:left="1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438,756</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223,098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866,848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473,794</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438,759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223,099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866,852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473,795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per common share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Basic</w:t>
            </w:r>
          </w:p>
        </w:tc>
        <w:tc>
          <w:tcPr>
            <w:tcW w:w="13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3.41</w:t>
            </w:r>
          </w:p>
        </w:tc>
        <w:tc>
          <w:tcPr>
            <w:tcW w:w="20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1.74</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6.74</w:t>
            </w:r>
          </w:p>
        </w:tc>
        <w:tc>
          <w:tcPr>
            <w:tcW w:w="3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b w:val="1"/>
                <w:bCs w:val="1"/>
                <w:color w:val="auto"/>
              </w:rPr>
              <w:t>Average common shares outstanding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128,671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128,275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128,604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128,986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128,842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128,333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128,756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129,044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458,069</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905,318</w:t>
            </w:r>
          </w:p>
        </w:tc>
        <w:tc>
          <w:tcPr>
            <w:tcW w:w="3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100" w:type="dxa"/>
            <w:vAlign w:val="bottom"/>
            <w:shd w:val="clear" w:color="auto" w:fill="CFF0FC"/>
          </w:tcPr>
          <w:p>
            <w:pPr>
              <w:spacing w:after="0"/>
              <w:rPr>
                <w:sz w:val="19"/>
                <w:szCs w:val="19"/>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(8,088)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(30,494)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132,399</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Cash flow hedges adjustments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(47,360)</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(114,137)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303,761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(2,994)</w:t>
            </w:r>
          </w:p>
        </w:tc>
      </w:tr>
      <w:tr>
        <w:trPr>
          <w:trHeight w:val="229"/>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16,807</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29,996</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(38,496)</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(113,942)</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451,310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419,573</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791,376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961,186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income</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905,318</w:t>
            </w:r>
          </w:p>
        </w:tc>
        <w:tc>
          <w:tcPr>
            <w:tcW w:w="3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509,876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credit losses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(40,000)</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of premises and equipment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113,459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108,748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Amortization of capitalized servicing rights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40,147</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37,971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core deposit and other intangible assets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deferred income taxes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55,153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(90,093)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write-downs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3,243</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gain on sales of assets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(12,845)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(5,808)</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accrued interest receivable, payable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(1,048)</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(48,790)</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other accrued income and expense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(50,200)</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loans originated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172,617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(220,368)</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trading account assets and liabilities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340,392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(765,314)</w:t>
            </w:r>
          </w:p>
        </w:tc>
        <w:tc>
          <w:tcPr>
            <w:tcW w:w="0" w:type="dxa"/>
            <w:vAlign w:val="bottom"/>
          </w:tcPr>
          <w:p>
            <w:pPr>
              <w:spacing w:after="0"/>
              <w:rPr>
                <w:sz w:val="1"/>
                <w:szCs w:val="1"/>
                <w:color w:val="auto"/>
              </w:rPr>
            </w:pPr>
          </w:p>
        </w:tc>
      </w:tr>
      <w:tr>
        <w:trPr>
          <w:trHeight w:val="155"/>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20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1,531,711</w:t>
            </w:r>
          </w:p>
        </w:tc>
        <w:tc>
          <w:tcPr>
            <w:tcW w:w="3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131,077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5,268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maturities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811,795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662,253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335,976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502,093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investment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(2,137)</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(305,633)</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(8,995)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(19,299)</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(20,575)</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(increase) decrease in loans and leases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1,172,249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(6,713,727)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interest-bearing deposits at banks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(10,201,014)</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(13,698,187)</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(44,459)</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(93,651)</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loan servicing advances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(417,629)</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Other, net</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(317,489)</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197,377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Net cash used by investing activities</w:t>
            </w:r>
          </w:p>
        </w:tc>
        <w:tc>
          <w:tcPr>
            <w:tcW w:w="2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(8,982,372)</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(18,944,248)</w:t>
            </w:r>
          </w:p>
        </w:tc>
        <w:tc>
          <w:tcPr>
            <w:tcW w:w="0" w:type="dxa"/>
            <w:vAlign w:val="bottom"/>
          </w:tcPr>
          <w:p>
            <w:pPr>
              <w:spacing w:after="0"/>
              <w:rPr>
                <w:sz w:val="1"/>
                <w:szCs w:val="1"/>
                <w:color w:val="auto"/>
              </w:rPr>
            </w:pPr>
          </w:p>
        </w:tc>
      </w:tr>
      <w:tr>
        <w:trPr>
          <w:trHeight w:val="155"/>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deposits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8,463,034</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20,199,033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increase (decrease) in short-term borrowings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31,753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(10,065)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borrowings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(852,992)</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(754,425)</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common</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(283,791)</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(284,690)</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(34,100)</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(34,156)</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(15,518)</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(10,266)</w:t>
            </w:r>
          </w:p>
        </w:tc>
        <w:tc>
          <w:tcPr>
            <w:tcW w:w="0" w:type="dxa"/>
            <w:vAlign w:val="bottom"/>
          </w:tcPr>
          <w:p>
            <w:pPr>
              <w:spacing w:after="0"/>
              <w:rPr>
                <w:sz w:val="1"/>
                <w:szCs w:val="1"/>
                <w:color w:val="auto"/>
              </w:rPr>
            </w:pPr>
          </w:p>
        </w:tc>
      </w:tr>
      <w:tr>
        <w:trPr>
          <w:trHeight w:val="155"/>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20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7,308,386</w:t>
            </w:r>
          </w:p>
        </w:tc>
        <w:tc>
          <w:tcPr>
            <w:tcW w:w="3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18,731,681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decrease in cash, cash equivalents and restricted cash</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(142,275)</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(81,490)</w:t>
            </w: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1,552,743</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1,436,305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1,410,468</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1,354,815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1,976,059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2,156,881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79,841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223,874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204,259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3,968</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18,182</w:t>
            </w:r>
          </w:p>
        </w:tc>
        <w:tc>
          <w:tcPr>
            <w:tcW w:w="3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30,585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8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Paid-in</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Treasury</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100" w:type="dxa"/>
            <w:vAlign w:val="bottom"/>
          </w:tcPr>
          <w:p>
            <w:pPr>
              <w:spacing w:after="0"/>
              <w:rPr>
                <w:sz w:val="14"/>
                <w:szCs w:val="14"/>
                <w:color w:val="auto"/>
              </w:rPr>
            </w:pPr>
          </w:p>
        </w:tc>
        <w:tc>
          <w:tcPr>
            <w:tcW w:w="580" w:type="dxa"/>
            <w:vAlign w:val="bottom"/>
          </w:tcPr>
          <w:p>
            <w:pPr>
              <w:jc w:val="right"/>
              <w:ind w:right="113"/>
              <w:spacing w:after="0" w:line="148" w:lineRule="exact"/>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4"/>
                <w:szCs w:val="14"/>
                <w:color w:val="auto"/>
              </w:rPr>
            </w:pPr>
          </w:p>
        </w:tc>
        <w:tc>
          <w:tcPr>
            <w:tcW w:w="84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Issuable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6"/>
              </w:rPr>
              <w:t>Capital</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4"/>
                <w:szCs w:val="14"/>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(Loss), Net</w:t>
            </w:r>
          </w:p>
        </w:tc>
        <w:tc>
          <w:tcPr>
            <w:tcW w:w="80" w:type="dxa"/>
            <w:vAlign w:val="bottom"/>
          </w:tcPr>
          <w:p>
            <w:pPr>
              <w:spacing w:after="0"/>
              <w:rPr>
                <w:sz w:val="14"/>
                <w:szCs w:val="14"/>
                <w:color w:val="auto"/>
              </w:rPr>
            </w:pPr>
          </w:p>
        </w:tc>
        <w:tc>
          <w:tcPr>
            <w:tcW w:w="86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Stock</w:t>
            </w:r>
          </w:p>
        </w:tc>
        <w:tc>
          <w:tcPr>
            <w:tcW w:w="86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Three Months Ended June 30, 2021</w:t>
            </w:r>
          </w:p>
        </w:tc>
        <w:tc>
          <w:tcPr>
            <w:tcW w:w="1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April 1, 2021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6,611,150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$ 13,731,893</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(138,478)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(5,089,093)</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$ 16,446,508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458,069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(38,496)</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(17,050)</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9,378</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(201)</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(142,496)</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(142,496)</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June 30,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6,620,528</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$ 14,030,215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(176,974)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(5,084,515)</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$ 16,720,304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Six Months Ended June 30, 2021</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1,344</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6,617,404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$ 13,444,428</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(63,032)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(5,142,732)</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$ 16,187,283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905,318</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(113,942)</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791,376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(34,100)</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(34,100)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(409)</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58,217</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$2.20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(285,022)</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(285,022)</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June 30,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6,620,528</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$ 14,030,215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(176,974)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(5,084,515)</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$ 16,720,304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3"/>
                <w:szCs w:val="13"/>
                <w:b w:val="1"/>
                <w:bCs w:val="1"/>
                <w:color w:val="auto"/>
              </w:rPr>
              <w:t>Three Months Ended June 30, 2020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April 1, 2020</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6,588,407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$ 12,837,390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209,833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(5,150,999)</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$ 15,815,794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241,054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275,851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(17,050)</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10,662</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(104)</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(141,945)</w:t>
            </w:r>
          </w:p>
        </w:tc>
        <w:tc>
          <w:tcPr>
            <w:tcW w:w="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(141,945)</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June 30,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6,599,069</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$ 12,919,345</w:t>
            </w:r>
          </w:p>
        </w:tc>
        <w:tc>
          <w:tcPr>
            <w:tcW w:w="2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244,630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(5,149,118)</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$ 15,945,105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00" w:type="dxa"/>
            <w:vAlign w:val="bottom"/>
            <w:tcBorders>
              <w:top w:val="single" w:sz="8" w:color="CFF0FC"/>
            </w:tcBorders>
            <w:shd w:val="clear" w:color="auto" w:fill="CFF0FC"/>
          </w:tcPr>
          <w:p>
            <w:pPr>
              <w:spacing w:after="0"/>
              <w:rPr>
                <w:sz w:val="12"/>
                <w:szCs w:val="12"/>
                <w:color w:val="auto"/>
              </w:rPr>
            </w:pPr>
          </w:p>
        </w:tc>
        <w:tc>
          <w:tcPr>
            <w:tcW w:w="1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Six Months Ended June 30, 2020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6,593,539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$ 12,820,916</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(206,680)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(4,822,563)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$ 15,716,649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Adoption of new accounting standard for credit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losses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(91,925)</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509,876</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451,310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961,186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(34,128)</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(34,128)</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(373,750)</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5,530</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(206)</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47,195</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$2.20 per share</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(285,188)</w:t>
            </w:r>
          </w:p>
        </w:tc>
        <w:tc>
          <w:tcPr>
            <w:tcW w:w="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(285,188)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June 30,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6,599,069</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$ 12,919,345</w:t>
            </w:r>
          </w:p>
        </w:tc>
        <w:tc>
          <w:tcPr>
            <w:tcW w:w="2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244,630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(5,149,118)</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$ 15,945,105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540" w:hanging="357"/>
        <w:spacing w:after="0"/>
        <w:tabs>
          <w:tab w:leader="none" w:pos="54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the three-month and six-month periods ended June 30, 2021, dividends per preferred share were: Preferred Series E - $16.125 and $32.25, respectively; Preferred Series F - $128.125 and</w:t>
      </w:r>
    </w:p>
    <w:p>
      <w:pPr>
        <w:spacing w:after="0" w:line="22" w:lineRule="exact"/>
        <w:rPr>
          <w:rFonts w:ascii="Arial" w:cs="Arial" w:eastAsia="Arial" w:hAnsi="Arial"/>
          <w:sz w:val="12"/>
          <w:szCs w:val="12"/>
          <w:i w:val="1"/>
          <w:iCs w:val="1"/>
          <w:color w:val="auto"/>
        </w:rPr>
      </w:pPr>
    </w:p>
    <w:p>
      <w:pPr>
        <w:ind w:left="540" w:right="140"/>
        <w:spacing w:after="0" w:line="255" w:lineRule="auto"/>
        <w:rPr>
          <w:rFonts w:ascii="Arial" w:cs="Arial" w:eastAsia="Arial" w:hAnsi="Arial"/>
          <w:sz w:val="12"/>
          <w:szCs w:val="12"/>
          <w:i w:val="1"/>
          <w:iCs w:val="1"/>
          <w:color w:val="auto"/>
        </w:rPr>
      </w:pPr>
      <w:r>
        <w:rPr>
          <w:rFonts w:ascii="Arial" w:cs="Arial" w:eastAsia="Arial" w:hAnsi="Arial"/>
          <w:sz w:val="13"/>
          <w:szCs w:val="13"/>
          <w:i w:val="1"/>
          <w:iCs w:val="1"/>
          <w:color w:val="auto"/>
        </w:rPr>
        <w:t>$256.25, respectively; and Preferred Series G - $125.00 and $250.00, respectively. Dividends per preferred share for the three-month and six-month periods ended June 30, 2020 were: Preferred Series E - $16.125 and $32.25, respectively; Preferred Series F - $128.125 and $256.25, respectively; and Preferred Series G - $125.00 and $250.694, respectively.</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2020 (“2020 Annual Report”). The financial statements contain all adjustments which are, in the opinion of management, necessary for a fair statement of the Company’s financial position, results of operations and cash flows for the interim periods presented.</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February 22, 2021, M&amp;T announced that it had entered into a definitive agreement with People’s United Financial, Inc. ("People’s United"), headquartered in Bridgeport, Connecticut,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into a new series of M&amp;T preferred stock upon completion of the acquisition. The transaction is valued at approximately $7.4 billion (with the price based on M&amp;T’s closing price of $145.31 per share as of June 30, 2021).</w:t>
      </w:r>
    </w:p>
    <w:p>
      <w:pPr>
        <w:spacing w:after="0" w:line="71"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20"/>
          <w:szCs w:val="20"/>
          <w:color w:val="auto"/>
        </w:rPr>
        <w:t>The merger has been approved by the boards of directors and shareholders of each company. The merger is expected to close in the fourth quarter of 2021, subject to the satisfaction of customary closing conditions, including the receipt of regulatory approvals. As of June 30, 2021, People’s United disclosed that it had total assets of $63.3 billion, including $41.4 billion of loans, $55.6 billion of liabilities, including $52.6 billion of deposits, and $7.7 billion of stockholders’ equity.</w:t>
      </w:r>
    </w:p>
    <w:p>
      <w:pPr>
        <w:spacing w:after="0" w:line="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In connection with the acquisition, the Company incurred merger-related expenses consisting predominantly of professional services for investment banking, legal and other services associated with the proposed transaction that totaled approximately $4 million in the second quarter of 2021 and $10 million in the initial 2021 quarter.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1140" w:type="dxa"/>
            <w:vAlign w:val="bottom"/>
          </w:tcPr>
          <w:p>
            <w:pPr>
              <w:spacing w:after="0"/>
              <w:rPr>
                <w:sz w:val="18"/>
                <w:szCs w:val="18"/>
                <w:color w:val="auto"/>
              </w:rPr>
            </w:pPr>
          </w:p>
        </w:tc>
      </w:tr>
      <w:tr>
        <w:trPr>
          <w:trHeight w:val="234"/>
        </w:trPr>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3,658,704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3,820,490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132,270</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3,801,940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165,147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3,959,783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1,643,433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1,713,898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1,718,198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81,715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1,785,014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5,520,138</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246,862</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5,744,797</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76,518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78,671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386,525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386,525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463,043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465,196</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December 31, 2020</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9,154</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4,475,406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208,787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4,683,438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129,814</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4,621,027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210,649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4,822,606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1,664,443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100,176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1,764,608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1,748,989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1,842,281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6,370,016</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321,890</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6,664,887</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67,891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92,985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381,117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381,117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449,008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474,102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020" w:type="dxa"/>
            <w:vAlign w:val="bottom"/>
            <w:gridSpan w:val="3"/>
          </w:tcPr>
          <w:p>
            <w:pPr>
              <w:jc w:val="right"/>
              <w:ind w:right="570"/>
              <w:spacing w:after="0"/>
              <w:rPr>
                <w:sz w:val="20"/>
                <w:szCs w:val="20"/>
                <w:color w:val="auto"/>
              </w:rPr>
            </w:pPr>
            <w:r>
              <w:rPr>
                <w:rFonts w:ascii="Arial" w:cs="Arial" w:eastAsia="Arial" w:hAnsi="Arial"/>
                <w:sz w:val="18"/>
                <w:szCs w:val="18"/>
                <w:color w:val="auto"/>
              </w:rPr>
              <w:t>- 9 -</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There were no significant gross realized gains or losses from sales of investment securities for the three-month and six-month periods ended June 30, 2021 and 2020. Unrealized losses on equity securities were $11 million and $23 million during the three months and six months ended June 30, 2021, respectively, compared with unrealized gains on equity securities of $7 million during the three months ended June 30, 2020 and unrealized losses of $14 million during the six months ended June 30, 2020.</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June 30, 2021, the amortized cost and estimated fair value of debt securities by contractual maturity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97,898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98,672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24,641</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143,236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139,293</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3,658,704</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3,820,490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3,801,940</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3,959,783</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1,711,907</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1,778,722</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1,718,198</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1,785,014</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Arial" w:cs="Arial" w:eastAsia="Arial" w:hAnsi="Arial"/>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 summary of investment securities that as of June 30, 2021 and December 31, 2020 had been in a continuous unrealized loss position for less than twelve months and those that had been in a continuous unrealized loss position for twelve months or longer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22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4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rPr>
              <w:t>Fair</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rPr>
              <w:t>Fair</w:t>
            </w:r>
          </w:p>
        </w:tc>
        <w:tc>
          <w:tcPr>
            <w:tcW w:w="1060" w:type="dxa"/>
            <w:vAlign w:val="bottom"/>
            <w:tcBorders>
              <w:top w:val="single" w:sz="8" w:color="auto"/>
            </w:tcBorders>
          </w:tcPr>
          <w:p>
            <w:pPr>
              <w:jc w:val="right"/>
              <w:ind w:right="112"/>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r>
      <w:tr>
        <w:trPr>
          <w:trHeight w:val="171"/>
        </w:trPr>
        <w:tc>
          <w:tcPr>
            <w:tcW w:w="4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r>
      <w:tr>
        <w:trPr>
          <w:trHeight w:val="156"/>
        </w:trPr>
        <w:tc>
          <w:tcPr>
            <w:tcW w:w="4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78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24,307</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(576)</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2,081</w:t>
            </w:r>
          </w:p>
        </w:tc>
        <w:tc>
          <w:tcPr>
            <w:tcW w:w="3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64,910</w:t>
            </w:r>
          </w:p>
        </w:tc>
        <w:tc>
          <w:tcPr>
            <w:tcW w:w="3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(6,709)</w:t>
            </w:r>
          </w:p>
        </w:tc>
      </w:tr>
      <w:tr>
        <w:trPr>
          <w:trHeight w:val="223"/>
        </w:trPr>
        <w:tc>
          <w:tcPr>
            <w:tcW w:w="43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6,026</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89,217</w:t>
            </w: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100,568</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49,617</w:t>
            </w:r>
          </w:p>
        </w:tc>
        <w:tc>
          <w:tcPr>
            <w:tcW w:w="3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(14,802)</w:t>
            </w:r>
          </w:p>
        </w:tc>
      </w:tr>
      <w:tr>
        <w:trPr>
          <w:trHeight w:val="223"/>
        </w:trPr>
        <w:tc>
          <w:tcPr>
            <w:tcW w:w="43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103,646</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51,250</w:t>
            </w: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109,672</w:t>
            </w:r>
          </w:p>
        </w:tc>
        <w:tc>
          <w:tcPr>
            <w:tcW w:w="36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140,467</w:t>
            </w:r>
          </w:p>
        </w:tc>
        <w:tc>
          <w:tcPr>
            <w:tcW w:w="36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w:t>
            </w:r>
          </w:p>
        </w:tc>
        <w:tc>
          <w:tcPr>
            <w:tcW w:w="120" w:type="dxa"/>
            <w:vAlign w:val="bottom"/>
            <w:tcBorders>
              <w:bottom w:val="single" w:sz="8" w:color="CFF0FC"/>
            </w:tcBorders>
          </w:tcPr>
          <w:p>
            <w:pPr>
              <w:spacing w:after="0"/>
              <w:rPr>
                <w:sz w:val="22"/>
                <w:szCs w:val="22"/>
                <w:color w:val="auto"/>
              </w:rPr>
            </w:pPr>
          </w:p>
        </w:tc>
      </w:tr>
      <w:tr>
        <w:trPr>
          <w:trHeight w:val="210"/>
        </w:trPr>
        <w:tc>
          <w:tcPr>
            <w:tcW w:w="43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December 31, 2020</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7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985</w:t>
            </w:r>
          </w:p>
        </w:tc>
        <w:tc>
          <w:tcPr>
            <w:tcW w:w="36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18,687</w:t>
            </w:r>
          </w:p>
        </w:tc>
        <w:tc>
          <w:tcPr>
            <w:tcW w:w="36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16,556</w:t>
            </w:r>
          </w:p>
        </w:tc>
        <w:tc>
          <w:tcPr>
            <w:tcW w:w="3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63,462</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(8,120)</w:t>
            </w:r>
          </w:p>
        </w:tc>
      </w:tr>
      <w:tr>
        <w:trPr>
          <w:trHeight w:val="20"/>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35,727</w:t>
            </w:r>
          </w:p>
        </w:tc>
        <w:tc>
          <w:tcPr>
            <w:tcW w:w="3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(551)</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80,018</w:t>
            </w:r>
          </w:p>
        </w:tc>
        <w:tc>
          <w:tcPr>
            <w:tcW w:w="3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(8,519)</w:t>
            </w:r>
          </w:p>
        </w:tc>
      </w:tr>
      <w:tr>
        <w:trPr>
          <w:trHeight w:val="237"/>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50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(17,938)</w:t>
            </w:r>
          </w:p>
        </w:tc>
      </w:tr>
      <w:tr>
        <w:trPr>
          <w:trHeight w:val="20"/>
        </w:trPr>
        <w:tc>
          <w:tcPr>
            <w:tcW w:w="436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43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(17,938)</w:t>
            </w:r>
          </w:p>
        </w:tc>
      </w:tr>
      <w:tr>
        <w:trPr>
          <w:trHeight w:val="20"/>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37,766</w:t>
            </w:r>
          </w:p>
        </w:tc>
        <w:tc>
          <w:tcPr>
            <w:tcW w:w="3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132,436</w:t>
            </w:r>
          </w:p>
        </w:tc>
        <w:tc>
          <w:tcPr>
            <w:tcW w:w="3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(26,457)</w:t>
            </w:r>
          </w:p>
        </w:tc>
      </w:tr>
      <w:tr>
        <w:trPr>
          <w:trHeight w:val="20"/>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owned 272 individual debt securities with aggregate gross unrealized losses of $22 million at June 30, 2021. Based on a review of each of the securities in the investment securities portfolio at June 30, 2021, the Company concluded that it expected to recover the amortized cost basis of its investment. As of June 30, 2021, the Company does not intend to sell nor is it anticipated that it would be required to sell any of its impaired investment securities at a loss. At June 30, 2021, the Company has not identified events or changes in circumstances which may have a significant adverse effect on the fair value of the $387 million of cost method equity securities.</w:t>
      </w:r>
    </w:p>
    <w:p>
      <w:pPr>
        <w:spacing w:after="0" w:line="81"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Company estimated no material allowance for credit losses for its investment securities classified as held-to-maturity at June 30, 2021 or December 31, 2020, as the substantial majority of such investment securities are obligations backed by the U.S. government or its agencies.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June 30, 2021 and December 31, 2020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Accruing</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Loans Past</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30-89 Days</w:t>
            </w: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Due 90</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Current</w:t>
            </w:r>
          </w:p>
        </w:tc>
        <w:tc>
          <w:tcPr>
            <w:tcW w:w="1400" w:type="dxa"/>
            <w:vAlign w:val="bottom"/>
            <w:gridSpan w:val="4"/>
            <w:vMerge w:val="continue"/>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Days or</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Nonaccrual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More</w:t>
            </w:r>
          </w:p>
        </w:tc>
        <w:tc>
          <w:tcPr>
            <w:tcW w:w="1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25,003,487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70,202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5,562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330,040</w:t>
            </w:r>
          </w:p>
        </w:tc>
        <w:tc>
          <w:tcPr>
            <w:tcW w:w="5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25,409,291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26,112,046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106,638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36,780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1,081,546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27,337,010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1,261,163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14,552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1,289,691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8,627,896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165,242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5,178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133,758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8,932,074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13,693,812</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185,110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1,026,449</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372,144</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0"/>
              </w:rPr>
              <w:t>15,277,515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1,277,064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13,689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136,683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1,427,436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3,612,791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16,043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76,711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3,705,545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7,707,774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23,643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23,276</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7,754,693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4,429,573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30,521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31,090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4,491,184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1,428,524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15,157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42,257</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9"/>
              </w:rPr>
              <w:t>1,488,993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93,154,130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1,077,227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2,242,057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8"/>
              </w:rPr>
              <w:t>97,113,432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27,196,862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60,822</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306,827</w:t>
            </w:r>
          </w:p>
        </w:tc>
        <w:tc>
          <w:tcPr>
            <w:tcW w:w="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27,574,564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26,688,515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775,894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27,680,340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1,246,095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1,249,738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8,523,591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66,365</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7"/>
              </w:rPr>
              <w:t>8,707,811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13,764,836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200,406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792,888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365,729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w w:val="88"/>
              </w:rPr>
              <w:t>15,123,859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1,462,277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147,170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1,629,134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3,881,885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79,392</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3,985,606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7,002,643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47,161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25,519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7,075,323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4,007,349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55,498</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4,102,251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1,346,868</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1,407,241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95,120,921</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662,439</w:t>
            </w: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1,893,299</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98,535,867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- 12 -</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A summary of outstanding loan balances for which COVID-19 related modifications were granted as of June 30, 2021 is presented below. These loans meet the criteria described in note 1 of Notes to Financial Statements in the 2020 Annual Report and, accordingly, are not considered past due or otherwise in default of loan terms as of the date presented. Substantially all of the modifications noted below expire during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4"/>
              </w:rPr>
              <w:t>COVID-19 Related Modifications</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Payment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June 30, 2021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7"/>
              </w:rPr>
              <w:t>Deferrals</w:t>
            </w:r>
            <w:r>
              <w:rPr>
                <w:rFonts w:ascii="Arial" w:cs="Arial" w:eastAsia="Arial" w:hAnsi="Arial"/>
                <w:sz w:val="15"/>
                <w:szCs w:val="15"/>
                <w:b w:val="1"/>
                <w:bCs w:val="1"/>
                <w:color w:val="auto"/>
                <w:w w:val="97"/>
              </w:rPr>
              <w:t>(1)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90"/>
              </w:rPr>
              <w:t>Forbearances</w:t>
            </w:r>
            <w:r>
              <w:rPr>
                <w:rFonts w:ascii="Arial" w:cs="Arial" w:eastAsia="Arial" w:hAnsi="Arial"/>
                <w:sz w:val="15"/>
                <w:szCs w:val="15"/>
                <w:b w:val="1"/>
                <w:bCs w:val="1"/>
                <w:color w:val="auto"/>
                <w:w w:val="90"/>
              </w:rPr>
              <w:t>(2)</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Total</w:t>
            </w: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0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4"/>
        </w:trPr>
        <w:tc>
          <w:tcPr>
            <w:tcW w:w="29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18,424</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76,438</w:t>
            </w:r>
          </w:p>
        </w:tc>
        <w:tc>
          <w:tcPr>
            <w:tcW w:w="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94,862</w:t>
            </w:r>
          </w:p>
        </w:tc>
        <w:tc>
          <w:tcPr>
            <w:tcW w:w="80" w:type="dxa"/>
            <w:vAlign w:val="bottom"/>
          </w:tcPr>
          <w:p>
            <w:pPr>
              <w:spacing w:after="0"/>
              <w:rPr>
                <w:sz w:val="24"/>
                <w:szCs w:val="24"/>
                <w:color w:val="auto"/>
              </w:rPr>
            </w:pPr>
          </w:p>
        </w:tc>
      </w:tr>
      <w:tr>
        <w:trPr>
          <w:trHeight w:val="230"/>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169,146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376,091</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21,435</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55,791</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2,358,591</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2,358,591</w:t>
            </w:r>
          </w:p>
        </w:tc>
        <w:tc>
          <w:tcPr>
            <w:tcW w:w="80" w:type="dxa"/>
            <w:vAlign w:val="bottom"/>
          </w:tcPr>
          <w:p>
            <w:pPr>
              <w:spacing w:after="0"/>
              <w:rPr>
                <w:sz w:val="19"/>
                <w:szCs w:val="19"/>
                <w:color w:val="auto"/>
              </w:rPr>
            </w:pPr>
          </w:p>
        </w:tc>
      </w:tr>
      <w:tr>
        <w:trPr>
          <w:trHeight w:val="215"/>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9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226,153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226,153</w:t>
            </w:r>
          </w:p>
        </w:tc>
        <w:tc>
          <w:tcPr>
            <w:tcW w:w="80" w:type="dxa"/>
            <w:vAlign w:val="bottom"/>
            <w:shd w:val="clear" w:color="auto" w:fill="CFF0FC"/>
          </w:tcPr>
          <w:p>
            <w:pPr>
              <w:spacing w:after="0"/>
              <w:rPr>
                <w:sz w:val="20"/>
                <w:szCs w:val="20"/>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11,372</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5,338</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11,611</w:t>
            </w:r>
          </w:p>
        </w:tc>
        <w:tc>
          <w:tcPr>
            <w:tcW w:w="80" w:type="dxa"/>
            <w:vAlign w:val="bottom"/>
            <w:shd w:val="clear" w:color="auto" w:fill="CFF0FC"/>
          </w:tcPr>
          <w:p>
            <w:pPr>
              <w:spacing w:after="0"/>
              <w:rPr>
                <w:sz w:val="19"/>
                <w:szCs w:val="19"/>
                <w:color w:val="auto"/>
              </w:rPr>
            </w:pPr>
          </w:p>
        </w:tc>
      </w:tr>
      <w:tr>
        <w:trPr>
          <w:trHeight w:val="229"/>
        </w:trPr>
        <w:tc>
          <w:tcPr>
            <w:tcW w:w="2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bottom w:val="single" w:sz="8" w:color="CFF0FC"/>
            </w:tcBorders>
          </w:tcPr>
          <w:p>
            <w:pPr>
              <w:spacing w:after="0"/>
              <w:rPr>
                <w:sz w:val="19"/>
                <w:szCs w:val="19"/>
                <w:color w:val="auto"/>
              </w:rPr>
            </w:pPr>
          </w:p>
        </w:tc>
      </w:tr>
      <w:tr>
        <w:trPr>
          <w:trHeight w:val="223"/>
        </w:trPr>
        <w:tc>
          <w:tcPr>
            <w:tcW w:w="2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2,835,495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304,818</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3,140,313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560" w:hanging="552"/>
        <w:spacing w:after="0"/>
        <w:tabs>
          <w:tab w:leader="none" w:pos="5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accruing loans at June 30, 2021 for which a COVID-19 related payment deferral (including maturity extensions) has been granted.</w:t>
      </w:r>
    </w:p>
    <w:p>
      <w:pPr>
        <w:spacing w:after="0" w:line="20" w:lineRule="exact"/>
        <w:rPr>
          <w:rFonts w:ascii="Arial" w:cs="Arial" w:eastAsia="Arial" w:hAnsi="Arial"/>
          <w:sz w:val="17"/>
          <w:szCs w:val="17"/>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$2.0 billion of government-guaranteed loans.</w:t>
      </w:r>
    </w:p>
    <w:p>
      <w:pPr>
        <w:spacing w:after="0" w:line="200" w:lineRule="exact"/>
        <w:rPr>
          <w:sz w:val="20"/>
          <w:szCs w:val="20"/>
          <w:color w:val="auto"/>
        </w:rPr>
      </w:pPr>
    </w:p>
    <w:p>
      <w:pPr>
        <w:spacing w:after="0" w:line="25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One-to-four family residential mortgage loans held for sale were $679 million and $777 million at June 30, 2021 and December 31, 2020, respectively. Commercial real estate loans held for sale were $206 million at June 30, 2021 and $278 million at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quality indicators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following table summarizes the loan grades applied at June 30, 2021 to the various classes of the Company’s commercial loans and commercial real estate loans by origination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Revolving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Converted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Revolving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to Term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23"/>
              <w:spacing w:after="0"/>
              <w:rPr>
                <w:sz w:val="20"/>
                <w:szCs w:val="20"/>
                <w:color w:val="auto"/>
              </w:rPr>
            </w:pPr>
            <w:r>
              <w:rPr>
                <w:rFonts w:ascii="Arial" w:cs="Arial" w:eastAsia="Arial" w:hAnsi="Arial"/>
                <w:sz w:val="16"/>
                <w:szCs w:val="16"/>
                <w:b w:val="1"/>
                <w:bCs w:val="1"/>
                <w:color w:val="auto"/>
              </w:rPr>
              <w:t>Prior</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2"/>
              </w:rPr>
              <w:t>(In thousands)</w:t>
            </w: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Commercial, financial, leasing, etc.: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4,216,125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3,644,107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1,839,760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1,237,622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677,218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1,853,234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10,188,593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15,191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23,671,850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261,644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229,670</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116,985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104,301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54,823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102,328</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522,570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15,080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5,852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22,829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40,502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56,392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20,793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46,805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130,982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330,040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4,483,621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3,896,606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1,997,247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1,398,315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752,834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2,002,367</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10,842,145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36,156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25,409,291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1,425,509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2,938,763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4,269,700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2,874,138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2,339,451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6,684,419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838,766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21,370,746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13,820</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541,484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751,325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977,841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411,494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2,118,127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70,627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4,884,718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7,685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142,780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141,018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54,288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147,212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579,425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9,138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1,447,014</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3,623,027</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5,162,043</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3,906,267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2,898,157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9,381,971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918,531</w:t>
            </w:r>
          </w:p>
        </w:tc>
        <w:tc>
          <w:tcPr>
            <w:tcW w:w="20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27,337,010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404,742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288,442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153,198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56,920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7,044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17,880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227,386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1,155,612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1,159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2,669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107,817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3,954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1,488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119,527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10,683</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2,776</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405,901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291,111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261,533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71,557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7,674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20,265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231,650</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1,289,691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369,948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1,618,519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2,725,119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1,455,655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359,053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438,989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60,473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7,027,756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1,408</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32,042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555,208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635,998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414,394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131,510</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1,770,560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77,173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13,348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16,322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23,255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3,660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133,758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371,356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1,650,561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3,357,500</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2,105,001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789,769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593,754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64,133</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8,932,074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Increases to criticized loans as compared with December 31, 2020 were predominantly attributable to effects of the COVID-19 pandemic and the related re-grading of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June 30, 2021 for the various classes of the Company’s residential real estate loans and consumer loans by origination year follows.</w:t>
      </w: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Revolving</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Loans</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c>
          <w:tcPr>
            <w:tcW w:w="820" w:type="dxa"/>
            <w:vAlign w:val="bottom"/>
          </w:tcPr>
          <w:p>
            <w:pPr>
              <w:spacing w:after="0"/>
              <w:rPr>
                <w:sz w:val="17"/>
                <w:szCs w:val="17"/>
                <w:color w:val="auto"/>
              </w:rPr>
            </w:pPr>
          </w:p>
        </w:tc>
      </w:tr>
      <w:tr>
        <w:trPr>
          <w:trHeight w:val="213"/>
        </w:trPr>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right"/>
              <w:ind w:right="864"/>
              <w:spacing w:after="0"/>
              <w:rPr>
                <w:sz w:val="20"/>
                <w:szCs w:val="20"/>
                <w:color w:val="auto"/>
              </w:rPr>
            </w:pPr>
            <w:r>
              <w:rPr>
                <w:rFonts w:ascii="Arial" w:cs="Arial" w:eastAsia="Arial" w:hAnsi="Arial"/>
                <w:sz w:val="16"/>
                <w:szCs w:val="16"/>
                <w:b w:val="1"/>
                <w:bCs w:val="1"/>
                <w:color w:val="auto"/>
                <w:w w:val="93"/>
              </w:rPr>
              <w:t>Term Loans by Origination Year</w:t>
            </w:r>
          </w:p>
        </w:tc>
        <w:tc>
          <w:tcPr>
            <w:tcW w:w="600" w:type="dxa"/>
            <w:vAlign w:val="bottom"/>
            <w:tcBorders>
              <w:bottom w:val="single" w:sz="8" w:color="auto"/>
            </w:tcBorders>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Revolving</w:t>
            </w: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to Term</w:t>
            </w:r>
          </w:p>
        </w:tc>
        <w:tc>
          <w:tcPr>
            <w:tcW w:w="820" w:type="dxa"/>
            <w:vAlign w:val="bottom"/>
          </w:tcPr>
          <w:p>
            <w:pPr>
              <w:spacing w:after="0"/>
              <w:rPr>
                <w:sz w:val="18"/>
                <w:szCs w:val="18"/>
                <w:color w:val="auto"/>
              </w:rPr>
            </w:pPr>
          </w:p>
        </w:tc>
      </w:tr>
      <w:tr>
        <w:trPr>
          <w:trHeight w:val="226"/>
        </w:trPr>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Prior</w:t>
            </w:r>
          </w:p>
        </w:tc>
        <w:tc>
          <w:tcPr>
            <w:tcW w:w="11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Loans</w:t>
            </w: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Loans</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r>
      <w:tr>
        <w:trPr>
          <w:trHeight w:val="217"/>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5"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1,430,194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1,806,964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1,256,245</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553,846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1,429,854</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8,415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7,020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3,224</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4,072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22,795</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104,571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29,588</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40,820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242,802</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22,305</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10,345</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5,407</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4,019</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 residential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1,439,360</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1,940,860</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1,299,402</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604,145</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1,699,470</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5"/>
                <w:szCs w:val="15"/>
                <w:color w:val="auto"/>
              </w:rPr>
              <w:t>Residential - limited documentation:</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color w:val="auto"/>
              </w:rPr>
              <w:t>Total residential - limited</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documentation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918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3,367</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2,118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2,204</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44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 home equity lines and 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918</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3,441</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2,118</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spacing w:after="0"/>
              <w:rPr>
                <w:sz w:val="20"/>
                <w:szCs w:val="20"/>
                <w:color w:val="auto"/>
              </w:rPr>
            </w:pPr>
            <w:r>
              <w:rPr>
                <w:rFonts w:ascii="Arial" w:cs="Arial" w:eastAsia="Arial" w:hAnsi="Arial"/>
                <w:sz w:val="15"/>
                <w:szCs w:val="15"/>
                <w:color w:val="auto"/>
              </w:rPr>
              <w:t>7,163,761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52,948</w:t>
            </w:r>
          </w:p>
        </w:tc>
        <w:tc>
          <w:tcPr>
            <w:tcW w:w="2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13,693,812</w:t>
            </w:r>
          </w:p>
        </w:tc>
      </w:tr>
      <w:tr>
        <w:trPr>
          <w:trHeight w:val="231"/>
        </w:trPr>
        <w:tc>
          <w:tcPr>
            <w:tcW w:w="740" w:type="dxa"/>
            <w:vAlign w:val="bottom"/>
          </w:tcPr>
          <w:p>
            <w:pPr>
              <w:jc w:val="right"/>
              <w:spacing w:after="0"/>
              <w:rPr>
                <w:sz w:val="20"/>
                <w:szCs w:val="20"/>
                <w:color w:val="auto"/>
              </w:rPr>
            </w:pPr>
            <w:r>
              <w:rPr>
                <w:rFonts w:ascii="Arial" w:cs="Arial" w:eastAsia="Arial" w:hAnsi="Arial"/>
                <w:sz w:val="15"/>
                <w:szCs w:val="15"/>
                <w:color w:val="auto"/>
              </w:rPr>
              <w:t>139,584</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185,110</w:t>
            </w:r>
          </w:p>
        </w:tc>
      </w:tr>
      <w:tr>
        <w:trPr>
          <w:trHeight w:val="444"/>
        </w:trPr>
        <w:tc>
          <w:tcPr>
            <w:tcW w:w="740" w:type="dxa"/>
            <w:vAlign w:val="bottom"/>
          </w:tcPr>
          <w:p>
            <w:pPr>
              <w:jc w:val="right"/>
              <w:spacing w:after="0"/>
              <w:rPr>
                <w:sz w:val="20"/>
                <w:szCs w:val="20"/>
                <w:color w:val="auto"/>
              </w:rPr>
            </w:pPr>
            <w:r>
              <w:rPr>
                <w:rFonts w:ascii="Arial" w:cs="Arial" w:eastAsia="Arial" w:hAnsi="Arial"/>
                <w:sz w:val="15"/>
                <w:szCs w:val="15"/>
                <w:color w:val="auto"/>
              </w:rPr>
              <w:t>608,668</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1,026,449</w:t>
            </w:r>
          </w:p>
        </w:tc>
      </w:tr>
      <w:tr>
        <w:trPr>
          <w:trHeight w:val="212"/>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329,033</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220" w:type="dxa"/>
            <w:vAlign w:val="bottom"/>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372,144</w:t>
            </w:r>
          </w:p>
        </w:tc>
      </w:tr>
      <w:tr>
        <w:trPr>
          <w:trHeight w:val="22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8,241,046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53,232</w:t>
            </w: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15,277,515</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73"/>
        </w:trPr>
        <w:tc>
          <w:tcPr>
            <w:tcW w:w="740" w:type="dxa"/>
            <w:vAlign w:val="bottom"/>
          </w:tcPr>
          <w:p>
            <w:pPr>
              <w:jc w:val="right"/>
              <w:spacing w:after="0"/>
              <w:rPr>
                <w:sz w:val="20"/>
                <w:szCs w:val="20"/>
                <w:color w:val="auto"/>
              </w:rPr>
            </w:pPr>
            <w:r>
              <w:rPr>
                <w:rFonts w:ascii="Arial" w:cs="Arial" w:eastAsia="Arial" w:hAnsi="Arial"/>
                <w:sz w:val="15"/>
                <w:szCs w:val="15"/>
                <w:color w:val="auto"/>
              </w:rPr>
              <w:t>1,277,064</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1,277,064</w:t>
            </w:r>
          </w:p>
        </w:tc>
      </w:tr>
      <w:tr>
        <w:trPr>
          <w:trHeight w:val="231"/>
        </w:trPr>
        <w:tc>
          <w:tcPr>
            <w:tcW w:w="740" w:type="dxa"/>
            <w:vAlign w:val="bottom"/>
          </w:tcPr>
          <w:p>
            <w:pPr>
              <w:jc w:val="right"/>
              <w:spacing w:after="0"/>
              <w:rPr>
                <w:sz w:val="20"/>
                <w:szCs w:val="20"/>
                <w:color w:val="auto"/>
              </w:rPr>
            </w:pPr>
            <w:r>
              <w:rPr>
                <w:rFonts w:ascii="Arial" w:cs="Arial" w:eastAsia="Arial" w:hAnsi="Arial"/>
                <w:sz w:val="15"/>
                <w:szCs w:val="15"/>
                <w:color w:val="auto"/>
              </w:rPr>
              <w:t>13,689</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13,689</w:t>
            </w:r>
          </w:p>
        </w:tc>
      </w:tr>
      <w:tr>
        <w:trPr>
          <w:trHeight w:val="444"/>
        </w:trPr>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136,683</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136,683</w:t>
            </w:r>
          </w:p>
        </w:tc>
      </w:tr>
      <w:tr>
        <w:trPr>
          <w:trHeight w:val="439"/>
        </w:trPr>
        <w:tc>
          <w:tcPr>
            <w:tcW w:w="740" w:type="dxa"/>
            <w:vAlign w:val="bottom"/>
          </w:tcPr>
          <w:p>
            <w:pPr>
              <w:jc w:val="right"/>
              <w:spacing w:after="0"/>
              <w:rPr>
                <w:sz w:val="20"/>
                <w:szCs w:val="20"/>
                <w:color w:val="auto"/>
              </w:rPr>
            </w:pPr>
            <w:r>
              <w:rPr>
                <w:rFonts w:ascii="Arial" w:cs="Arial" w:eastAsia="Arial" w:hAnsi="Arial"/>
                <w:sz w:val="15"/>
                <w:szCs w:val="15"/>
                <w:color w:val="auto"/>
              </w:rPr>
              <w:t>1,427,436</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1,427,436</w:t>
            </w: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jc w:val="right"/>
              <w:spacing w:after="0"/>
              <w:rPr>
                <w:sz w:val="20"/>
                <w:szCs w:val="20"/>
                <w:color w:val="auto"/>
              </w:rPr>
            </w:pPr>
            <w:r>
              <w:rPr>
                <w:rFonts w:ascii="Arial" w:cs="Arial" w:eastAsia="Arial" w:hAnsi="Arial"/>
                <w:sz w:val="15"/>
                <w:szCs w:val="15"/>
                <w:color w:val="auto"/>
              </w:rPr>
              <w:t>46,330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2,405,415</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1,152,169</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3,612,791</w:t>
            </w:r>
          </w:p>
        </w:tc>
      </w:tr>
      <w:tr>
        <w:trPr>
          <w:trHeight w:val="230"/>
        </w:trPr>
        <w:tc>
          <w:tcPr>
            <w:tcW w:w="740" w:type="dxa"/>
            <w:vAlign w:val="bottom"/>
          </w:tcPr>
          <w:p>
            <w:pPr>
              <w:jc w:val="right"/>
              <w:spacing w:after="0"/>
              <w:rPr>
                <w:sz w:val="20"/>
                <w:szCs w:val="20"/>
                <w:color w:val="auto"/>
              </w:rPr>
            </w:pPr>
            <w:r>
              <w:rPr>
                <w:rFonts w:ascii="Arial" w:cs="Arial" w:eastAsia="Arial" w:hAnsi="Arial"/>
                <w:sz w:val="15"/>
                <w:szCs w:val="15"/>
                <w:color w:val="auto"/>
              </w:rPr>
              <w:t>804</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15,165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16,043</w:t>
            </w:r>
          </w:p>
        </w:tc>
      </w:tr>
      <w:tr>
        <w:trPr>
          <w:trHeight w:val="420"/>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6,198</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69,648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76,711</w:t>
            </w:r>
          </w:p>
        </w:tc>
      </w:tr>
      <w:tr>
        <w:trPr>
          <w:trHeight w:val="22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53,332</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2,406,280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1,236,982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3,705,545</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220"/>
            <w:col w:w="3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w w:val="94"/>
              </w:rPr>
              <w:t>Term Loans by Origination Year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78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68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1,703,496</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2,438,212</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1,498,033</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763,757</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536,566</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767,710</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7,707,774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4,877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6,218</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3,735</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3,107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4,366</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23,643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3,686</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4,202</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3,319</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9,546</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23,276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1,705,125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2,445,323</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1,507,937</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771,694</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542,992</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781,622</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7,754,693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spacing w:after="0"/>
              <w:rPr>
                <w:sz w:val="20"/>
                <w:szCs w:val="20"/>
                <w:color w:val="auto"/>
              </w:rPr>
            </w:pPr>
            <w:r>
              <w:rPr>
                <w:rFonts w:ascii="Arial" w:cs="Arial" w:eastAsia="Arial" w:hAnsi="Arial"/>
                <w:sz w:val="15"/>
                <w:szCs w:val="15"/>
                <w:color w:val="auto"/>
              </w:rPr>
              <w:t>Automobile: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1,271,916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1,359,941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873,543</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472,973</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314,078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137,122</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4,429,573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4,653</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7,255</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6,592</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5,869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4,090</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630</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1,826</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6,119</w:t>
            </w:r>
          </w:p>
        </w:tc>
        <w:tc>
          <w:tcPr>
            <w:tcW w:w="1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8,150</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7,928</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6,437</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31,090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line="169" w:lineRule="exact"/>
              <w:rPr>
                <w:sz w:val="20"/>
                <w:szCs w:val="20"/>
                <w:color w:val="auto"/>
              </w:rPr>
            </w:pPr>
            <w:r>
              <w:rPr>
                <w:rFonts w:ascii="Arial" w:cs="Arial" w:eastAsia="Arial" w:hAnsi="Arial"/>
                <w:sz w:val="15"/>
                <w:szCs w:val="15"/>
                <w:color w:val="auto"/>
              </w:rPr>
              <w:t>Total automobile</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1,274,608</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1,366,420</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886,917</w:t>
            </w:r>
          </w:p>
        </w:tc>
        <w:tc>
          <w:tcPr>
            <w:tcW w:w="18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487,715</w:t>
            </w:r>
          </w:p>
        </w:tc>
        <w:tc>
          <w:tcPr>
            <w:tcW w:w="120" w:type="dxa"/>
            <w:vAlign w:val="bottom"/>
          </w:tcPr>
          <w:p>
            <w:pPr>
              <w:spacing w:after="0"/>
              <w:rPr>
                <w:sz w:val="18"/>
                <w:szCs w:val="18"/>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327,875</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147,649</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4,491,184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118,343</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127,772</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103,718</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37,304</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23,510</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27,345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988,950</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1,428,524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462</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668</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328</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99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10,929</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2,720</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39,724</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42,257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other</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121,603</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128,422</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104,682</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37,822</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23,728</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28,351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1,042,323</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2,062</w:t>
            </w:r>
          </w:p>
        </w:tc>
        <w:tc>
          <w:tcPr>
            <w:tcW w:w="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1,488,993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Total loans and leases at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June 30, 2021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11,248,858</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15,343,248</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14,580,702</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9,384,634</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7,044,703</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22,677,793</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15,558,294</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1,275,200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97,113,432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64" w:lineRule="auto"/>
        <w:rPr>
          <w:sz w:val="20"/>
          <w:szCs w:val="20"/>
          <w:color w:val="auto"/>
        </w:rPr>
      </w:pPr>
      <w:r>
        <w:rPr>
          <w:rFonts w:ascii="Arial" w:cs="Arial" w:eastAsia="Arial" w:hAnsi="Arial"/>
          <w:sz w:val="21"/>
          <w:szCs w:val="21"/>
          <w:color w:val="auto"/>
        </w:rPr>
        <w:t>The following table summarizes the loan grades applied at December 31, 2020 to the various classes of the Company’s commercial loans and commercial real estate loans by origination year.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9"/>
            <w:vMerge w:val="restart"/>
          </w:tcPr>
          <w:p>
            <w:pPr>
              <w:ind w:left="640"/>
              <w:spacing w:after="0"/>
              <w:rPr>
                <w:sz w:val="20"/>
                <w:szCs w:val="20"/>
                <w:color w:val="auto"/>
              </w:rPr>
            </w:pPr>
            <w:r>
              <w:rPr>
                <w:rFonts w:ascii="Arial" w:cs="Arial" w:eastAsia="Arial" w:hAnsi="Arial"/>
                <w:sz w:val="14"/>
                <w:szCs w:val="14"/>
                <w:b w:val="1"/>
                <w:bCs w:val="1"/>
                <w:color w:val="auto"/>
              </w:rPr>
              <w:t>Term Loans by Origination Year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Revolving</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Converted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9"/>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 Term</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280" w:type="dxa"/>
            <w:vAlign w:val="bottom"/>
            <w:vMerge w:val="restart"/>
          </w:tcPr>
          <w:p>
            <w:pPr>
              <w:spacing w:after="0"/>
              <w:rPr>
                <w:sz w:val="20"/>
                <w:szCs w:val="20"/>
                <w:color w:val="auto"/>
              </w:rPr>
            </w:pPr>
            <w:r>
              <w:rPr>
                <w:rFonts w:ascii="Arial" w:cs="Arial" w:eastAsia="Arial" w:hAnsi="Arial"/>
                <w:sz w:val="15"/>
                <w:szCs w:val="15"/>
                <w:color w:val="auto"/>
              </w:rPr>
              <w:t>Commercial, financial, leasing, etc.:</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7,732,728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2,277,233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1,505,486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930,834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719,796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1,387,695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11,352,416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25,927,474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388,326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84,358</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113,940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41,587</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39,930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73,401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584,751</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1,340,263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27,309</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56,227</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16,808</w:t>
            </w: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45,471</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125,893</w:t>
            </w: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306,827</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8,128,774</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2,388,900</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1,675,653</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989,229</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779,407</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1,506,567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12,063,060</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42,974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8"/>
              </w:rPr>
              <w:t>27,574,564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Real estate:</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5"/>
                <w:szCs w:val="15"/>
                <w:color w:val="auto"/>
              </w:rPr>
              <w:t>Commercial: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3,353,450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4,681,834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3,299,095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2,628,061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2,746,165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5,698,834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875,348</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23,282,787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526,037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400,154</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579,507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290,885</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568,144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1,212,672</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44,260</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3,621,659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26,876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121,899</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47,144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99,293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197,319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248,949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34,414</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775,894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3,906,363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5,203,887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3,925,746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3,018,239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3,511,628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7,160,455</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954,022</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27,680,340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Pass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506,295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223,880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109,453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15,048</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236,943</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1,113,915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3,690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106,847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14,836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3,421</w:t>
            </w:r>
          </w:p>
        </w:tc>
        <w:tc>
          <w:tcPr>
            <w:tcW w:w="1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1,885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4,050</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509,985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331,245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124,289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18,469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240,993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1,249,738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1,050,258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2,998,921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2,048,063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945,339</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294,030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74,611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7,644,349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148,492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381,091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225,949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144,665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12,034</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949,423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65,592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13,522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4,213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12,097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12,873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5,407</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114,039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other commercial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construction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1,087,785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3,213,005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2,442,676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1,175,501</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389,889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318,937</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80,018</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8,707,811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51" w:lineRule="auto"/>
        <w:rPr>
          <w:sz w:val="20"/>
          <w:szCs w:val="20"/>
          <w:color w:val="auto"/>
        </w:rPr>
      </w:pPr>
      <w:r>
        <w:rPr>
          <w:rFonts w:ascii="Arial" w:cs="Arial" w:eastAsia="Arial" w:hAnsi="Arial"/>
          <w:sz w:val="21"/>
          <w:szCs w:val="21"/>
          <w:color w:val="auto"/>
        </w:rPr>
        <w:t>A summary of loans in accrual and nonaccrual status at December 31, 2020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34"/>
        </w:trPr>
        <w:tc>
          <w:tcPr>
            <w:tcW w:w="2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6"/>
            <w:vMerge w:val="restart"/>
          </w:tcPr>
          <w:p>
            <w:pPr>
              <w:ind w:left="660"/>
              <w:spacing w:after="0"/>
              <w:rPr>
                <w:sz w:val="20"/>
                <w:szCs w:val="20"/>
                <w:color w:val="auto"/>
              </w:rPr>
            </w:pPr>
            <w:r>
              <w:rPr>
                <w:rFonts w:ascii="Arial" w:cs="Arial" w:eastAsia="Arial" w:hAnsi="Arial"/>
                <w:sz w:val="14"/>
                <w:szCs w:val="14"/>
                <w:b w:val="1"/>
                <w:bCs w:val="1"/>
                <w:color w:val="auto"/>
                <w:w w:val="93"/>
              </w:rPr>
              <w:t>Term Loans by Origination Year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600" w:type="dxa"/>
            <w:vAlign w:val="bottom"/>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6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Prior</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Arial" w:cs="Arial" w:eastAsia="Arial" w:hAnsi="Arial"/>
                <w:sz w:val="15"/>
                <w:szCs w:val="15"/>
                <w:color w:val="auto"/>
              </w:rPr>
              <w:t>Residential:</w:t>
            </w: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2,722,862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1,416,259</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618,736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1,318,094</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718,235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6,898,756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71,894</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13,764,836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13,496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7,781</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7,258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13,477</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7,947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150,447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15,234</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38,145</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212,818</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45,804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480,308</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792,888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14,439</w:t>
            </w: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5,183</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6,408</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333,466</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365,729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residential</w:t>
            </w:r>
          </w:p>
        </w:tc>
        <w:tc>
          <w:tcPr>
            <w:tcW w:w="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2"/>
              </w:rPr>
              <w:t>2,740,070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1,453,713</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669,322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1,550,797</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774,886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7,862,977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72,094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3"/>
              </w:rPr>
              <w:t>15,123,859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Residential - limited documentation:</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1,462,277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1,462,277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6" w:lineRule="exact"/>
              <w:rPr>
                <w:sz w:val="20"/>
                <w:szCs w:val="20"/>
                <w:color w:val="auto"/>
              </w:rPr>
            </w:pPr>
            <w:r>
              <w:rPr>
                <w:rFonts w:ascii="Arial" w:cs="Arial" w:eastAsia="Arial" w:hAnsi="Arial"/>
                <w:sz w:val="15"/>
                <w:szCs w:val="15"/>
                <w:color w:val="auto"/>
              </w:rPr>
              <w:t>Total residential - limited</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120"/>
              <w:spacing w:after="0"/>
              <w:rPr>
                <w:sz w:val="20"/>
                <w:szCs w:val="20"/>
                <w:color w:val="auto"/>
              </w:rPr>
            </w:pPr>
            <w:r>
              <w:rPr>
                <w:rFonts w:ascii="Arial" w:cs="Arial" w:eastAsia="Arial" w:hAnsi="Arial"/>
                <w:sz w:val="15"/>
                <w:szCs w:val="15"/>
                <w:color w:val="auto"/>
              </w:rPr>
              <w:t>documentation</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1,629,134</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1,629,134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5"/>
                <w:szCs w:val="15"/>
                <w:color w:val="auto"/>
              </w:rPr>
              <w:t>Consumer:</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Home equity lines and loans:</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3,983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2,016</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51,554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2,569,621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1,252,185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3,881,885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939</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22,242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6,148</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5,752</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67,492</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79,392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line="169" w:lineRule="exact"/>
              <w:rPr>
                <w:sz w:val="20"/>
                <w:szCs w:val="20"/>
                <w:color w:val="auto"/>
              </w:rPr>
            </w:pPr>
            <w:r>
              <w:rPr>
                <w:rFonts w:ascii="Arial" w:cs="Arial" w:eastAsia="Arial" w:hAnsi="Arial"/>
                <w:sz w:val="15"/>
                <w:szCs w:val="15"/>
                <w:color w:val="auto"/>
              </w:rPr>
              <w:t>Total home equity lines and loans</w:t>
            </w:r>
          </w:p>
        </w:tc>
        <w:tc>
          <w:tcPr>
            <w:tcW w:w="4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773</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3,983</w:t>
            </w:r>
          </w:p>
        </w:tc>
        <w:tc>
          <w:tcPr>
            <w:tcW w:w="220" w:type="dxa"/>
            <w:vAlign w:val="bottom"/>
          </w:tcPr>
          <w:p>
            <w:pPr>
              <w:spacing w:after="0"/>
              <w:rPr>
                <w:sz w:val="18"/>
                <w:szCs w:val="18"/>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1,591</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2,016</w:t>
            </w:r>
          </w:p>
        </w:tc>
        <w:tc>
          <w:tcPr>
            <w:tcW w:w="160" w:type="dxa"/>
            <w:vAlign w:val="bottom"/>
          </w:tcPr>
          <w:p>
            <w:pPr>
              <w:spacing w:after="0"/>
              <w:rPr>
                <w:sz w:val="18"/>
                <w:szCs w:val="18"/>
                <w:color w:val="auto"/>
              </w:rPr>
            </w:pP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58,850</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2,576,312</w:t>
            </w:r>
          </w:p>
        </w:tc>
        <w:tc>
          <w:tcPr>
            <w:tcW w:w="2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1,341,919</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3,985,606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w w:val="93"/>
              </w:rPr>
              <w:t>Term Loans by Origination Year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Revolving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Converted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 Term</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80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Loans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16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5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2,796,359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1,751,766</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907,595</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630,151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352,414</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564,358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7,002,643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9,548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11,255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8,519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2,938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8,263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4,072</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8,783</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2,807,761</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1,766,904</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920,186</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640,983</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358,085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581,404</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7,075,323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Automobile:</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1,595,636</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1,106,782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629,338</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440,604</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171,017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63,972</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4,007,349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6,461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14,140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12,542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12,899</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6,373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3,083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55,498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7,144</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10,788</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10,061</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5,991</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39,404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automobile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1,603,712</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1,128,066</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652,668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463,564</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183,381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70,860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4,102,251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160,424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137,617</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53,702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32,556</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4,526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28,970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927,217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1,856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1,346,868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10,594</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580"/>
              <w:spacing w:after="0"/>
              <w:rPr>
                <w:sz w:val="20"/>
                <w:szCs w:val="20"/>
                <w:color w:val="auto"/>
              </w:rPr>
            </w:pPr>
            <w:r>
              <w:rPr>
                <w:rFonts w:ascii="Arial" w:cs="Arial" w:eastAsia="Arial" w:hAnsi="Arial"/>
                <w:sz w:val="15"/>
                <w:szCs w:val="15"/>
                <w:color w:val="auto"/>
              </w:rPr>
              <w:t>more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4,207</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339</w:t>
            </w:r>
          </w:p>
        </w:tc>
        <w:tc>
          <w:tcPr>
            <w:tcW w:w="20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35,044</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38,231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line="169" w:lineRule="exact"/>
              <w:rPr>
                <w:sz w:val="20"/>
                <w:szCs w:val="20"/>
                <w:color w:val="auto"/>
              </w:rPr>
            </w:pPr>
            <w:r>
              <w:rPr>
                <w:rFonts w:ascii="Arial" w:cs="Arial" w:eastAsia="Arial" w:hAnsi="Arial"/>
                <w:sz w:val="15"/>
                <w:szCs w:val="15"/>
                <w:color w:val="auto"/>
              </w:rPr>
              <w:t>Total other</w:t>
            </w:r>
          </w:p>
        </w:tc>
        <w:tc>
          <w:tcPr>
            <w:tcW w:w="6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163,796</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139,239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54,618</w:t>
            </w:r>
          </w:p>
        </w:tc>
        <w:tc>
          <w:tcPr>
            <w:tcW w:w="20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35,040</w:t>
            </w:r>
          </w:p>
        </w:tc>
        <w:tc>
          <w:tcPr>
            <w:tcW w:w="100" w:type="dxa"/>
            <w:vAlign w:val="bottom"/>
          </w:tcPr>
          <w:p>
            <w:pPr>
              <w:spacing w:after="0"/>
              <w:rPr>
                <w:sz w:val="18"/>
                <w:szCs w:val="18"/>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4,599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30,402</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977,062</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2,485</w:t>
            </w:r>
          </w:p>
        </w:tc>
        <w:tc>
          <w:tcPr>
            <w:tcW w:w="20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1,407,241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5"/>
                <w:szCs w:val="15"/>
                <w:color w:val="auto"/>
              </w:rPr>
              <w:t>Total loans and leases at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5"/>
                <w:szCs w:val="15"/>
                <w:color w:val="auto"/>
              </w:rPr>
              <w:t>December 31, 2020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20,949,019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15,628,942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10,466,749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7,893,838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6,013,013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19,233,367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16,963,561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1,387,378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98,535,867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20"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color w:val="auto"/>
        </w:rPr>
        <w:t>For purposes of determining the level of the allowance for credit losses, the Company evaluates its loan and lease portfolio by type. Changes in the allowance for credit losses for the three months ended June 30,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0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3720" w:type="dxa"/>
            <w:vAlign w:val="bottom"/>
          </w:tcPr>
          <w:p>
            <w:pPr>
              <w:spacing w:after="0"/>
              <w:rPr>
                <w:sz w:val="20"/>
                <w:szCs w:val="20"/>
                <w:color w:val="auto"/>
              </w:rPr>
            </w:pPr>
            <w:r>
              <w:rPr>
                <w:rFonts w:ascii="Arial" w:cs="Arial" w:eastAsia="Arial" w:hAnsi="Arial"/>
                <w:sz w:val="18"/>
                <w:szCs w:val="18"/>
                <w:color w:val="auto"/>
              </w:rPr>
              <w:t>Beginning balance</w:t>
            </w:r>
          </w:p>
        </w:tc>
        <w:tc>
          <w:tcPr>
            <w:tcW w:w="2020" w:type="dxa"/>
            <w:vAlign w:val="bottom"/>
            <w:gridSpan w:val="2"/>
          </w:tcPr>
          <w:p>
            <w:pPr>
              <w:ind w:left="19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328,994</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716,098</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89,789</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501,325</w:t>
            </w: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$ 1,636,206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15,100</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(24,805)</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(12,069)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charge-offs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(40,095)</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(12,523)</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(2,262)</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(25,489)</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(80,369)</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10,853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19,834</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(29,242)</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Ending balance</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314,852</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77,869</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$ 1,575,128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2740" w:type="dxa"/>
            <w:vAlign w:val="bottom"/>
            <w:gridSpan w:val="3"/>
          </w:tcPr>
          <w:p>
            <w:pPr>
              <w:jc w:val="right"/>
              <w:ind w:right="553"/>
              <w:spacing w:after="0"/>
              <w:rPr>
                <w:sz w:val="20"/>
                <w:szCs w:val="20"/>
                <w:color w:val="auto"/>
              </w:rPr>
            </w:pPr>
            <w:r>
              <w:rPr>
                <w:rFonts w:ascii="Arial" w:cs="Arial" w:eastAsia="Arial" w:hAnsi="Arial"/>
                <w:sz w:val="18"/>
                <w:szCs w:val="18"/>
                <w:color w:val="auto"/>
              </w:rPr>
              <w:t>- 19 -</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June 30, 2020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1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Consumer</w:t>
            </w:r>
          </w:p>
        </w:tc>
        <w:tc>
          <w:tcPr>
            <w:tcW w:w="2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Beginning balance</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358,092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433,689</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115,792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476,793</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$ 1,384,366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159,090</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Net charge-offs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(32,608)</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(17,472)</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(1,609)</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(39,708)</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(91,397)</w:t>
            </w:r>
          </w:p>
        </w:tc>
        <w:tc>
          <w:tcPr>
            <w:tcW w:w="0" w:type="dxa"/>
            <w:vAlign w:val="bottom"/>
          </w:tcPr>
          <w:p>
            <w:pPr>
              <w:spacing w:after="0"/>
              <w:rPr>
                <w:sz w:val="1"/>
                <w:szCs w:val="1"/>
                <w:color w:val="auto"/>
              </w:rPr>
            </w:pP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13,992</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(29,235)</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Ending balance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398,257</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118,921</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544,737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$ 1,638,236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2021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161"/>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020" w:type="dxa"/>
            <w:vAlign w:val="bottom"/>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3"/>
                <w:szCs w:val="13"/>
                <w:color w:val="auto"/>
              </w:rPr>
            </w:pPr>
          </w:p>
        </w:tc>
        <w:tc>
          <w:tcPr>
            <w:tcW w:w="98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2"/>
            <w:shd w:val="clear" w:color="auto" w:fill="CFF0FC"/>
          </w:tcPr>
          <w:p>
            <w:pPr>
              <w:ind w:left="18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405,846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670,719</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103,590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556,232</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$ 1,736,387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(57,318)</w:t>
            </w:r>
          </w:p>
        </w:tc>
        <w:tc>
          <w:tcPr>
            <w:tcW w:w="820" w:type="dxa"/>
            <w:vAlign w:val="bottom"/>
          </w:tcPr>
          <w:p>
            <w:pPr>
              <w:jc w:val="right"/>
              <w:spacing w:after="0"/>
              <w:rPr>
                <w:sz w:val="20"/>
                <w:szCs w:val="20"/>
                <w:color w:val="auto"/>
              </w:rPr>
            </w:pPr>
            <w:r>
              <w:rPr>
                <w:rFonts w:ascii="Arial" w:cs="Arial" w:eastAsia="Arial" w:hAnsi="Arial"/>
                <w:sz w:val="18"/>
                <w:szCs w:val="18"/>
                <w:color w:val="auto"/>
              </w:rPr>
              <w:t>74,666</w:t>
            </w:r>
          </w:p>
        </w:tc>
        <w:tc>
          <w:tcPr>
            <w:tcW w:w="2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(25,504)</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(31,844)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(67,040)</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(73,175)</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(4,661)</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(58,418)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(203,294)</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33,364</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36,474</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8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(33,676)</w:t>
            </w:r>
          </w:p>
        </w:tc>
        <w:tc>
          <w:tcPr>
            <w:tcW w:w="32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(65,422</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(21,944</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(121,259</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314,852</w:t>
            </w: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679,963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77,869</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502,444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$ 1,575,128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2020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20" w:type="dxa"/>
            <w:vAlign w:val="bottom"/>
            <w:gridSpan w:val="4"/>
          </w:tcPr>
          <w:p>
            <w:pPr>
              <w:ind w:left="1120"/>
              <w:spacing w:after="0"/>
              <w:rPr>
                <w:sz w:val="20"/>
                <w:szCs w:val="20"/>
                <w:color w:val="auto"/>
              </w:rPr>
            </w:pPr>
            <w:r>
              <w:rPr>
                <w:rFonts w:ascii="Arial" w:cs="Arial" w:eastAsia="Arial" w:hAnsi="Arial"/>
                <w:sz w:val="14"/>
                <w:szCs w:val="14"/>
                <w:b w:val="1"/>
                <w:bCs w:val="1"/>
                <w:color w:val="auto"/>
              </w:rPr>
              <w:t>Commercial,</w:t>
            </w:r>
          </w:p>
        </w:tc>
        <w:tc>
          <w:tcPr>
            <w:tcW w:w="2100" w:type="dxa"/>
            <w:vAlign w:val="bottom"/>
            <w:gridSpan w:val="4"/>
            <w:vMerge w:val="restart"/>
          </w:tcPr>
          <w:p>
            <w:pPr>
              <w:jc w:val="right"/>
              <w:ind w:right="761"/>
              <w:spacing w:after="0"/>
              <w:rPr>
                <w:sz w:val="20"/>
                <w:szCs w:val="20"/>
                <w:color w:val="auto"/>
              </w:rPr>
            </w:pPr>
            <w:r>
              <w:rPr>
                <w:rFonts w:ascii="Arial" w:cs="Arial" w:eastAsia="Arial" w:hAnsi="Arial"/>
                <w:sz w:val="14"/>
                <w:szCs w:val="14"/>
                <w:b w:val="1"/>
                <w:bCs w:val="1"/>
                <w:color w:val="auto"/>
              </w:rPr>
              <w:t>Real Estate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Financial,</w:t>
            </w:r>
          </w:p>
        </w:tc>
        <w:tc>
          <w:tcPr>
            <w:tcW w:w="210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60" w:type="dxa"/>
            <w:vAlign w:val="bottom"/>
            <w:tcBorders>
              <w:top w:val="single" w:sz="8" w:color="auto"/>
            </w:tcBorders>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w w:val="92"/>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280" w:type="dxa"/>
            <w:vAlign w:val="bottom"/>
          </w:tcPr>
          <w:p>
            <w:pPr>
              <w:spacing w:after="0"/>
              <w:rPr>
                <w:sz w:val="13"/>
                <w:szCs w:val="13"/>
                <w:color w:val="auto"/>
              </w:rPr>
            </w:pPr>
          </w:p>
        </w:tc>
        <w:tc>
          <w:tcPr>
            <w:tcW w:w="920" w:type="dxa"/>
            <w:vAlign w:val="bottom"/>
            <w:gridSpan w:val="2"/>
          </w:tcPr>
          <w:p>
            <w:pPr>
              <w:jc w:val="right"/>
              <w:ind w:right="141"/>
              <w:spacing w:after="0" w:line="155" w:lineRule="exact"/>
              <w:rPr>
                <w:sz w:val="20"/>
                <w:szCs w:val="20"/>
                <w:color w:val="auto"/>
              </w:rPr>
            </w:pPr>
            <w:r>
              <w:rPr>
                <w:rFonts w:ascii="Arial" w:cs="Arial" w:eastAsia="Arial" w:hAnsi="Arial"/>
                <w:sz w:val="14"/>
                <w:szCs w:val="14"/>
                <w:b w:val="1"/>
                <w:bCs w:val="1"/>
                <w:color w:val="auto"/>
                <w:w w:val="98"/>
              </w:rPr>
              <w:t>Consumer</w:t>
            </w:r>
          </w:p>
        </w:tc>
        <w:tc>
          <w:tcPr>
            <w:tcW w:w="10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4"/>
          </w:tcPr>
          <w:p>
            <w:pPr>
              <w:jc w:val="right"/>
              <w:ind w:right="52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Beginning balance</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366,094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322,201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56,033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229,118</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77,625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$ 1,051,071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standard</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(61,474)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194,004</w:t>
            </w: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(77,625)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135,994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247,756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12,141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179,109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(48,991)</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(18,744)</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(6,711)</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(84,655)</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(159,101)</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(42,357</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(17,292</w:t>
            </w:r>
          </w:p>
        </w:tc>
        <w:tc>
          <w:tcPr>
            <w:tcW w:w="280" w:type="dxa"/>
            <w:vAlign w:val="bottom"/>
            <w:tcBorders>
              <w:bottom w:val="single" w:sz="8" w:color="CFF0FC"/>
            </w:tcBorders>
          </w:tcPr>
          <w:p>
            <w:pPr>
              <w:jc w:val="right"/>
              <w:ind w:right="14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80" w:type="dxa"/>
            <w:vAlign w:val="bottom"/>
            <w:tcBorders>
              <w:bottom w:val="single" w:sz="8" w:color="CFF0FC"/>
            </w:tcBorders>
          </w:tcPr>
          <w:p>
            <w:pPr>
              <w:jc w:val="right"/>
              <w:ind w:right="14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(57,494</w:t>
            </w:r>
          </w:p>
        </w:tc>
        <w:tc>
          <w:tcPr>
            <w:tcW w:w="160" w:type="dxa"/>
            <w:vAlign w:val="bottom"/>
            <w:tcBorders>
              <w:bottom w:val="single" w:sz="8" w:color="CFF0FC"/>
            </w:tcBorders>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(120,292</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398,257</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576,321</w:t>
            </w:r>
          </w:p>
        </w:tc>
        <w:tc>
          <w:tcPr>
            <w:tcW w:w="2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118,921</w:t>
            </w:r>
          </w:p>
        </w:tc>
        <w:tc>
          <w:tcPr>
            <w:tcW w:w="2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544,737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$ 1,638,236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- 20 -</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Despite the allocation in the preceding tables, the allowance for credit losses is general in nature and is available to absorb losses from any loan or lease type. In establishing the allowance for credit losses, the Company estimates losses attributable to specific troubled credits identified through both normal and targeted credit review processes and also estimates losses for loans and leases with similar risk characteristics on a collective basis.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6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510"/>
        <w:spacing w:after="0" w:line="278" w:lineRule="auto"/>
        <w:rPr>
          <w:sz w:val="20"/>
          <w:szCs w:val="20"/>
          <w:color w:val="auto"/>
        </w:rPr>
      </w:pPr>
      <w:r>
        <w:rPr>
          <w:rFonts w:ascii="Arial" w:cs="Arial" w:eastAsia="Arial" w:hAnsi="Arial"/>
          <w:sz w:val="19"/>
          <w:szCs w:val="19"/>
          <w:color w:val="auto"/>
        </w:rPr>
        <w:t>Information with respect to loans and leases that were considered nonaccrual at the beginning and end of the reporting period and the interest income recognized on such loans for the three-month and six-month periods ended June 30, 2021 and 2020 follows.</w:t>
      </w:r>
    </w:p>
    <w:tbl>
      <w:tblPr>
        <w:tblLayout w:type="fixed"/>
        <w:tblInd w:w="0" w:type="dxa"/>
        <w:tblCellMar>
          <w:top w:w="0" w:type="dxa"/>
          <w:left w:w="0" w:type="dxa"/>
          <w:bottom w:w="0" w:type="dxa"/>
          <w:right w:w="0" w:type="dxa"/>
        </w:tblCellMar>
      </w:tblPr>
      <w:tr>
        <w:trPr>
          <w:trHeight w:val="133"/>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Three</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January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Cost with</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Cost without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Allowance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  210,294</w:t>
            </w:r>
          </w:p>
        </w:tc>
        <w:tc>
          <w:tcPr>
            <w:tcW w:w="3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119,746</w:t>
            </w:r>
          </w:p>
        </w:tc>
        <w:tc>
          <w:tcPr>
            <w:tcW w:w="1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330,040</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295,069</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306,827</w:t>
            </w:r>
          </w:p>
        </w:tc>
        <w:tc>
          <w:tcPr>
            <w:tcW w:w="3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366,166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715,380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1,081,546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824,079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775,894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14,552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20,717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113,041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133,758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126,225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114,039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191,965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180,179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372,144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385,508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365,729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6,296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85,683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136,683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143,069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147,170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38,860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76,711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79,188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79,392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16,620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23,276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27,218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25,519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27,609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31,090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39,404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00"/>
              <w:spacing w:after="0"/>
              <w:rPr>
                <w:sz w:val="20"/>
                <w:szCs w:val="20"/>
                <w:color w:val="auto"/>
              </w:rPr>
            </w:pPr>
            <w:r>
              <w:rPr>
                <w:rFonts w:ascii="Arial" w:cs="Arial" w:eastAsia="Arial" w:hAnsi="Arial"/>
                <w:sz w:val="18"/>
                <w:szCs w:val="18"/>
                <w:color w:val="auto"/>
              </w:rPr>
              <w:t>Other</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42,096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42,257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37,307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38,231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$ 1,001,103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$ 1,240,954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$ 2,242,057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$ 1,957,106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$ 1,893,299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Three</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31,</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tcPr>
          <w:p>
            <w:pPr>
              <w:ind w:left="60"/>
              <w:spacing w:after="0" w:line="133"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4"/>
              </w:rPr>
              <w:t>Interest</w:t>
            </w:r>
          </w:p>
        </w:tc>
        <w:tc>
          <w:tcPr>
            <w:tcW w:w="2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Cost with</w:t>
            </w:r>
          </w:p>
        </w:tc>
        <w:tc>
          <w:tcPr>
            <w:tcW w:w="1240" w:type="dxa"/>
            <w:vAlign w:val="bottom"/>
            <w:gridSpan w:val="6"/>
          </w:tcPr>
          <w:p>
            <w:pPr>
              <w:ind w:left="240"/>
              <w:spacing w:after="0" w:line="149" w:lineRule="exact"/>
              <w:rPr>
                <w:sz w:val="20"/>
                <w:szCs w:val="20"/>
                <w:color w:val="auto"/>
              </w:rPr>
            </w:pPr>
            <w:r>
              <w:rPr>
                <w:rFonts w:ascii="Arial" w:cs="Arial" w:eastAsia="Arial" w:hAnsi="Arial"/>
                <w:sz w:val="14"/>
                <w:szCs w:val="14"/>
                <w:b w:val="1"/>
                <w:bCs w:val="1"/>
                <w:color w:val="auto"/>
              </w:rPr>
              <w:t>Cost without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Allowance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Recognized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$ 138,556</w:t>
            </w:r>
          </w:p>
        </w:tc>
        <w:tc>
          <w:tcPr>
            <w:tcW w:w="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284,654</w:t>
            </w:r>
          </w:p>
        </w:tc>
        <w:tc>
          <w:tcPr>
            <w:tcW w:w="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286,647</w:t>
            </w:r>
          </w:p>
        </w:tc>
        <w:tc>
          <w:tcPr>
            <w:tcW w:w="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346,743</w:t>
            </w:r>
          </w:p>
        </w:tc>
        <w:tc>
          <w:tcPr>
            <w:tcW w:w="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57,675</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173,796</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1,748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42,969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34,935</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80,772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226,135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306,907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293,638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322,504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26,460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118,695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114,667</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38,890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77,094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16,264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13,405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14,308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35,510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500"/>
              <w:spacing w:after="0"/>
              <w:rPr>
                <w:sz w:val="20"/>
                <w:szCs w:val="20"/>
                <w:color w:val="auto"/>
              </w:rPr>
            </w:pPr>
            <w:r>
              <w:rPr>
                <w:rFonts w:ascii="Arial" w:cs="Arial" w:eastAsia="Arial" w:hAnsi="Arial"/>
                <w:sz w:val="18"/>
                <w:szCs w:val="18"/>
                <w:color w:val="auto"/>
              </w:rPr>
              <w:t>Other</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7,747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42,750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$ 446,591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710,059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$ 1,156,650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$ 1,061,748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$ 1,134,333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- 22 -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June 30, 2021 and December 31,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Changes in the amount of the allowance for credit losses reflect the outcome of the procedures described herein, including the impact of changes in macroeconomic forecasts as compared with previous forecasts, as well as the impact of portfolio concentrations, changes in underwriting practices, product expansions into new markets, imprecision in economic forecasts and other risk factors that might influence the loss estimation process.</w:t>
      </w:r>
    </w:p>
    <w:p>
      <w:pPr>
        <w:spacing w:after="0" w:line="60" w:lineRule="exact"/>
        <w:rPr>
          <w:sz w:val="20"/>
          <w:szCs w:val="20"/>
          <w:color w:val="auto"/>
        </w:rPr>
      </w:pPr>
    </w:p>
    <w:p>
      <w:pPr>
        <w:ind w:right="680" w:firstLine="510"/>
        <w:spacing w:after="0" w:line="348" w:lineRule="auto"/>
        <w:rPr>
          <w:sz w:val="20"/>
          <w:szCs w:val="20"/>
          <w:color w:val="auto"/>
        </w:rPr>
      </w:pPr>
      <w:r>
        <w:rPr>
          <w:rFonts w:ascii="Arial" w:cs="Arial" w:eastAsia="Arial" w:hAnsi="Arial"/>
          <w:sz w:val="21"/>
          <w:szCs w:val="21"/>
          <w:color w:val="auto"/>
        </w:rPr>
        <w:t xml:space="preserve">The Company’s reserve for off-balance sheet credit exposures was not material at June 30, 2021 and December 31, 2020. </w:t>
      </w:r>
      <w:r>
        <w:rPr>
          <w:rFonts w:ascii="Arial" w:cs="Arial" w:eastAsia="Arial" w:hAnsi="Arial"/>
          <w:sz w:val="21"/>
          <w:szCs w:val="21"/>
          <w:b w:val="1"/>
          <w:bCs w:val="1"/>
          <w:i w:val="1"/>
          <w:iCs w:val="1"/>
          <w:color w:val="auto"/>
        </w:rPr>
        <w:t>Loan modifications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and six-month periods ended June 30,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280"/>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86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70,749</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5"/>
              </w:rPr>
              <w:t>$ 11,439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58,787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143,141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106,435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34,041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254,305</w:t>
            </w: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$ 54,746</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169,512</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252,836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Three Months Ended June 30, 2020</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180" w:type="dxa"/>
            <w:vAlign w:val="bottom"/>
            <w:tcBorders>
              <w:top w:val="single" w:sz="8" w:color="auto"/>
            </w:tcBorders>
          </w:tcPr>
          <w:p>
            <w:pPr>
              <w:spacing w:after="0"/>
              <w:rPr>
                <w:sz w:val="5"/>
                <w:szCs w:val="5"/>
                <w:color w:val="auto"/>
              </w:rPr>
            </w:pPr>
          </w:p>
        </w:tc>
        <w:tc>
          <w:tcPr>
            <w:tcW w:w="2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55,136</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5"/>
              </w:rPr>
              <w:t>$ 17,551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31,605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41,872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Pr>
          <w:p>
            <w:pPr>
              <w:jc w:val="right"/>
              <w:spacing w:after="0"/>
              <w:rPr>
                <w:sz w:val="20"/>
                <w:szCs w:val="20"/>
                <w:color w:val="auto"/>
              </w:rPr>
            </w:pPr>
            <w:r>
              <w:rPr>
                <w:rFonts w:ascii="Arial" w:cs="Arial" w:eastAsia="Arial" w:hAnsi="Arial"/>
                <w:sz w:val="18"/>
                <w:szCs w:val="18"/>
                <w:color w:val="auto"/>
              </w:rPr>
              <w:t>1,461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26,352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3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$ 69,139</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37,423</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143,300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- 24 -</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Post-modification (a)</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w w:val="92"/>
              </w:rPr>
              <w:t>Six Months Ended June 30, 2021</w:t>
            </w:r>
          </w:p>
        </w:tc>
        <w:tc>
          <w:tcPr>
            <w:tcW w:w="218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20" w:type="dxa"/>
            <w:vAlign w:val="bottom"/>
            <w:tcBorders>
              <w:bottom w:val="single" w:sz="8" w:color="auto"/>
            </w:tcBorders>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2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124,482</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36,092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87,291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123,605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170,011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118,857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167,957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140,262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211,743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382,797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Six Months Ended June 30, 2020</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20" w:type="dxa"/>
            <w:vAlign w:val="bottom"/>
            <w:tcBorders>
              <w:top w:val="single" w:sz="8" w:color="auto"/>
            </w:tcBorders>
            <w:shd w:val="clear" w:color="auto" w:fill="CFF0FC"/>
          </w:tcPr>
          <w:p>
            <w:pPr>
              <w:spacing w:after="0"/>
              <w:rPr>
                <w:sz w:val="5"/>
                <w:szCs w:val="5"/>
                <w:color w:val="auto"/>
              </w:rPr>
            </w:pPr>
          </w:p>
        </w:tc>
        <w:tc>
          <w:tcPr>
            <w:tcW w:w="218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81,514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Pr>
          <w:p>
            <w:pPr>
              <w:jc w:val="right"/>
              <w:spacing w:after="0"/>
              <w:rPr>
                <w:sz w:val="20"/>
                <w:szCs w:val="20"/>
                <w:color w:val="auto"/>
              </w:rPr>
            </w:pPr>
            <w:r>
              <w:rPr>
                <w:rFonts w:ascii="Arial" w:cs="Arial" w:eastAsia="Arial" w:hAnsi="Arial"/>
                <w:sz w:val="18"/>
                <w:szCs w:val="18"/>
                <w:color w:val="auto"/>
              </w:rPr>
              <w:t>1,470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26,534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2,490</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219,374</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82,158</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36,405</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90,921</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209,817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4972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5" w:lineRule="exact"/>
        <w:rPr>
          <w:sz w:val="20"/>
          <w:szCs w:val="20"/>
          <w:color w:val="auto"/>
        </w:rPr>
      </w:pPr>
    </w:p>
    <w:p>
      <w:pPr>
        <w:ind w:left="380" w:right="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-302260</wp:posOffset>
            </wp:positionV>
            <wp:extent cx="4397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28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2021 and 2020 and for which there was a subsequent payment default during the six-month periods ended June 30, 2021 and 2020, respectively, were not material.</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amount of foreclosed residential real estate property held by the Company was $23 million and $28 million at June 30, 2021 and December 31, 2020, respectively. There were $188 million and $214 million at June 30, 2021 and December 31, 2020, respectively, of loans secured by residential real estate that were in the process of foreclosure. Of all loans in the process of foreclosure at June 30, 2021, approximately 39% were government guaranteed.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M&amp;T had $530 million of fixed and variable rate junior subordinated deferrable interest debentures ("Junior Subordinated Debentures") outstanding at June 30, 2021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7"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8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 January 25, 2021, $350 million of variable rate senior notes of M&amp;T Bank, the principal bank subsidiary of M&amp;T, matured. In addition, on March 1, 2021, M&amp;T Bank redeemed $500 million of subordinated notes that were due to mature on December 1, 2021.</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 continued</w:t>
      </w:r>
    </w:p>
    <w:p>
      <w:pPr>
        <w:spacing w:after="0" w:line="116"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2021 and December 31, 2020, the Company had $62 million and $67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2021 and December 31, 2020, the Company had deferred revenue of $38 million and $42 million, respectively, related to the sources in the accompanying tables recorded in accrued interest and other liabilities in the consolidated balance sheet.</w:t>
      </w:r>
    </w:p>
    <w:p>
      <w:pPr>
        <w:spacing w:after="0" w:line="5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following tables summarize sources of the Company’s noninterest income during the three-month and six-month periods ended June 30, 2021 and 2020 that are subject to the noted accounting guidance.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Discretionary</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Residential</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Banking</w:t>
            </w: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Banking</w:t>
            </w:r>
          </w:p>
        </w:tc>
        <w:tc>
          <w:tcPr>
            <w:tcW w:w="2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$ 12,942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24,955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2,898</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56,586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162,991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162,991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13,713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5,908</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1,926</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6,012</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9,197</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$ 26,655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40,443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5,324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1,447</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68,526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183,116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325,887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$ 11,271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22,514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2,565</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40,024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151,882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8,159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8,891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379</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3,166</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9,421</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$ 19,436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4,132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46,640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172,880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276,619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 continued</w:t>
      </w:r>
    </w:p>
    <w:tbl>
      <w:tblPr>
        <w:tblLayout w:type="fixed"/>
        <w:tblInd w:w="0" w:type="dxa"/>
        <w:tblCellMar>
          <w:top w:w="0" w:type="dxa"/>
          <w:left w:w="0" w:type="dxa"/>
          <w:bottom w:w="0" w:type="dxa"/>
          <w:right w:w="0" w:type="dxa"/>
        </w:tblCellMar>
      </w:tblPr>
      <w:tr>
        <w:trPr>
          <w:trHeight w:val="160"/>
        </w:trPr>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Business</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Discretionary</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Banking</w:t>
            </w: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260" w:type="dxa"/>
            <w:vAlign w:val="bottom"/>
          </w:tcPr>
          <w:p>
            <w:pPr>
              <w:spacing w:after="0"/>
              <w:rPr>
                <w:sz w:val="14"/>
                <w:szCs w:val="14"/>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Portfolio</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$ 25,439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49,250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5,791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108,038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$ 191,295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319,013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23,358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23,194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24,842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9,829</w:t>
            </w: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(345)</w:t>
            </w:r>
          </w:p>
        </w:tc>
        <w:tc>
          <w:tcPr>
            <w:tcW w:w="660" w:type="dxa"/>
            <w:vAlign w:val="bottom"/>
          </w:tcPr>
          <w:p>
            <w:pPr>
              <w:jc w:val="right"/>
              <w:spacing w:after="0"/>
              <w:rPr>
                <w:sz w:val="20"/>
                <w:szCs w:val="20"/>
                <w:color w:val="auto"/>
              </w:rPr>
            </w:pPr>
            <w:r>
              <w:rPr>
                <w:rFonts w:ascii="Arial" w:cs="Arial" w:eastAsia="Arial" w:hAnsi="Arial"/>
                <w:sz w:val="16"/>
                <w:szCs w:val="16"/>
                <w:color w:val="auto"/>
              </w:rPr>
              <w:t>58,465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3,017</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3,169</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11,819</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22,145</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$ 48,633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76,103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9,753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760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3,169</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129,706</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366,948</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$ 635,072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w w:val="92"/>
              </w:rPr>
              <w:t>Six Months Ended June 30, 2020</w:t>
            </w:r>
          </w:p>
        </w:tc>
        <w:tc>
          <w:tcPr>
            <w:tcW w:w="118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20" w:type="dxa"/>
            <w:vAlign w:val="bottom"/>
            <w:tcBorders>
              <w:bottom w:val="single" w:sz="8" w:color="auto"/>
            </w:tcBorders>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$ 26,521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46,671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5,377</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101,694</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3,353</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$ 183,616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300,174</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23,592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18,490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22,207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5,721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576</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2,973</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1,974</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9,148</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21,937</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$ 45,029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72,292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1,974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116,563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349,632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$ 595,133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88"/>
              </w:rPr>
              <w:t>Pension</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0"/>
              </w:rPr>
              <w:t>Benefits</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5"/>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15,502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17,824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(35,774)</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(31,281)</w:t>
            </w:r>
          </w:p>
        </w:tc>
        <w:tc>
          <w:tcPr>
            <w:tcW w:w="13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22,359</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15,098</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88"/>
              </w:rPr>
              <w:t>Pension</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0"/>
              </w:rPr>
              <w:t>Benefits</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5"/>
          </w:tcPr>
          <w:p>
            <w:pPr>
              <w:jc w:val="center"/>
              <w:ind w:right="600"/>
              <w:spacing w:after="0" w:line="147" w:lineRule="exact"/>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380" w:type="dxa"/>
            <w:vAlign w:val="bottom"/>
          </w:tcPr>
          <w:p>
            <w:pPr>
              <w:spacing w:after="0"/>
              <w:rPr>
                <w:sz w:val="20"/>
                <w:szCs w:val="20"/>
                <w:color w:val="auto"/>
              </w:rPr>
            </w:pPr>
            <w:r>
              <w:rPr>
                <w:rFonts w:ascii="Arial" w:cs="Arial" w:eastAsia="Arial" w:hAnsi="Arial"/>
                <w:sz w:val="18"/>
                <w:szCs w:val="18"/>
                <w:color w:val="auto"/>
              </w:rPr>
              <w:t>Service cost</w:t>
            </w:r>
          </w:p>
        </w:tc>
        <w:tc>
          <w:tcPr>
            <w:tcW w:w="1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10,257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9,972</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(71,724)</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(62,756)</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(2,369)</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44,509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29,048</w:t>
            </w: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cost (benefit)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$25 million and $23 million for the three months ended June 30, 2021 and 2020, respectively, and $58 million and $51 million for the six months ended June 30, 2021 and 2020, respectively, and are included in salaries and employee benefits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(In thousands, except per share)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614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458,069</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905,318</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Less: Preferred stock dividends</w:t>
            </w: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(17,050)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(17,050)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(34,100)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(34,128)</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441,019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224,004</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871,218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(2,263)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(906)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(4,370)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438,756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223,098</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866,848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129,589</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129,059</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129,502</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(784)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128,671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128,275</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128,604</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right"/>
              <w:ind w:right="540"/>
              <w:spacing w:after="0" w:line="154" w:lineRule="exact"/>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(In thousands, except per share)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441,019</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224,004</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871,218</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475,748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(2,260)</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(905)</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(4,366)</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438,759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223,099</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866,852</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129,589</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129,059</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129,502</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(918)</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(784)</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(898)</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purchase common stock</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128,842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128,333</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128,756</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Stock-based compensation awards to purchase common stock of M&amp;T representing 462,342 common shares during each of the three-month and six-month periods ended June 30, 2021 and 483,491 common shares and 474,093 common shares during the three-month and six-month periods ended June 30, 2020, respectively, were not included in the computations of diluted earnings per common share because the effect on those periods would have been antidilutive.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Defined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79"/>
              <w:spacing w:after="0" w:line="142" w:lineRule="exact"/>
              <w:rPr>
                <w:sz w:val="20"/>
                <w:szCs w:val="20"/>
                <w:color w:val="auto"/>
              </w:rPr>
            </w:pPr>
            <w:r>
              <w:rPr>
                <w:rFonts w:ascii="Arial" w:cs="Arial" w:eastAsia="Arial" w:hAnsi="Arial"/>
                <w:sz w:val="13"/>
                <w:szCs w:val="13"/>
                <w:b w:val="1"/>
                <w:bCs w:val="1"/>
                <w:color w:val="auto"/>
                <w:w w:val="96"/>
              </w:rPr>
              <w:t>Total</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3"/>
              </w:rPr>
              <w:t>Amount</w:t>
            </w:r>
          </w:p>
        </w:tc>
        <w:tc>
          <w:tcPr>
            <w:tcW w:w="3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3"/>
              </w:rPr>
              <w:t>Securities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8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2"/>
              </w:rPr>
              <w:t>Before Tax</w:t>
            </w:r>
          </w:p>
        </w:tc>
        <w:tc>
          <w:tcPr>
            <w:tcW w:w="3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rPr>
              <w:t>Net</w:t>
            </w:r>
          </w:p>
        </w:tc>
      </w:tr>
      <w:tr>
        <w:trPr>
          <w:trHeight w:val="168"/>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11"/>
        </w:trPr>
        <w:tc>
          <w:tcPr>
            <w:tcW w:w="4580" w:type="dxa"/>
            <w:vAlign w:val="bottom"/>
          </w:tcPr>
          <w:p>
            <w:pPr>
              <w:spacing w:after="0"/>
              <w:rPr>
                <w:sz w:val="20"/>
                <w:szCs w:val="20"/>
                <w:color w:val="auto"/>
              </w:rPr>
            </w:pPr>
            <w:r>
              <w:rPr>
                <w:rFonts w:ascii="Arial" w:cs="Arial" w:eastAsia="Arial" w:hAnsi="Arial"/>
                <w:sz w:val="14"/>
                <w:szCs w:val="14"/>
                <w:color w:val="auto"/>
              </w:rPr>
              <w:t>Balance — January 1, 2021</w:t>
            </w:r>
          </w:p>
        </w:tc>
        <w:tc>
          <w:tcPr>
            <w:tcW w:w="116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195,386</w:t>
            </w: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(650,087)</w:t>
            </w:r>
          </w:p>
        </w:tc>
        <w:tc>
          <w:tcPr>
            <w:tcW w:w="660" w:type="dxa"/>
            <w:vAlign w:val="bottom"/>
          </w:tcPr>
          <w:p>
            <w:pPr>
              <w:jc w:val="right"/>
              <w:spacing w:after="0"/>
              <w:rPr>
                <w:sz w:val="20"/>
                <w:szCs w:val="20"/>
                <w:color w:val="auto"/>
              </w:rPr>
            </w:pPr>
            <w:r>
              <w:rPr>
                <w:rFonts w:ascii="Arial" w:cs="Arial" w:eastAsia="Arial" w:hAnsi="Arial"/>
                <w:sz w:val="14"/>
                <w:szCs w:val="14"/>
                <w:color w:val="auto"/>
              </w:rPr>
              <w:t>369,558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(85,143)</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22,111</w:t>
            </w:r>
          </w:p>
        </w:tc>
        <w:tc>
          <w:tcPr>
            <w:tcW w:w="240" w:type="dxa"/>
            <w:vAlign w:val="bottom"/>
          </w:tcPr>
          <w:p>
            <w:pPr>
              <w:spacing w:after="0"/>
              <w:rPr>
                <w:sz w:val="24"/>
                <w:szCs w:val="24"/>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(63,032)</w:t>
            </w:r>
          </w:p>
        </w:tc>
      </w:tr>
      <w:tr>
        <w:trPr>
          <w:trHeight w:val="162"/>
        </w:trPr>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Unrealized holding losses, net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(43,732)</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(43,732)</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11,596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(32,136)</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(188)</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Unrealized losses on cash flow hedges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(5,969)</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(5,969)</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(4,404)</w:t>
            </w:r>
          </w:p>
        </w:tc>
      </w:tr>
      <w:tr>
        <w:trPr>
          <w:trHeight w:val="123"/>
        </w:trPr>
        <w:tc>
          <w:tcPr>
            <w:tcW w:w="458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10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67"/>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(43,732)</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(5,088)</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(48,820)</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12,973</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(35,847)</w:t>
            </w:r>
          </w:p>
        </w:tc>
      </w:tr>
      <w:tr>
        <w:trPr>
          <w:trHeight w:val="137"/>
        </w:trPr>
        <w:tc>
          <w:tcPr>
            <w:tcW w:w="458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1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58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held-to-maturity (“HTM”) securities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w:t>
            </w: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Gains realized in net income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(b)</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(3)</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(60)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(43)</w:t>
            </w:r>
          </w:p>
        </w:tc>
      </w:tr>
      <w:tr>
        <w:trPr>
          <w:trHeight w:val="143"/>
        </w:trPr>
        <w:tc>
          <w:tcPr>
            <w:tcW w:w="4580" w:type="dxa"/>
            <w:vAlign w:val="bottom"/>
          </w:tcPr>
          <w:p>
            <w:pPr>
              <w:ind w:left="26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80" w:type="dxa"/>
            <w:vAlign w:val="bottom"/>
          </w:tcPr>
          <w:p>
            <w:pPr>
              <w:ind w:left="360"/>
              <w:spacing w:after="0"/>
              <w:rPr>
                <w:sz w:val="20"/>
                <w:szCs w:val="20"/>
                <w:color w:val="auto"/>
              </w:rPr>
            </w:pPr>
            <w:r>
              <w:rPr>
                <w:rFonts w:ascii="Arial" w:cs="Arial" w:eastAsia="Arial" w:hAnsi="Arial"/>
                <w:sz w:val="14"/>
                <w:szCs w:val="14"/>
                <w:color w:val="auto"/>
              </w:rPr>
              <w:t>currently in effect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(148,655)</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(148,655)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tcPr>
          <w:p>
            <w:pPr>
              <w:jc w:val="right"/>
              <w:spacing w:after="0"/>
              <w:rPr>
                <w:sz w:val="20"/>
                <w:szCs w:val="20"/>
                <w:color w:val="auto"/>
              </w:rPr>
            </w:pPr>
            <w:r>
              <w:rPr>
                <w:rFonts w:ascii="Arial" w:cs="Arial" w:eastAsia="Arial" w:hAnsi="Arial"/>
                <w:sz w:val="14"/>
                <w:szCs w:val="14"/>
                <w:color w:val="auto"/>
              </w:rPr>
              <w:t>38,965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(109,690)</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(2,093)</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(2,093)</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(1,503)</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43,862</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43,862</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(12,363)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31,499</w:t>
            </w:r>
          </w:p>
        </w:tc>
        <w:tc>
          <w:tcPr>
            <w:tcW w:w="120" w:type="dxa"/>
            <w:vAlign w:val="bottom"/>
          </w:tcPr>
          <w:p>
            <w:pPr>
              <w:spacing w:after="0"/>
              <w:rPr>
                <w:sz w:val="14"/>
                <w:szCs w:val="14"/>
                <w:color w:val="auto"/>
              </w:rPr>
            </w:pPr>
          </w:p>
        </w:tc>
      </w:tr>
      <w:tr>
        <w:trPr>
          <w:trHeight w:val="155"/>
        </w:trPr>
        <w:tc>
          <w:tcPr>
            <w:tcW w:w="4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10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(41,504)</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41,769</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(153,803)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(153,538)</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39,596</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(113,942)</w:t>
            </w:r>
          </w:p>
        </w:tc>
        <w:tc>
          <w:tcPr>
            <w:tcW w:w="120" w:type="dxa"/>
            <w:vAlign w:val="bottom"/>
            <w:tcBorders>
              <w:top w:val="single" w:sz="8" w:color="CFF0FC"/>
            </w:tcBorders>
            <w:shd w:val="clear" w:color="auto" w:fill="CFF0FC"/>
          </w:tcPr>
          <w:p>
            <w:pPr>
              <w:spacing w:after="0"/>
              <w:rPr>
                <w:sz w:val="13"/>
                <w:szCs w:val="13"/>
                <w:color w:val="auto"/>
              </w:rPr>
            </w:pPr>
          </w:p>
        </w:tc>
      </w:tr>
      <w:tr>
        <w:trPr>
          <w:trHeight w:val="196"/>
        </w:trPr>
        <w:tc>
          <w:tcPr>
            <w:tcW w:w="45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 June 30, 2021</w:t>
            </w:r>
          </w:p>
        </w:tc>
        <w:tc>
          <w:tcPr>
            <w:tcW w:w="10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153,882</w:t>
            </w: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(608,318)</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215,755</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(238,681</w:t>
            </w:r>
          </w:p>
        </w:tc>
        <w:tc>
          <w:tcPr>
            <w:tcW w:w="100" w:type="dxa"/>
            <w:vAlign w:val="bottom"/>
            <w:tcBorders>
              <w:bottom w:val="single" w:sz="8" w:color="CFF0FC"/>
            </w:tcBorders>
          </w:tcPr>
          <w:p>
            <w:pPr>
              <w:jc w:val="right"/>
              <w:ind w:right="19"/>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61,707</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(176,974</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color w:val="auto"/>
                <w:w w:val="73"/>
              </w:rPr>
              <w:t>)</w:t>
            </w:r>
          </w:p>
        </w:tc>
      </w:tr>
      <w:tr>
        <w:trPr>
          <w:trHeight w:val="143"/>
        </w:trPr>
        <w:tc>
          <w:tcPr>
            <w:tcW w:w="45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2020</w:t>
            </w:r>
          </w:p>
        </w:tc>
        <w:tc>
          <w:tcPr>
            <w:tcW w:w="116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50,701</w:t>
            </w:r>
          </w:p>
        </w:tc>
        <w:tc>
          <w:tcPr>
            <w:tcW w:w="10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(464,548)</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(279,959)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73,279</w:t>
            </w:r>
          </w:p>
        </w:tc>
        <w:tc>
          <w:tcPr>
            <w:tcW w:w="24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(206,680)</w:t>
            </w: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holding gains, net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177,086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177,086</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(45,856)</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131,230</w:t>
            </w: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(3,624)</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(2,994)</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gains on cash flow hedges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511,195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511,195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(132,404)</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378,791</w:t>
            </w:r>
          </w:p>
        </w:tc>
        <w:tc>
          <w:tcPr>
            <w:tcW w:w="120" w:type="dxa"/>
            <w:vAlign w:val="bottom"/>
            <w:shd w:val="clear" w:color="auto" w:fill="CFF0FC"/>
          </w:tcPr>
          <w:p>
            <w:pPr>
              <w:spacing w:after="0"/>
              <w:rPr>
                <w:sz w:val="14"/>
                <w:szCs w:val="14"/>
                <w:color w:val="auto"/>
              </w:rPr>
            </w:pPr>
          </w:p>
        </w:tc>
      </w:tr>
      <w:tr>
        <w:trPr>
          <w:trHeight w:val="123"/>
        </w:trPr>
        <w:tc>
          <w:tcPr>
            <w:tcW w:w="4580" w:type="dxa"/>
            <w:vAlign w:val="bottom"/>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1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458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177,086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507,571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684,657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(177,630)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507,027</w:t>
            </w:r>
          </w:p>
        </w:tc>
        <w:tc>
          <w:tcPr>
            <w:tcW w:w="120" w:type="dxa"/>
            <w:vAlign w:val="bottom"/>
          </w:tcPr>
          <w:p>
            <w:pPr>
              <w:spacing w:after="0"/>
              <w:rPr>
                <w:sz w:val="14"/>
                <w:szCs w:val="14"/>
                <w:color w:val="auto"/>
              </w:rPr>
            </w:pPr>
          </w:p>
        </w:tc>
      </w:tr>
      <w:tr>
        <w:trPr>
          <w:trHeight w:val="137"/>
        </w:trPr>
        <w:tc>
          <w:tcPr>
            <w:tcW w:w="4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7"/>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458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8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(64)</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(46)</w:t>
            </w:r>
          </w:p>
        </w:tc>
      </w:tr>
      <w:tr>
        <w:trPr>
          <w:trHeight w:val="143"/>
        </w:trPr>
        <w:tc>
          <w:tcPr>
            <w:tcW w:w="4580" w:type="dxa"/>
            <w:vAlign w:val="bottom"/>
          </w:tcPr>
          <w:p>
            <w:pPr>
              <w:ind w:left="26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80" w:type="dxa"/>
            <w:vAlign w:val="bottom"/>
          </w:tcPr>
          <w:p>
            <w:pPr>
              <w:ind w:left="360"/>
              <w:spacing w:after="0"/>
              <w:rPr>
                <w:sz w:val="20"/>
                <w:szCs w:val="20"/>
                <w:color w:val="auto"/>
              </w:rPr>
            </w:pPr>
            <w:r>
              <w:rPr>
                <w:rFonts w:ascii="Arial" w:cs="Arial" w:eastAsia="Arial" w:hAnsi="Arial"/>
                <w:sz w:val="14"/>
                <w:szCs w:val="14"/>
                <w:color w:val="auto"/>
              </w:rPr>
              <w:t>currently in effect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(101,194)</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(101,194)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tcPr>
          <w:p>
            <w:pPr>
              <w:jc w:val="right"/>
              <w:spacing w:after="0"/>
              <w:rPr>
                <w:sz w:val="20"/>
                <w:szCs w:val="20"/>
                <w:color w:val="auto"/>
              </w:rPr>
            </w:pPr>
            <w:r>
              <w:rPr>
                <w:rFonts w:ascii="Arial" w:cs="Arial" w:eastAsia="Arial" w:hAnsi="Arial"/>
                <w:sz w:val="14"/>
                <w:szCs w:val="14"/>
                <w:color w:val="auto"/>
              </w:rPr>
              <w:t>26,210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(74,984)</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(2,090)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(2,090)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(1,440)</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28,430</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28,430</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(8,846)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19,584</w:t>
            </w:r>
          </w:p>
        </w:tc>
        <w:tc>
          <w:tcPr>
            <w:tcW w:w="120" w:type="dxa"/>
            <w:vAlign w:val="bottom"/>
          </w:tcPr>
          <w:p>
            <w:pPr>
              <w:spacing w:after="0"/>
              <w:rPr>
                <w:sz w:val="14"/>
                <w:szCs w:val="14"/>
                <w:color w:val="auto"/>
              </w:rPr>
            </w:pPr>
          </w:p>
        </w:tc>
      </w:tr>
      <w:tr>
        <w:trPr>
          <w:trHeight w:val="156"/>
        </w:trPr>
        <w:tc>
          <w:tcPr>
            <w:tcW w:w="4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10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178,705</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26,340</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406,313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611,358</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(160,048)</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451,310</w:t>
            </w: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4580" w:type="dxa"/>
            <w:vAlign w:val="bottom"/>
          </w:tcPr>
          <w:p>
            <w:pPr>
              <w:spacing w:after="0" w:line="155" w:lineRule="exact"/>
              <w:rPr>
                <w:sz w:val="20"/>
                <w:szCs w:val="20"/>
                <w:color w:val="auto"/>
              </w:rPr>
            </w:pPr>
            <w:r>
              <w:rPr>
                <w:rFonts w:ascii="Arial" w:cs="Arial" w:eastAsia="Arial" w:hAnsi="Arial"/>
                <w:sz w:val="14"/>
                <w:szCs w:val="14"/>
                <w:color w:val="auto"/>
              </w:rPr>
              <w:t>Balance — June 30, 2020</w:t>
            </w:r>
          </w:p>
        </w:tc>
        <w:tc>
          <w:tcPr>
            <w:tcW w:w="1040" w:type="dxa"/>
            <w:vAlign w:val="bottom"/>
          </w:tcPr>
          <w:p>
            <w:pPr>
              <w:spacing w:after="0"/>
              <w:rPr>
                <w:sz w:val="13"/>
                <w:szCs w:val="13"/>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229,406</w:t>
            </w: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(438,208)</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540,201</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331,399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(86,769)</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244,630</w:t>
            </w:r>
          </w:p>
        </w:tc>
        <w:tc>
          <w:tcPr>
            <w:tcW w:w="120" w:type="dxa"/>
            <w:vAlign w:val="bottom"/>
          </w:tcPr>
          <w:p>
            <w:pPr>
              <w:spacing w:after="0"/>
              <w:rPr>
                <w:sz w:val="13"/>
                <w:szCs w:val="13"/>
                <w:color w:val="auto"/>
              </w:rPr>
            </w:pPr>
          </w:p>
        </w:tc>
      </w:tr>
    </w:tbl>
    <w:p>
      <w:pPr>
        <w:spacing w:after="0" w:line="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00" w:hanging="492"/>
        <w:spacing w:after="0" w:line="221" w:lineRule="auto"/>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00" w:hanging="492"/>
        <w:spacing w:after="0" w:line="221" w:lineRule="auto"/>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-388620</wp:posOffset>
            </wp:positionV>
            <wp:extent cx="3497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Defined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Benefit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6"/>
              </w:rPr>
              <w:t>Plans</w:t>
            </w:r>
          </w:p>
        </w:tc>
        <w:tc>
          <w:tcPr>
            <w:tcW w:w="36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r>
      <w:tr>
        <w:trPr>
          <w:trHeight w:val="168"/>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2020</w:t>
            </w:r>
          </w:p>
        </w:tc>
        <w:tc>
          <w:tcPr>
            <w:tcW w:w="17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144,602</w:t>
            </w:r>
          </w:p>
        </w:tc>
        <w:tc>
          <w:tcPr>
            <w:tcW w:w="1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(481,064)</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273,430</w:t>
            </w:r>
          </w:p>
        </w:tc>
        <w:tc>
          <w:tcPr>
            <w:tcW w:w="2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(63,032)</w:t>
            </w: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(30,494)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29,996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(113,444)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(113,942)</w:t>
            </w:r>
          </w:p>
        </w:tc>
      </w:tr>
      <w:tr>
        <w:trPr>
          <w:trHeight w:val="156"/>
        </w:trPr>
        <w:tc>
          <w:tcPr>
            <w:tcW w:w="33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2021</w:t>
            </w:r>
          </w:p>
        </w:tc>
        <w:tc>
          <w:tcPr>
            <w:tcW w:w="15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114,108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(451,068)</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159,986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(176,974)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2021.</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net effect of interest rate swap agreements was to increase net interest income by $75 million and $166 million during three-month and the six-month periods ended June 30, 2021, respectively, and by $81 million and $117 million during the three-month and six-month periods ended June 30, 2020, respectively.</w:t>
      </w:r>
    </w:p>
    <w:p>
      <w:pPr>
        <w:spacing w:after="0" w:line="7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Notional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Average 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Gain (Loss) (a)</w:t>
            </w:r>
          </w:p>
        </w:tc>
      </w:tr>
      <w:tr>
        <w:trPr>
          <w:trHeight w:val="237"/>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0"/>
                <w:szCs w:val="20"/>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0.73%</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20"/>
                <w:szCs w:val="20"/>
                <w:color w:val="auto"/>
              </w:rPr>
            </w:pPr>
          </w:p>
        </w:tc>
      </w:tr>
      <w:tr>
        <w:trPr>
          <w:trHeight w:val="263"/>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33,850,000</w:t>
            </w:r>
          </w:p>
        </w:tc>
        <w:tc>
          <w:tcPr>
            <w:tcW w:w="3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0.79%</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20"/>
                <w:szCs w:val="20"/>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51,050,000</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right="80" w:hanging="512"/>
        <w:spacing w:after="0" w:line="244" w:lineRule="auto"/>
        <w:tabs>
          <w:tab w:leader="none" w:pos="5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Certain clearinghouse exchanges consider payments by counterparties for variation margin on derivative instruments to be settlements of those positions. The impact of such treatment at June 30, 2021 and December 31, 2020 was a reduction of the estimated fair value gains on interest rate swap agreements designated as fair value hedges of $68.9 million and $101.5 million, respectively, and on interest rate swap agreements designated as cash flow hedges of $217.8 million and $372.2 million, respectively.</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$14.9 billion of forward-starting interest rate swap agreements that become effective in 2021 - 2022.</w:t>
      </w:r>
    </w:p>
    <w:p>
      <w:pPr>
        <w:spacing w:after="0" w:line="9" w:lineRule="exact"/>
        <w:rPr>
          <w:rFonts w:ascii="Arial" w:cs="Arial" w:eastAsia="Arial" w:hAnsi="Arial"/>
          <w:sz w:val="14"/>
          <w:szCs w:val="14"/>
          <w:i w:val="1"/>
          <w:iCs w:val="1"/>
          <w:color w:val="auto"/>
        </w:rPr>
      </w:pPr>
    </w:p>
    <w:p>
      <w:pPr>
        <w:ind w:left="520" w:hanging="512"/>
        <w:spacing w:after="0" w:line="189" w:lineRule="auto"/>
        <w:tabs>
          <w:tab w:leader="none" w:pos="520" w:val="left"/>
        </w:tabs>
        <w:numPr>
          <w:ilvl w:val="0"/>
          <w:numId w:val="7"/>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Includes notional amount and terms of $32.1 billion of forward-starting interest rate swap agreements that become effective in 2021 - 2022</w:t>
      </w:r>
      <w:r>
        <w:rPr>
          <w:rFonts w:ascii="Arial" w:cs="Arial" w:eastAsia="Arial" w:hAnsi="Arial"/>
          <w:sz w:val="13"/>
          <w:szCs w:val="13"/>
          <w:i w:val="1"/>
          <w:iCs w:val="1"/>
          <w:color w:val="auto"/>
        </w:rPr>
        <w:t>.</w:t>
      </w:r>
    </w:p>
    <w:p>
      <w:pPr>
        <w:spacing w:after="0" w:line="208" w:lineRule="exact"/>
        <w:rPr>
          <w:rFonts w:ascii="Arial" w:cs="Arial" w:eastAsia="Arial" w:hAnsi="Arial"/>
          <w:sz w:val="20"/>
          <w:szCs w:val="20"/>
          <w:i w:val="1"/>
          <w:iCs w:val="1"/>
          <w:color w:val="auto"/>
          <w:vertAlign w:val="superscript"/>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$35.3 billion and $37.8 billion at June 30, 2021 and December 31, 2020, respectively. The notional amounts of foreign currency and other option and futures contracts entered into for trading account purposes aggregated $938 million and $776 million at June 30, 2021 and December 31, 2020, respectively.</w:t>
      </w:r>
    </w:p>
    <w:p>
      <w:pPr>
        <w:spacing w:after="0" w:line="68"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Liability Derivatives</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573"/>
              <w:spacing w:after="0" w:line="147"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left="396"/>
              <w:spacing w:after="0" w:line="147" w:lineRule="exact"/>
              <w:rPr>
                <w:sz w:val="20"/>
                <w:szCs w:val="20"/>
                <w:color w:val="auto"/>
              </w:rPr>
            </w:pPr>
            <w:r>
              <w:rPr>
                <w:rFonts w:ascii="Arial" w:cs="Arial" w:eastAsia="Arial" w:hAnsi="Arial"/>
                <w:sz w:val="14"/>
                <w:szCs w:val="14"/>
                <w:b w:val="1"/>
                <w:bCs w:val="1"/>
                <w:color w:val="auto"/>
                <w:w w:val="98"/>
              </w:rPr>
              <w:t>Fair Value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39,262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43,599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 sale (a)</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1,008,913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89,542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105,768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707,798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1,064,529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131,135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7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710,896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1,067,985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115,030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140,485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00" w:hanging="492"/>
        <w:spacing w:after="0" w:line="234" w:lineRule="auto"/>
        <w:tabs>
          <w:tab w:leader="none" w:pos="50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June 30, 2021 and December 31, 2020 was a reduction of the estimated fair value of interest rate contracts in the trading account in an asset position of $32.6 million and $5.6 million, respectively, and in a liability position of $503.1 million and $806.5 million, respectively.</w:t>
      </w:r>
    </w:p>
    <w:p>
      <w:pPr>
        <w:spacing w:after="0" w:line="184" w:lineRule="exact"/>
        <w:rPr>
          <w:rFonts w:ascii="Arial" w:cs="Arial" w:eastAsia="Arial" w:hAnsi="Arial"/>
          <w:sz w:val="15"/>
          <w:szCs w:val="15"/>
          <w:i w:val="1"/>
          <w:iCs w:val="1"/>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95" w:lineRule="exact"/>
        <w:rPr>
          <w:sz w:val="20"/>
          <w:szCs w:val="20"/>
          <w:color w:val="auto"/>
        </w:rPr>
      </w:pPr>
    </w:p>
    <w:p>
      <w:pPr>
        <w:ind w:left="500" w:hanging="452"/>
        <w:spacing w:after="0"/>
        <w:tabs>
          <w:tab w:leader="none" w:pos="50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adjustment to interest expense.</w:t>
      </w:r>
    </w:p>
    <w:p>
      <w:pPr>
        <w:spacing w:after="0" w:line="22" w:lineRule="exact"/>
        <w:rPr>
          <w:rFonts w:ascii="Arial" w:cs="Arial" w:eastAsia="Arial" w:hAnsi="Arial"/>
          <w:sz w:val="16"/>
          <w:szCs w:val="16"/>
          <w:i w:val="1"/>
          <w:iCs w:val="1"/>
          <w:color w:val="auto"/>
        </w:rPr>
      </w:pPr>
    </w:p>
    <w:p>
      <w:pPr>
        <w:ind w:left="520" w:hanging="458"/>
        <w:spacing w:after="0" w:line="234" w:lineRule="auto"/>
        <w:tabs>
          <w:tab w:leader="none" w:pos="520" w:val="left"/>
        </w:tabs>
        <w:numPr>
          <w:ilvl w:val="1"/>
          <w:numId w:val="9"/>
        </w:numPr>
        <w:rPr>
          <w:rFonts w:ascii="Arial" w:cs="Arial" w:eastAsia="Arial" w:hAnsi="Arial"/>
          <w:sz w:val="18"/>
          <w:szCs w:val="18"/>
          <w:color w:val="auto"/>
        </w:rPr>
      </w:pPr>
      <w:r>
        <w:rPr>
          <w:rFonts w:ascii="Arial" w:cs="Arial" w:eastAsia="Arial" w:hAnsi="Arial"/>
          <w:sz w:val="16"/>
          <w:szCs w:val="16"/>
          <w:i w:val="1"/>
          <w:iCs w:val="1"/>
          <w:color w:val="auto"/>
        </w:rPr>
        <w:t>Reported as trading account and foreign exchange gains.</w:t>
      </w:r>
    </w:p>
    <w:p>
      <w:pPr>
        <w:spacing w:after="0" w:line="2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Amount of Gain (Loss) Recognized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gridSpan w:val="5"/>
          </w:tcPr>
          <w:p>
            <w:pPr>
              <w:spacing w:after="0" w:line="133" w:lineRule="exact"/>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5"/>
          </w:tcPr>
          <w:p>
            <w:pPr>
              <w:jc w:val="center"/>
              <w:spacing w:after="0" w:line="133" w:lineRule="exact"/>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1"/>
                <w:szCs w:val="1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25"/>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4"/>
                <w:szCs w:val="14"/>
                <w:b w:val="1"/>
                <w:bCs w:val="1"/>
                <w:color w:val="auto"/>
                <w:w w:val="89"/>
              </w:rPr>
              <w:t>2020</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8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Derivative</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Hedged Item</w:t>
            </w:r>
          </w:p>
        </w:tc>
        <w:tc>
          <w:tcPr>
            <w:tcW w:w="60" w:type="dxa"/>
            <w:vAlign w:val="bottom"/>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4"/>
          </w:tcPr>
          <w:p>
            <w:pPr>
              <w:jc w:val="center"/>
              <w:ind w:left="565"/>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6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280" w:type="dxa"/>
            <w:vAlign w:val="bottom"/>
            <w:gridSpan w:val="2"/>
          </w:tcPr>
          <w:p>
            <w:pPr>
              <w:jc w:val="right"/>
              <w:ind w:right="13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(2,744)</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ind w:right="13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1"/>
              </w:rPr>
              <w:t>Amount of Gain (Loss) Recognized</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42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Six Months Ended June 30, 2021</w:t>
            </w:r>
          </w:p>
        </w:tc>
        <w:tc>
          <w:tcPr>
            <w:tcW w:w="20" w:type="dxa"/>
            <w:vAlign w:val="bottom"/>
          </w:tcPr>
          <w:p>
            <w:pPr>
              <w:spacing w:after="0"/>
              <w:rPr>
                <w:sz w:val="13"/>
                <w:szCs w:val="13"/>
                <w:color w:val="auto"/>
              </w:rPr>
            </w:pPr>
          </w:p>
        </w:tc>
        <w:tc>
          <w:tcPr>
            <w:tcW w:w="208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Six Months Ended June 30, 2020</w:t>
            </w:r>
          </w:p>
        </w:tc>
        <w:tc>
          <w:tcPr>
            <w:tcW w:w="60" w:type="dxa"/>
            <w:vAlign w:val="bottom"/>
          </w:tcPr>
          <w:p>
            <w:pPr>
              <w:spacing w:after="0"/>
              <w:rPr>
                <w:sz w:val="13"/>
                <w:szCs w:val="13"/>
                <w:color w:val="auto"/>
              </w:rPr>
            </w:pPr>
          </w:p>
        </w:tc>
      </w:tr>
      <w:tr>
        <w:trPr>
          <w:trHeight w:val="156"/>
        </w:trPr>
        <w:tc>
          <w:tcPr>
            <w:tcW w:w="8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Derivative</w:t>
            </w:r>
          </w:p>
        </w:tc>
        <w:tc>
          <w:tcPr>
            <w:tcW w:w="3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Hedged Item</w:t>
            </w:r>
          </w:p>
        </w:tc>
        <w:tc>
          <w:tcPr>
            <w:tcW w:w="60" w:type="dxa"/>
            <w:vAlign w:val="bottom"/>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4"/>
          </w:tcPr>
          <w:p>
            <w:pPr>
              <w:jc w:val="center"/>
              <w:ind w:left="565"/>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6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(32,504)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31,820</w:t>
            </w:r>
          </w:p>
        </w:tc>
        <w:tc>
          <w:tcPr>
            <w:tcW w:w="360" w:type="dxa"/>
            <w:vAlign w:val="bottom"/>
          </w:tcPr>
          <w:p>
            <w:pPr>
              <w:spacing w:after="0"/>
              <w:rPr>
                <w:sz w:val="24"/>
                <w:szCs w:val="24"/>
                <w:color w:val="auto"/>
              </w:rPr>
            </w:pPr>
          </w:p>
        </w:tc>
        <w:tc>
          <w:tcPr>
            <w:tcW w:w="280" w:type="dxa"/>
            <w:vAlign w:val="bottom"/>
            <w:gridSpan w:val="2"/>
          </w:tcPr>
          <w:p>
            <w:pPr>
              <w:jc w:val="right"/>
              <w:ind w:right="13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88,827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(88,429)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(5,978)</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ind w:right="13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13,764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18,833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5900" w:space="720"/>
            <w:col w:w="458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5"/>
              </w:rPr>
              <w:t>Hedged Item</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tcPr>
          <w:p>
            <w:pPr>
              <w:ind w:left="2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1"/>
                <w:szCs w:val="11"/>
                <w:color w:val="auto"/>
              </w:rPr>
            </w:pPr>
          </w:p>
        </w:tc>
        <w:tc>
          <w:tcPr>
            <w:tcW w:w="102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w w:val="96"/>
              </w:rPr>
              <w:t>June 30, 2021</w:t>
            </w:r>
          </w:p>
        </w:tc>
        <w:tc>
          <w:tcPr>
            <w:tcW w:w="1360" w:type="dxa"/>
            <w:vAlign w:val="bottom"/>
            <w:gridSpan w:val="2"/>
          </w:tcPr>
          <w:p>
            <w:pPr>
              <w:jc w:val="center"/>
              <w:ind w:left="28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  1,718,333</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1,750,048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69,350</w:t>
            </w: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amount of interest income recognized in the consolidated statement of income associated with derivatives designated as cash flow hedges was $67 million and $69 million for the three months ended June 30, 2021 and 2020, respectively, and $149 million and $101 million for the six months ended June 30, 2021 and 2020, respectively. As of June 30, 2021 the unrealized gain recognized in other comprehensive income related to cash flow hedges was $218 million, of which $27 million, $150 million and $41 million related to interest rate swap agreements maturing in 2021, 2022, and 2023, respectively.</w:t>
      </w:r>
    </w:p>
    <w:p>
      <w:pPr>
        <w:spacing w:after="0" w:line="53"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$55 million and $64 million at June 30, 2021 and December 31, 2020, respectively. Changes in unrealized gains and losses are included in mortgage banking revenues and, in general, are realized in subsequent periods as the related loans are sold and commitments satisfied.</w:t>
      </w:r>
    </w:p>
    <w:p>
      <w:pPr>
        <w:spacing w:after="0" w:line="4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49"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9"/>
          <w:szCs w:val="19"/>
          <w:color w:val="auto"/>
        </w:rPr>
        <w:t>The aggregate fair value of derivative financial instruments in a liability position and the net liability positions with counterparties which are subject to master netting arrangements was $72 million and $114 million at June 30, 2021 and December 31, 2020, respectively. The Company was required to post collateral relating to those positions of $68 million and $103 million at June 30, 2021 and December 31, 2020,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2021 was not material.</w:t>
      </w:r>
    </w:p>
    <w:p>
      <w:pPr>
        <w:spacing w:after="0" w:line="5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aggregate fair value of derivative financial instruments in an asset position and the net asset positions with counterparties which are subject to enforceable master netting arrangements was $3 million at each of June 30, 2021 and December 31, 2020. Counterparties posted collateral relating to those positions of $3 million at each of those dates. Trading account interest rate swap agreements entered into with customers are subject to the Company’s credit risk standards and often contain collateral provisions.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$154 million and $135 million at June 30, 2021 and December 31, 2020,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2021 and December 31, 2020,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$2.5 billion at June 30, 2021 and $2.3 billion at December 31, 2020.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$868 million, including $350 million of unfunded commitments, at June 30, 2021 and $861 million, including $406 million of unfunded commitments, at December 31, 2020. Contingent commitments to provide additional capital contributions to these partnerships were not material at June 30, 2021. The Company has not provided financial or other support to the partnerships that was not contractually required. The Company’s maximum exposure to loss from its investments in such partnerships as of June 30, 2021 was $1.2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$19 million and $38 million of its investments in qualified affordable housing projects to income tax expense during the three-month and six-month periods ended June 30, 2021, respectively, and recognized $22 million and $43 million of tax credits and other tax benefits during those periods. Similarly, for the three-month and six-month periods ended June 30, 2020, the Company amortized $22 million and $43 million of its investments in qualified affordable housing projects to income tax expense, respectively, and recognized $26 million and $52 million of tax credits and other tax benefits during those respective periods.</w:t>
      </w:r>
    </w:p>
    <w:p>
      <w:pPr>
        <w:spacing w:after="0" w:line="29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June 30, 2021.</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6"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following tables present assets and liabilities at June 30, 2021 and December 31, 2020 measured at estimated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Measurements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712,558</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49,544</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663,014</w:t>
            </w:r>
          </w:p>
        </w:tc>
        <w:tc>
          <w:tcPr>
            <w:tcW w:w="3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3,820,490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3,820,490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3,959,783</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3,959,783</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71,917</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884,355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884,355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47,882</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5,683,249</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121,461</w:t>
            </w:r>
          </w:p>
        </w:tc>
        <w:tc>
          <w:tcPr>
            <w:tcW w:w="3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5,522,526</w:t>
            </w:r>
          </w:p>
        </w:tc>
        <w:tc>
          <w:tcPr>
            <w:tcW w:w="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101,271</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101,271</w:t>
            </w: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115,030</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111,434</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1,068,581</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50,060</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1,018,521</w:t>
            </w:r>
          </w:p>
        </w:tc>
        <w:tc>
          <w:tcPr>
            <w:tcW w:w="3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4,683,438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4,683,438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129,814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4,822,606</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4,822,590</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92,985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29,856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1,054,676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1,054,676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49,464</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7,088,312</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113,189</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6,931,508</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116,902</w:t>
            </w:r>
          </w:p>
        </w:tc>
        <w:tc>
          <w:tcPr>
            <w:tcW w:w="36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23,583</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140,485</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140,120</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20" w:hanging="447"/>
        <w:spacing w:after="0" w:line="277" w:lineRule="auto"/>
        <w:tabs>
          <w:tab w:leader="none" w:pos="5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3"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June 30, 2021 and 2020 were as follows:</w:t>
      </w:r>
    </w:p>
    <w:p>
      <w:pPr>
        <w:jc w:val="center"/>
        <w:ind w:left="68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68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68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Borders>
              <w:top w:val="single" w:sz="8" w:color="auto"/>
            </w:tcBorders>
          </w:tcPr>
          <w:p>
            <w:pPr>
              <w:jc w:val="center"/>
              <w:ind w:left="168"/>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2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7"/>
              </w:rPr>
              <w:t>Mortgage-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2021</w:t>
            </w:r>
          </w:p>
        </w:tc>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Backed Securities</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Other Liabilities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360" w:type="dxa"/>
            <w:vAlign w:val="bottom"/>
            <w:gridSpan w:val="2"/>
          </w:tcPr>
          <w:p>
            <w:pPr>
              <w:spacing w:after="0"/>
              <w:rPr>
                <w:sz w:val="20"/>
                <w:szCs w:val="20"/>
                <w:color w:val="auto"/>
              </w:rPr>
            </w:pPr>
            <w:r>
              <w:rPr>
                <w:rFonts w:ascii="Arial" w:cs="Arial" w:eastAsia="Arial" w:hAnsi="Arial"/>
                <w:sz w:val="18"/>
                <w:szCs w:val="18"/>
                <w:color w:val="auto"/>
              </w:rPr>
              <w:t>Balance — March 31, 2021</w:t>
            </w:r>
          </w:p>
        </w:tc>
        <w:tc>
          <w:tcPr>
            <w:tcW w:w="216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13,757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52,312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(16)</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1020"/>
              <w:spacing w:after="0"/>
              <w:rPr>
                <w:sz w:val="20"/>
                <w:szCs w:val="20"/>
                <w:color w:val="auto"/>
              </w:rPr>
            </w:pPr>
            <w:r>
              <w:rPr>
                <w:rFonts w:ascii="Arial" w:cs="Arial" w:eastAsia="Arial" w:hAnsi="Arial"/>
                <w:sz w:val="18"/>
                <w:szCs w:val="18"/>
                <w:color w:val="auto"/>
                <w:w w:val="97"/>
              </w:rPr>
              <w:t>(30,403) (b)</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2021</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ind w:right="118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2021</w:t>
            </w:r>
          </w:p>
        </w:tc>
        <w:tc>
          <w:tcPr>
            <w:tcW w:w="216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37,300</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60" w:type="dxa"/>
            <w:vAlign w:val="bottom"/>
            <w:tcBorders>
              <w:bottom w:val="single" w:sz="8" w:color="auto"/>
            </w:tcBorders>
            <w:vMerge w:val="continue"/>
          </w:tcPr>
          <w:p>
            <w:pPr>
              <w:spacing w:after="0"/>
              <w:rPr>
                <w:sz w:val="24"/>
                <w:szCs w:val="24"/>
                <w:color w:val="auto"/>
              </w:rPr>
            </w:pP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360" w:type="dxa"/>
            <w:vAlign w:val="bottom"/>
            <w:gridSpan w:val="2"/>
          </w:tcPr>
          <w:p>
            <w:pPr>
              <w:spacing w:after="0"/>
              <w:rPr>
                <w:sz w:val="20"/>
                <w:szCs w:val="20"/>
                <w:color w:val="auto"/>
              </w:rPr>
            </w:pPr>
            <w:r>
              <w:rPr>
                <w:rFonts w:ascii="Arial" w:cs="Arial" w:eastAsia="Arial" w:hAnsi="Arial"/>
                <w:sz w:val="18"/>
                <w:szCs w:val="18"/>
                <w:color w:val="auto"/>
              </w:rPr>
              <w:t>Balance — March 31, 2020</w:t>
            </w:r>
          </w:p>
        </w:tc>
        <w:tc>
          <w:tcPr>
            <w:tcW w:w="216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35,027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48,732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w w:val="97"/>
              </w:rPr>
              <w:t>(43,653) (b)</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June 30, 2020</w:t>
            </w:r>
          </w:p>
        </w:tc>
        <w:tc>
          <w:tcPr>
            <w:tcW w:w="82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8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40,106</w:t>
            </w:r>
          </w:p>
        </w:tc>
        <w:tc>
          <w:tcPr>
            <w:tcW w:w="3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6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8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June 30, 2020</w:t>
            </w:r>
          </w:p>
        </w:tc>
        <w:tc>
          <w:tcPr>
            <w:tcW w:w="2160" w:type="dxa"/>
            <w:vAlign w:val="bottom"/>
            <w:gridSpan w:val="2"/>
            <w:shd w:val="clear" w:color="auto" w:fill="CFF0FC"/>
          </w:tcPr>
          <w:p>
            <w:pPr>
              <w:jc w:val="right"/>
              <w:ind w:right="118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33,725</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June 30, 2021 and 2020 were as follows:</w:t>
      </w:r>
    </w:p>
    <w:p>
      <w:pPr>
        <w:jc w:val="center"/>
        <w:ind w:left="84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84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84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520" w:type="dxa"/>
            <w:vAlign w:val="bottom"/>
            <w:gridSpan w:val="2"/>
          </w:tcPr>
          <w:p>
            <w:pPr>
              <w:spacing w:after="0"/>
              <w:rPr>
                <w:sz w:val="11"/>
                <w:szCs w:val="11"/>
                <w:color w:val="auto"/>
              </w:rPr>
            </w:pPr>
          </w:p>
        </w:tc>
        <w:tc>
          <w:tcPr>
            <w:tcW w:w="12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9"/>
              </w:rPr>
              <w:t>Other Assets and</w:t>
            </w:r>
          </w:p>
        </w:tc>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Mortgage-</w:t>
            </w: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2021</w:t>
            </w:r>
          </w:p>
        </w:tc>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1"/>
              </w:rPr>
              <w:t>Backed Securities</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Other Liabilities</w:t>
            </w:r>
          </w:p>
        </w:tc>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ind w:left="110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43,234</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19"/>
                <w:szCs w:val="19"/>
                <w:color w:val="auto"/>
              </w:rPr>
            </w:pPr>
          </w:p>
        </w:tc>
        <w:tc>
          <w:tcPr>
            <w:tcW w:w="20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58,337</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40" w:type="dxa"/>
            <w:vAlign w:val="bottom"/>
          </w:tcPr>
          <w:p>
            <w:pPr>
              <w:spacing w:after="0"/>
              <w:rPr>
                <w:sz w:val="19"/>
                <w:szCs w:val="19"/>
                <w:color w:val="auto"/>
              </w:rPr>
            </w:pPr>
          </w:p>
        </w:tc>
        <w:tc>
          <w:tcPr>
            <w:tcW w:w="20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w w:val="97"/>
              </w:rPr>
              <w:t>(65,905)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2021</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35,492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957"/>
              <w:spacing w:after="0"/>
              <w:rPr>
                <w:sz w:val="20"/>
                <w:szCs w:val="20"/>
                <w:color w:val="auto"/>
              </w:rPr>
            </w:pPr>
            <w:r>
              <w:rPr>
                <w:rFonts w:ascii="Arial" w:cs="Arial" w:eastAsia="Arial" w:hAnsi="Arial"/>
                <w:sz w:val="18"/>
                <w:szCs w:val="18"/>
                <w:color w:val="auto"/>
                <w:w w:val="99"/>
              </w:rPr>
              <w:t>- 40 -</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NOTES TO FINANCIAL STATEMENTS, CONTINUED</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2020</w:t>
            </w:r>
          </w:p>
        </w:tc>
        <w:tc>
          <w:tcPr>
            <w:tcW w:w="4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2020</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7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92,813</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7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800"/>
              <w:spacing w:after="0"/>
              <w:rPr>
                <w:sz w:val="20"/>
                <w:szCs w:val="20"/>
                <w:color w:val="auto"/>
              </w:rPr>
            </w:pPr>
            <w:r>
              <w:rPr>
                <w:rFonts w:ascii="Arial" w:cs="Arial" w:eastAsia="Arial" w:hAnsi="Arial"/>
                <w:sz w:val="18"/>
                <w:szCs w:val="18"/>
                <w:color w:val="auto"/>
                <w:w w:val="97"/>
              </w:rPr>
              <w:t>(63,447)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2020</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2020</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38,514</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line="258" w:lineRule="auto"/>
        <w:tabs>
          <w:tab w:leader="none" w:pos="5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spacing w:after="0" w:line="1" w:lineRule="exact"/>
        <w:rPr>
          <w:rFonts w:ascii="Arial" w:cs="Arial" w:eastAsia="Arial" w:hAnsi="Arial"/>
          <w:sz w:val="18"/>
          <w:szCs w:val="18"/>
          <w:i w:val="1"/>
          <w:iCs w:val="1"/>
          <w:color w:val="auto"/>
        </w:rPr>
      </w:pPr>
    </w:p>
    <w:p>
      <w:pPr>
        <w:ind w:left="500" w:hanging="492"/>
        <w:spacing w:after="0"/>
        <w:tabs>
          <w:tab w:leader="none" w:pos="5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04" w:lineRule="exact"/>
        <w:rPr>
          <w:sz w:val="20"/>
          <w:szCs w:val="20"/>
          <w:color w:val="auto"/>
        </w:rPr>
      </w:pPr>
    </w:p>
    <w:p>
      <w:pPr>
        <w:jc w:val="both"/>
        <w:ind w:firstLine="513"/>
        <w:spacing w:after="0" w:line="289"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44% at June 30, 2021. As these discounts are not readily observable and are considered significant, the valuations have been classified as Level</w:t>
      </w:r>
    </w:p>
    <w:p>
      <w:pPr>
        <w:spacing w:after="0" w:line="4" w:lineRule="exact"/>
        <w:rPr>
          <w:sz w:val="20"/>
          <w:szCs w:val="20"/>
          <w:color w:val="auto"/>
        </w:rPr>
      </w:pPr>
    </w:p>
    <w:p>
      <w:pPr>
        <w:jc w:val="both"/>
        <w:ind w:firstLine="8"/>
        <w:spacing w:after="0" w:line="269" w:lineRule="auto"/>
        <w:tabs>
          <w:tab w:leader="none" w:pos="274" w:val="left"/>
        </w:tabs>
        <w:numPr>
          <w:ilvl w:val="0"/>
          <w:numId w:val="13"/>
        </w:numPr>
        <w:rPr>
          <w:rFonts w:ascii="Arial" w:cs="Arial" w:eastAsia="Arial" w:hAnsi="Arial"/>
          <w:sz w:val="19"/>
          <w:szCs w:val="19"/>
          <w:color w:val="auto"/>
        </w:rPr>
      </w:pPr>
      <w:r>
        <w:rPr>
          <w:rFonts w:ascii="Arial" w:cs="Arial" w:eastAsia="Arial" w:hAnsi="Arial"/>
          <w:sz w:val="19"/>
          <w:szCs w:val="19"/>
          <w:color w:val="auto"/>
        </w:rPr>
        <w:t>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June 30, 2021 was 41%. As these recovery rates are not readily observable by market participants, such valuation adjustments have been classified as Level 3. Loans subject to nonrecurring fair value measurement were $629 million at June 30, 2021 ($386 million and $243 million of which were classified as Level 2 and Level 3, respectively), $652 million at December 31, 2020 ($339 million and $313 million of which were classified as Level 2 and Level 3, respectively) and $248 million at June 30, 2020 ($145 million and $103 million of which were classified as Level 2 and Level 3, respectively). Changes in fair value recognized for partial charge-offs of loans and loan impairment reserves on loans held by the Company on June 30, 2021 were decreases of $46 million and $104 million for the three-month and six-month periods ended June 30, 2021, respectively. Changes in fair value recognized for partial charge-offs of loans and loan impairment reserves on loans held by the Company on June 30, 2020 were decreases of $50 million for the three-month and six-month periods ended June 30, 2020.</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6" w:lineRule="exact"/>
        <w:rPr>
          <w:sz w:val="20"/>
          <w:szCs w:val="20"/>
          <w:color w:val="auto"/>
        </w:rPr>
      </w:pPr>
    </w:p>
    <w:p>
      <w:pPr>
        <w:ind w:right="7360" w:firstLine="8"/>
        <w:spacing w:after="0" w:line="434" w:lineRule="auto"/>
        <w:tabs>
          <w:tab w:leader="none" w:pos="31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continued </w:t>
      </w:r>
      <w:r>
        <w:rPr>
          <w:rFonts w:ascii="Arial" w:cs="Arial" w:eastAsia="Arial" w:hAnsi="Arial"/>
          <w:sz w:val="17"/>
          <w:szCs w:val="17"/>
          <w:b w:val="1"/>
          <w:bCs w:val="1"/>
          <w:i w:val="1"/>
          <w:iCs w:val="1"/>
          <w:color w:val="auto"/>
        </w:rPr>
        <w:t>Assets taken in foreclosure of defaulted loans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accordingly, the related nonrecurring fair value measurement adjustments have generally been classified as Level</w:t>
      </w:r>
    </w:p>
    <w:p>
      <w:pPr>
        <w:spacing w:after="0" w:line="3" w:lineRule="exact"/>
        <w:rPr>
          <w:sz w:val="20"/>
          <w:szCs w:val="20"/>
          <w:color w:val="auto"/>
        </w:rPr>
      </w:pPr>
    </w:p>
    <w:p>
      <w:pPr>
        <w:jc w:val="both"/>
        <w:ind w:firstLine="8"/>
        <w:spacing w:after="0" w:line="243" w:lineRule="auto"/>
        <w:tabs>
          <w:tab w:leader="none" w:pos="268" w:val="left"/>
        </w:tabs>
        <w:numPr>
          <w:ilvl w:val="0"/>
          <w:numId w:val="15"/>
        </w:numPr>
        <w:rPr>
          <w:rFonts w:ascii="Arial" w:cs="Arial" w:eastAsia="Arial" w:hAnsi="Arial"/>
          <w:sz w:val="21"/>
          <w:szCs w:val="21"/>
          <w:color w:val="auto"/>
        </w:rPr>
      </w:pPr>
      <w:r>
        <w:rPr>
          <w:rFonts w:ascii="Arial" w:cs="Arial" w:eastAsia="Arial" w:hAnsi="Arial"/>
          <w:sz w:val="21"/>
          <w:szCs w:val="21"/>
          <w:color w:val="auto"/>
        </w:rPr>
        <w:t>Assets taken in foreclosure of defaulted loans subject to nonrecurring fair value measurement were $10 million and $31 million at June 30, 2021 and 2020, respectively. Changes in fair value recognized for those foreclosed assets held by the Company were not material during the three-month and six-month periods ended June 30, 2021 and 2020.</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Capitalized servicing rights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$152 million and $159 million at June 30, 2021 and December 31, 2020, respectively, required a valuation allowance of $29 million and $30 million, respectively. Significant unobservable inputs used in this Level 3 valuation included weighted-average prepayment speeds of 15.61% and 16.01% at June 30, 2021 and December 31, 2020, respectively, and a weighted-average option-adjusted spread of 900 basis points at each date. Changes in fair value recognized for impairment of capitalized servicing rights were an increase to the valuation allowance of $8 million during the three months ended June 30, 2021 and a decrease in the valuation allowance of $1 million during the six months ended June 30, 2021. Changes in fair value recognized for impairment of capitalized servicing rights were increases in the valuation allowance of $10 million and $20 million during the three months and six months ended June 30, 2020,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Valuation</w:t>
            </w:r>
          </w:p>
        </w:tc>
        <w:tc>
          <w:tcPr>
            <w:tcW w:w="300" w:type="dxa"/>
            <w:vAlign w:val="bottom"/>
          </w:tcPr>
          <w:p>
            <w:pPr>
              <w:spacing w:after="0"/>
              <w:rPr>
                <w:sz w:val="14"/>
                <w:szCs w:val="14"/>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Unobservable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Technique</w:t>
            </w: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Inputs/Assumptions</w:t>
            </w:r>
          </w:p>
        </w:tc>
        <w:tc>
          <w:tcPr>
            <w:tcW w:w="4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thousands)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2021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 - 91% (16%)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43,234</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0% - 98% (16%)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191" w:lineRule="exact"/>
        <w:rPr>
          <w:sz w:val="20"/>
          <w:szCs w:val="20"/>
          <w:color w:val="auto"/>
        </w:rPr>
      </w:pPr>
    </w:p>
    <w:p>
      <w:pPr>
        <w:jc w:val="both"/>
        <w:ind w:left="40"/>
        <w:spacing w:after="0" w:line="235"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040" w:firstLine="8"/>
        <w:spacing w:after="0" w:line="410" w:lineRule="auto"/>
        <w:tabs>
          <w:tab w:leader="none" w:pos="31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1,410,468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1,410,468</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1,291,665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118,803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33,864,824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33,864,824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33,864,824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712,558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712,558</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49,544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663,014</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6,143,177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6,209,993</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71,917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6,073,252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25,409,291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25,174,858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25,174,858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37,558,775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36,777,235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205,591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36,571,644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16,704,951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16,865,571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3,834,635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13,030,936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17,440,415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17,541,515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17,541,515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(1,575,128)</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95,538,304</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96,359,179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4,040,226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92,318,953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409,745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409,745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409,745</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(55,621,230)</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(55,621,230)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(55,621,230)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(69,491,942)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(69,491,942)</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(69,491,942)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(3,155,600)</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(3,163,772)</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(3,163,772)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(91,235)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(91,235)</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(91,235)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(3,499,448)</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(3,609,147)</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(3,609,147)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(48,677)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(48,677)</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(48,677)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(101,271)</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(101,271)</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(101,271)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(2,471)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(2,471)</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(2,471)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(131,136)</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(131,136)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(131,136)</w:t>
            </w: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- 44 -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1,552,743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1,552,743</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1,497,457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55,286</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23,663,810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1,068,581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1,068,581</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1,018,521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7,045,697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7,138,989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7,005,571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27,574,564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27,220,699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27,220,699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37,637,889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36,816,580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277,911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36,538,669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16,752,993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17,089,141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4,135,655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12,953,486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16,570,421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16,554,050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(1,736,387)</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96,799,480</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97,680,470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4,413,566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93,266,904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(47,572,884)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(47,572,884)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(47,572,884)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(67,680,840)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(67,680,840)</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(67,680,840)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(3,899,910)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(3,919,367)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(3,919,367)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(652,104)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(59,482)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(4,382,193)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(4,490,433)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(4,490,433)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(59,916)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(116,902)</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43,234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(18,429)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(133,354)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interest rate risk management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2"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6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3"/>
          </w:tcPr>
          <w:p>
            <w:pPr>
              <w:jc w:val="right"/>
              <w:ind w:right="77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5,677,025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5,563,854</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445,249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363,735</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2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6,077,907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7,237,367</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1,022,844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1,026,118</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2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942,654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665,259</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21,003,234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19,427,886</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2,269,907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2,241,417</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30,893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27,332</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4,199,215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4,220,531</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2,017,837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2,108,823</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$10.9 billion and $10.4 billion at June 30, 2021 and December 31, 2020,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$4.0 billion at each of June 30, 2021 and December 31, 2020.</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Commitments and contingencies,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those charges is based on the volume of loans sold, the level of reimbursement requests received from loan purchasers and estimates of losses that may be associated with previously sold loans. At June 30, 2021, the Company believes that its obligation to loan purchasers was not material to the Company’s consolidated financial position.</w:t>
      </w:r>
    </w:p>
    <w:p>
      <w:pPr>
        <w:spacing w:after="0" w:line="5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$25 million as of June 30, 2021.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financial information of the Company's segments was compiled utilizing the accounting policies described in note 22 of Notes to Financial Statements in the 2020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5"/>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6"/>
          </w:tcPr>
          <w:p>
            <w:pPr>
              <w:jc w:val="center"/>
              <w:ind w:right="80"/>
              <w:spacing w:after="0" w:line="133" w:lineRule="exact"/>
              <w:rPr>
                <w:sz w:val="20"/>
                <w:szCs w:val="20"/>
                <w:color w:val="auto"/>
              </w:rPr>
            </w:pPr>
            <w:r>
              <w:rPr>
                <w:rFonts w:ascii="Arial" w:cs="Arial" w:eastAsia="Arial" w:hAnsi="Arial"/>
                <w:sz w:val="14"/>
                <w:szCs w:val="14"/>
                <w:b w:val="1"/>
                <w:bCs w:val="1"/>
                <w:color w:val="auto"/>
              </w:rPr>
              <w:t>Inter-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center"/>
              <w:ind w:left="66"/>
              <w:spacing w:after="0" w:line="13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Inter-</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segment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6"/>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segment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Revenues(a)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ind w:left="66"/>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Revenues(a)</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12"/>
          </w:tcPr>
          <w:p>
            <w:pPr>
              <w:jc w:val="center"/>
              <w:ind w:right="68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480" w:type="dxa"/>
            <w:vAlign w:val="bottom"/>
          </w:tcPr>
          <w:p>
            <w:pPr>
              <w:spacing w:after="0"/>
              <w:rPr>
                <w:sz w:val="20"/>
                <w:szCs w:val="20"/>
                <w:color w:val="auto"/>
              </w:rPr>
            </w:pPr>
            <w:r>
              <w:rPr>
                <w:rFonts w:ascii="Arial" w:cs="Arial" w:eastAsia="Arial" w:hAnsi="Arial"/>
                <w:sz w:val="18"/>
                <w:szCs w:val="18"/>
                <w:color w:val="auto"/>
              </w:rPr>
              <w:t>Business Banking</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145,098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41,607</w:t>
            </w:r>
          </w:p>
        </w:tc>
        <w:tc>
          <w:tcPr>
            <w:tcW w:w="44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138,086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284,659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84"/>
              </w:rPr>
              <w:t>1,012</w:t>
            </w:r>
          </w:p>
        </w:tc>
        <w:tc>
          <w:tcPr>
            <w:tcW w:w="6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111,035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2"/>
              </w:rPr>
              <w:t>287,525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200,559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86,690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227,113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118,307</w:t>
            </w:r>
          </w:p>
        </w:tc>
        <w:tc>
          <w:tcPr>
            <w:tcW w:w="980" w:type="dxa"/>
            <w:vAlign w:val="bottom"/>
            <w:gridSpan w:val="8"/>
            <w:shd w:val="clear" w:color="auto" w:fill="CFF0FC"/>
          </w:tcPr>
          <w:p>
            <w:pPr>
              <w:jc w:val="right"/>
              <w:spacing w:after="0"/>
              <w:rPr>
                <w:sz w:val="20"/>
                <w:szCs w:val="20"/>
                <w:color w:val="auto"/>
              </w:rPr>
            </w:pPr>
            <w:r>
              <w:rPr>
                <w:rFonts w:ascii="Arial" w:cs="Arial" w:eastAsia="Arial" w:hAnsi="Arial"/>
                <w:sz w:val="18"/>
                <w:szCs w:val="18"/>
                <w:color w:val="auto"/>
              </w:rPr>
              <w:t>(10,079)</w:t>
            </w: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78,532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2"/>
              </w:rPr>
              <w:t>138,827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(9,861)</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146,682</w:t>
            </w:r>
          </w:p>
        </w:tc>
        <w:tc>
          <w:tcPr>
            <w:tcW w:w="920" w:type="dxa"/>
            <w:vAlign w:val="bottom"/>
            <w:gridSpan w:val="7"/>
          </w:tcPr>
          <w:p>
            <w:pPr>
              <w:jc w:val="right"/>
              <w:ind w:right="20"/>
              <w:spacing w:after="0"/>
              <w:rPr>
                <w:sz w:val="20"/>
                <w:szCs w:val="20"/>
                <w:color w:val="auto"/>
              </w:rPr>
            </w:pPr>
            <w:r>
              <w:rPr>
                <w:rFonts w:ascii="Arial" w:cs="Arial" w:eastAsia="Arial" w:hAnsi="Arial"/>
                <w:sz w:val="18"/>
                <w:szCs w:val="18"/>
                <w:color w:val="auto"/>
              </w:rPr>
              <w:t>22,875</w:t>
            </w:r>
          </w:p>
        </w:tc>
        <w:tc>
          <w:tcPr>
            <w:tcW w:w="6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30,103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142,045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21,016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350,988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89,200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2"/>
              </w:rPr>
              <w:t>353,521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209,680</w:t>
            </w:r>
          </w:p>
        </w:tc>
        <w:tc>
          <w:tcPr>
            <w:tcW w:w="980" w:type="dxa"/>
            <w:vAlign w:val="bottom"/>
            <w:gridSpan w:val="8"/>
          </w:tcPr>
          <w:p>
            <w:pPr>
              <w:jc w:val="right"/>
              <w:spacing w:after="0"/>
              <w:rPr>
                <w:sz w:val="20"/>
                <w:szCs w:val="20"/>
                <w:color w:val="auto"/>
              </w:rPr>
            </w:pPr>
            <w:r>
              <w:rPr>
                <w:rFonts w:ascii="Arial" w:cs="Arial" w:eastAsia="Arial" w:hAnsi="Arial"/>
                <w:sz w:val="18"/>
                <w:szCs w:val="18"/>
                <w:color w:val="auto"/>
              </w:rPr>
              <w:t>(15,113)</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20,902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157,293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(11,875)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(234,211)</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$ 1,455,973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458,069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w w:val="84"/>
              </w:rPr>
              <w:t>$ 1,444,410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3"/>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center"/>
              <w:ind w:right="99"/>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6"/>
          </w:tcPr>
          <w:p>
            <w:pPr>
              <w:jc w:val="center"/>
              <w:ind w:right="80"/>
              <w:spacing w:after="0" w:line="133" w:lineRule="exact"/>
              <w:rPr>
                <w:sz w:val="20"/>
                <w:szCs w:val="20"/>
                <w:color w:val="auto"/>
              </w:rPr>
            </w:pPr>
            <w:r>
              <w:rPr>
                <w:rFonts w:ascii="Arial" w:cs="Arial" w:eastAsia="Arial" w:hAnsi="Arial"/>
                <w:sz w:val="14"/>
                <w:szCs w:val="14"/>
                <w:b w:val="1"/>
                <w:bCs w:val="1"/>
                <w:color w:val="auto"/>
              </w:rPr>
              <w:t>Inter-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center"/>
              <w:ind w:left="26"/>
              <w:spacing w:after="0" w:line="13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vMerge w:val="restart"/>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Inter-</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segment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center"/>
              <w:ind w:left="26"/>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6"/>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segment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Revenues(a)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ind w:left="26"/>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8"/>
              </w:rPr>
              <w:t>Revenues(a)</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1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5480" w:type="dxa"/>
            <w:vAlign w:val="bottom"/>
          </w:tcPr>
          <w:p>
            <w:pPr>
              <w:spacing w:after="0"/>
              <w:rPr>
                <w:sz w:val="20"/>
                <w:szCs w:val="20"/>
                <w:color w:val="auto"/>
              </w:rPr>
            </w:pPr>
            <w:r>
              <w:rPr>
                <w:rFonts w:ascii="Arial" w:cs="Arial" w:eastAsia="Arial" w:hAnsi="Arial"/>
                <w:sz w:val="18"/>
                <w:szCs w:val="18"/>
                <w:color w:val="auto"/>
              </w:rPr>
              <w:t>Business Banking</w:t>
            </w:r>
          </w:p>
        </w:tc>
        <w:tc>
          <w:tcPr>
            <w:tcW w:w="18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301,001</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87,878</w:t>
            </w: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275,919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570,571</w:t>
            </w:r>
          </w:p>
        </w:tc>
        <w:tc>
          <w:tcPr>
            <w:tcW w:w="9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233,673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9"/>
              </w:rPr>
              <w:t>579,301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401,402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157,962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450,418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252,851</w:t>
            </w:r>
          </w:p>
        </w:tc>
        <w:tc>
          <w:tcPr>
            <w:tcW w:w="980" w:type="dxa"/>
            <w:vAlign w:val="bottom"/>
            <w:gridSpan w:val="8"/>
            <w:shd w:val="clear" w:color="auto" w:fill="CFF0FC"/>
          </w:tcPr>
          <w:p>
            <w:pPr>
              <w:jc w:val="right"/>
              <w:ind w:right="20"/>
              <w:spacing w:after="0"/>
              <w:rPr>
                <w:sz w:val="20"/>
                <w:szCs w:val="20"/>
                <w:color w:val="auto"/>
              </w:rPr>
            </w:pPr>
            <w:r>
              <w:rPr>
                <w:rFonts w:ascii="Arial" w:cs="Arial" w:eastAsia="Arial" w:hAnsi="Arial"/>
                <w:sz w:val="18"/>
                <w:szCs w:val="18"/>
                <w:color w:val="auto"/>
              </w:rPr>
              <w:t>(20,106)</w:t>
            </w: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169,078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9"/>
              </w:rPr>
              <w:t>188,046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(22,898)</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300,442</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45,058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79,714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267,606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42,433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697,905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174,558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9"/>
              </w:rPr>
              <w:t>756,204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418,794</w:t>
            </w:r>
          </w:p>
        </w:tc>
        <w:tc>
          <w:tcPr>
            <w:tcW w:w="980" w:type="dxa"/>
            <w:vAlign w:val="bottom"/>
            <w:gridSpan w:val="8"/>
          </w:tcPr>
          <w:p>
            <w:pPr>
              <w:jc w:val="right"/>
              <w:ind w:right="20"/>
              <w:spacing w:after="0"/>
              <w:rPr>
                <w:sz w:val="20"/>
                <w:szCs w:val="20"/>
                <w:color w:val="auto"/>
              </w:rPr>
            </w:pPr>
            <w:r>
              <w:rPr>
                <w:rFonts w:ascii="Arial" w:cs="Arial" w:eastAsia="Arial" w:hAnsi="Arial"/>
                <w:sz w:val="18"/>
                <w:szCs w:val="18"/>
                <w:color w:val="auto"/>
              </w:rPr>
              <w:t>(29,241)</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433,081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(22,869)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(419,985)</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6"/>
              </w:rPr>
              <w:t>$ 2,942,966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905,318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w w:val="84"/>
              </w:rPr>
              <w:t>$ 2,950,575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12"/>
          </w:tcPr>
          <w:p>
            <w:pPr>
              <w:jc w:val="center"/>
              <w:ind w:left="128"/>
              <w:spacing w:after="0"/>
              <w:rPr>
                <w:sz w:val="20"/>
                <w:szCs w:val="20"/>
                <w:color w:val="auto"/>
              </w:rPr>
            </w:pPr>
            <w:r>
              <w:rPr>
                <w:rFonts w:ascii="Arial" w:cs="Arial" w:eastAsia="Arial" w:hAnsi="Arial"/>
                <w:sz w:val="14"/>
                <w:szCs w:val="14"/>
                <w:b w:val="1"/>
                <w:bCs w:val="1"/>
                <w:color w:val="auto"/>
                <w:w w:val="88"/>
              </w:rPr>
              <w:t>Average Total Assets</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gridSpan w:val="14"/>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580" w:type="dxa"/>
            <w:vAlign w:val="bottom"/>
            <w:gridSpan w:val="5"/>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14"/>
            <w:vMerge w:val="continue"/>
          </w:tcPr>
          <w:p>
            <w:pPr>
              <w:spacing w:after="0"/>
              <w:rPr>
                <w:sz w:val="14"/>
                <w:szCs w:val="14"/>
                <w:color w:val="auto"/>
              </w:rPr>
            </w:pPr>
          </w:p>
        </w:tc>
        <w:tc>
          <w:tcPr>
            <w:tcW w:w="1440" w:type="dxa"/>
            <w:vAlign w:val="bottom"/>
            <w:gridSpan w:val="10"/>
          </w:tcPr>
          <w:p>
            <w:pPr>
              <w:jc w:val="center"/>
              <w:ind w:right="640"/>
              <w:spacing w:after="0"/>
              <w:rPr>
                <w:sz w:val="20"/>
                <w:szCs w:val="20"/>
                <w:color w:val="auto"/>
              </w:rPr>
            </w:pPr>
            <w:r>
              <w:rPr>
                <w:rFonts w:ascii="Arial" w:cs="Arial" w:eastAsia="Arial" w:hAnsi="Arial"/>
                <w:sz w:val="14"/>
                <w:szCs w:val="14"/>
                <w:b w:val="1"/>
                <w:bCs w:val="1"/>
                <w:color w:val="auto"/>
                <w:w w:val="91"/>
              </w:rPr>
              <w:t>December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8"/>
          </w:tcPr>
          <w:p>
            <w:pPr>
              <w:jc w:val="right"/>
              <w:ind w:right="1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480" w:type="dxa"/>
            <w:vAlign w:val="bottom"/>
          </w:tcPr>
          <w:p>
            <w:pPr>
              <w:spacing w:after="0"/>
              <w:rPr>
                <w:sz w:val="20"/>
                <w:szCs w:val="20"/>
                <w:color w:val="auto"/>
              </w:rPr>
            </w:pPr>
            <w:r>
              <w:rPr>
                <w:rFonts w:ascii="Arial" w:cs="Arial" w:eastAsia="Arial" w:hAnsi="Arial"/>
                <w:sz w:val="18"/>
                <w:szCs w:val="18"/>
                <w:color w:val="auto"/>
              </w:rPr>
              <w:t>Business Banking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8,681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7,235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8,152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29,927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30,603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30,338</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25,999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25,340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25,792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22,769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26,821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27,726</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6,638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3,113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17,444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16,039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37,948</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19,362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22,996</w:t>
            </w:r>
          </w:p>
        </w:tc>
        <w:tc>
          <w:tcPr>
            <w:tcW w:w="80" w:type="dxa"/>
            <w:vAlign w:val="bottom"/>
            <w:tcBorders>
              <w:bottom w:val="single" w:sz="8" w:color="CFF0FC"/>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4"/>
              </w:rPr>
              <w:t>$ 149,406</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128,513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135,480</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00" w:hanging="492"/>
        <w:spacing w:after="0" w:line="288" w:lineRule="auto"/>
        <w:tabs>
          <w:tab w:leader="none" w:pos="50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$3,732,000 and $4,234,000 for the three-month periods ended June 30, 2021 and 2020, respectively, and $7,465,000 and $9,297,000 for the six-month periods ended June 30, 2021 and 2020,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3"/>
          <w:szCs w:val="13"/>
          <w:i w:val="1"/>
          <w:iCs w:val="1"/>
          <w:color w:val="auto"/>
        </w:rPr>
        <w:t>.</w:t>
      </w:r>
    </w:p>
    <w:p>
      <w:pPr>
        <w:spacing w:after="0" w:line="174" w:lineRule="exact"/>
        <w:rPr>
          <w:rFonts w:ascii="Arial" w:cs="Arial" w:eastAsia="Arial" w:hAnsi="Arial"/>
          <w:sz w:val="15"/>
          <w:szCs w:val="15"/>
          <w:i w:val="1"/>
          <w:iCs w:val="1"/>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Relationship with Bayview Lending Group LLC and Bayview Financial Holdings, L.P.</w:t>
      </w:r>
    </w:p>
    <w:p>
      <w:pPr>
        <w:spacing w:after="0" w:line="116" w:lineRule="exact"/>
        <w:rPr>
          <w:sz w:val="20"/>
          <w:szCs w:val="20"/>
          <w:color w:val="auto"/>
        </w:rPr>
      </w:pPr>
    </w:p>
    <w:p>
      <w:pPr>
        <w:jc w:val="both"/>
        <w:ind w:right="100"/>
        <w:spacing w:after="0" w:line="279" w:lineRule="auto"/>
        <w:rPr>
          <w:sz w:val="20"/>
          <w:szCs w:val="20"/>
          <w:color w:val="auto"/>
        </w:rPr>
      </w:pPr>
      <w:r>
        <w:rPr>
          <w:rFonts w:ascii="Arial" w:cs="Arial" w:eastAsia="Arial" w:hAnsi="Arial"/>
          <w:sz w:val="19"/>
          <w:szCs w:val="19"/>
          <w:color w:val="auto"/>
        </w:rPr>
        <w:t>M&amp;T holds a 20% minority interest in Bayview Lending Group LLC ("BLG"), a privately-held commercial mortgage company. That investment had no remaining carrying value at June 30, 2021 as a result of cumulative losses recognized and cash distributions received in prior years. Cash distributions now received from BLG are recognized as income by M&amp;T and included in other revenues from operations. That income totaled $23 million during the three-month period ended March 31, 2020. There were no similar cash distributions during the six-month period ended June 30, 2021 or in the three-month period ended June 30, 2020.</w:t>
      </w:r>
    </w:p>
    <w:p>
      <w:pPr>
        <w:spacing w:after="0" w:line="53" w:lineRule="exact"/>
        <w:rPr>
          <w:sz w:val="20"/>
          <w:szCs w:val="20"/>
          <w:color w:val="auto"/>
        </w:rPr>
      </w:pPr>
    </w:p>
    <w:p>
      <w:pPr>
        <w:jc w:val="both"/>
        <w:ind w:right="100" w:firstLine="510"/>
        <w:spacing w:after="0" w:line="256" w:lineRule="auto"/>
        <w:rPr>
          <w:sz w:val="20"/>
          <w:szCs w:val="20"/>
          <w:color w:val="auto"/>
        </w:rPr>
      </w:pPr>
      <w:r>
        <w:rPr>
          <w:rFonts w:ascii="Arial" w:cs="Arial" w:eastAsia="Arial" w:hAnsi="Arial"/>
          <w:sz w:val="20"/>
          <w:szCs w:val="20"/>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$1.8 billion and $1.9 billion at June 30, 2021 and December 31, 2020, respectively. Revenues from those servicing rights were $2 million in each of the three-month periods ended June 30, 2021 and 2020, respectively, and $4 million and $5 million for the six-month periods ended June 30, 2021 and 2020, respectively. The Company sub-services residential mortgage loans for Bayview Financial having outstanding principal balances of $72.6 billion and $68.1 billion at June 30, 2021 and December 31, 2020, respectively. Revenues earned for sub-servicing loans for Bayview Financial were $37 million and $34 million for the three-month periods ended June 30, 2021 and 2020, respectively, and $71 million in each of the six-month periods ended June 30, 2021 and 2020. In addition, the Company held $68 million and $77 million of mortgage-backed securities in its held-to-maturity portfolio at June 30, 2021 and December 31, 2020, respectively, that were securitized by Bayview Financial. At June 30, 2021, the Company held $185 million of Bayview Financial’s $1.3 billion syndicated loan facility. In the first six months of 2021, the Company purchased $965 million of delinquent FHA guaranteed mortgage loans, including past due accrued interest, from Bayview Financial for $1.0 billion. The servicing rights for such loans were retained by Bayview Financial, but the Company continues to sub-service the loans.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2021 as well as standards that are not effective that could have an impact to M&amp;T’s consolidated financial statements upon adoption.</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2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Adopted in 2021</w:t>
            </w:r>
          </w:p>
        </w:tc>
        <w:tc>
          <w:tcPr>
            <w:tcW w:w="150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Clarifying the</w:t>
            </w:r>
          </w:p>
        </w:tc>
        <w:tc>
          <w:tcPr>
            <w:tcW w:w="38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amendments clarify the following guidance: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2021</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Interactions Between</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That an entity should consider observable transactions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2021 using a prospective transition method. The adoption did not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Securities,</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that require it to either apply or discontinue the equity</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have a material impact on the Company’s consolidated financial</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Method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method of accounting for the purposes of applying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Joint Ventures,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measurement alternative in the equity securities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Derivatives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investments guidance immediately before applying or upon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Hedging</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discontinuing the equity method of accounting.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For the purpose of applying the derivatives and hedging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an entity should not consider whether, upon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settlement of a forward contract or exercise of a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option, individually or with existing investments,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underlying securities would be accounted for under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method of accounting or the fair value option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accordance with the financial instruments guidance. An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entity also would evaluate the remaining characteristics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derivatives and hedging guidance to determine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accounting for those forward contracts and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options.</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328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2879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6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260" w:type="dxa"/>
            <w:vAlign w:val="bottom"/>
            <w:tcBorders>
              <w:top w:val="single" w:sz="8" w:color="auto"/>
            </w:tcBorders>
          </w:tcPr>
          <w:p>
            <w:pPr>
              <w:spacing w:after="0"/>
              <w:rPr>
                <w:sz w:val="12"/>
                <w:szCs w:val="12"/>
                <w:color w:val="auto"/>
              </w:rPr>
            </w:pPr>
          </w:p>
        </w:tc>
        <w:tc>
          <w:tcPr>
            <w:tcW w:w="3620" w:type="dxa"/>
            <w:vAlign w:val="bottom"/>
            <w:tcBorders>
              <w:top w:val="single" w:sz="8" w:color="auto"/>
              <w:right w:val="single" w:sz="8" w:color="auto"/>
            </w:tcBorders>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Standards Adopted in 2021</w:t>
            </w:r>
          </w:p>
        </w:tc>
        <w:tc>
          <w:tcPr>
            <w:tcW w:w="3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40"/>
              <w:spacing w:after="0" w:line="123" w:lineRule="exact"/>
              <w:rPr>
                <w:sz w:val="20"/>
                <w:szCs w:val="20"/>
                <w:color w:val="auto"/>
              </w:rPr>
            </w:pPr>
            <w:r>
              <w:rPr>
                <w:rFonts w:ascii="Arial" w:cs="Arial" w:eastAsia="Arial" w:hAnsi="Arial"/>
                <w:sz w:val="14"/>
                <w:szCs w:val="14"/>
                <w:color w:val="auto"/>
              </w:rPr>
              <w:t>Simplifying the</w:t>
            </w:r>
          </w:p>
        </w:tc>
        <w:tc>
          <w:tcPr>
            <w:tcW w:w="2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500" w:type="dxa"/>
            <w:vAlign w:val="bottom"/>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200" w:type="dxa"/>
            <w:vAlign w:val="bottom"/>
          </w:tcPr>
          <w:p>
            <w:pPr>
              <w:ind w:left="100"/>
              <w:spacing w:after="0" w:line="123" w:lineRule="exact"/>
              <w:rPr>
                <w:sz w:val="20"/>
                <w:szCs w:val="20"/>
                <w:color w:val="auto"/>
              </w:rPr>
            </w:pPr>
            <w:r>
              <w:rPr>
                <w:rFonts w:ascii="Arial" w:cs="Arial" w:eastAsia="Arial" w:hAnsi="Arial"/>
                <w:sz w:val="14"/>
                <w:szCs w:val="14"/>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Accounting for Income</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The amendments remove the following exceptions for</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Taxes</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accounting for income taxes: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for all periods presented. The amendments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1.</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incremental approach for intraperiod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related to changes in ownership of foreign equity method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allocation when there is a loss from continuing operations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7"/>
              </w:rPr>
              <w:t>investments or foreign subsidiaries should be applied on a modified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income or a gain from other items (for example,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through a cumulative-effect adjustment to</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discontinued operations or other comprehensive income)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retained earnings as of the beginning of the fiscal year of adoption.</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2.</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requirement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The amendments related to franchise taxes that are partially based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equity method investments when a foreign</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on income should be applied on either a retrospective basis for all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subsidiary becomes an equity method investment</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periods presented or a modified retrospective basis through a</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3.</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ability not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cumulative-effect adjustment to retained earnings as of the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a foreign subsidiary when a foreign equity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beginning of the fiscal year of adoption. All other amendments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method investment becomes a subsidiary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should be applied on a prospective basis.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4.</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general methodology for calculating</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The adoption did not have a material impact on the Company’s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income taxes in an interim period when a year-to-date loss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3880" w:type="dxa"/>
            <w:vAlign w:val="bottom"/>
            <w:gridSpan w:val="2"/>
          </w:tcPr>
          <w:p>
            <w:pPr>
              <w:ind w:left="120"/>
              <w:spacing w:after="0"/>
              <w:rPr>
                <w:sz w:val="20"/>
                <w:szCs w:val="20"/>
                <w:color w:val="auto"/>
              </w:rPr>
            </w:pPr>
            <w:r>
              <w:rPr>
                <w:rFonts w:ascii="Arial" w:cs="Arial" w:eastAsia="Arial" w:hAnsi="Arial"/>
                <w:sz w:val="14"/>
                <w:szCs w:val="14"/>
                <w:color w:val="auto"/>
              </w:rPr>
              <w:t>exceeds the anticipated loss for the year.</w:t>
            </w:r>
          </w:p>
        </w:tc>
        <w:tc>
          <w:tcPr>
            <w:tcW w:w="1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amendments also simplify the accounting for income</w:t>
      </w:r>
    </w:p>
    <w:p>
      <w:pPr>
        <w:ind w:left="1780"/>
        <w:spacing w:after="0" w:line="221" w:lineRule="auto"/>
        <w:rPr>
          <w:sz w:val="20"/>
          <w:szCs w:val="20"/>
          <w:color w:val="auto"/>
        </w:rPr>
      </w:pPr>
      <w:r>
        <w:rPr>
          <w:rFonts w:ascii="Arial" w:cs="Arial" w:eastAsia="Arial" w:hAnsi="Arial"/>
          <w:sz w:val="14"/>
          <w:szCs w:val="14"/>
          <w:color w:val="auto"/>
        </w:rPr>
        <w:t>taxes by doing the following:</w:t>
      </w:r>
    </w:p>
    <w:p>
      <w:pPr>
        <w:ind w:left="1780" w:right="6040" w:firstLine="9"/>
        <w:spacing w:after="0" w:line="221" w:lineRule="auto"/>
        <w:tabs>
          <w:tab w:leader="none" w:pos="19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Requiring that an entity recognize a franchise tax (or similar tax) that is partially based on income as an income-based tax and account for any incremental amount incurred as a non-income-based tax.</w:t>
      </w:r>
    </w:p>
    <w:p>
      <w:pPr>
        <w:spacing w:after="0" w:line="1" w:lineRule="exact"/>
        <w:rPr>
          <w:rFonts w:ascii="Arial" w:cs="Arial" w:eastAsia="Arial" w:hAnsi="Arial"/>
          <w:sz w:val="14"/>
          <w:szCs w:val="14"/>
          <w:color w:val="auto"/>
        </w:rPr>
      </w:pPr>
    </w:p>
    <w:p>
      <w:pPr>
        <w:ind w:left="1780" w:right="6160" w:firstLine="9"/>
        <w:spacing w:after="0" w:line="221" w:lineRule="auto"/>
        <w:tabs>
          <w:tab w:leader="none" w:pos="19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Requiring that an entity evaluate when a step up in the tax basis of goodwill should be considered part of the business combination in which the book goodwill was originally recognized and when it should be considered a separate transaction.</w:t>
      </w:r>
    </w:p>
    <w:p>
      <w:pPr>
        <w:spacing w:after="0" w:line="1" w:lineRule="exact"/>
        <w:rPr>
          <w:rFonts w:ascii="Arial" w:cs="Arial" w:eastAsia="Arial" w:hAnsi="Arial"/>
          <w:sz w:val="14"/>
          <w:szCs w:val="14"/>
          <w:color w:val="auto"/>
        </w:rPr>
      </w:pPr>
    </w:p>
    <w:p>
      <w:pPr>
        <w:ind w:left="1780" w:right="6040" w:firstLine="9"/>
        <w:spacing w:after="0" w:line="238" w:lineRule="auto"/>
        <w:tabs>
          <w:tab w:leader="none" w:pos="1924" w:val="left"/>
        </w:tabs>
        <w:numPr>
          <w:ilvl w:val="0"/>
          <w:numId w:val="19"/>
        </w:numPr>
        <w:rPr>
          <w:rFonts w:ascii="Arial" w:cs="Arial" w:eastAsia="Arial" w:hAnsi="Arial"/>
          <w:sz w:val="13"/>
          <w:szCs w:val="13"/>
          <w:color w:val="auto"/>
        </w:rPr>
      </w:pPr>
      <w:r>
        <w:rPr>
          <w:rFonts w:ascii="Arial" w:cs="Arial" w:eastAsia="Arial" w:hAnsi="Arial"/>
          <w:sz w:val="13"/>
          <w:szCs w:val="13"/>
          <w:color w:val="auto"/>
        </w:rPr>
        <w:t>Specifying that an entity is not required to allocate the consolidated amount of current and deferred tax expense to a legal entity that is not subject to tax in its separate financial statements. However, an entity may elect to do so (on an entity-by-entity basis) for a legal entity that is both not subject to tax and disregarded by the taxing authority.</w:t>
      </w:r>
    </w:p>
    <w:p>
      <w:pPr>
        <w:spacing w:after="0" w:line="1" w:lineRule="exact"/>
        <w:rPr>
          <w:rFonts w:ascii="Arial" w:cs="Arial" w:eastAsia="Arial" w:hAnsi="Arial"/>
          <w:sz w:val="13"/>
          <w:szCs w:val="13"/>
          <w:color w:val="auto"/>
        </w:rPr>
      </w:pPr>
    </w:p>
    <w:p>
      <w:pPr>
        <w:jc w:val="both"/>
        <w:ind w:left="1780" w:right="6140" w:firstLine="9"/>
        <w:spacing w:after="0" w:line="221" w:lineRule="auto"/>
        <w:tabs>
          <w:tab w:leader="none" w:pos="19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Requiring that an entity reflect the effect of an enacted change in tax laws or rates in the annual effective tax rate computation in the interim period that includes the enactment date.</w:t>
      </w:r>
    </w:p>
    <w:p>
      <w:pPr>
        <w:spacing w:after="0" w:line="1" w:lineRule="exact"/>
        <w:rPr>
          <w:rFonts w:ascii="Arial" w:cs="Arial" w:eastAsia="Arial" w:hAnsi="Arial"/>
          <w:sz w:val="14"/>
          <w:szCs w:val="14"/>
          <w:color w:val="auto"/>
        </w:rPr>
      </w:pPr>
    </w:p>
    <w:p>
      <w:pPr>
        <w:ind w:left="1780" w:right="6200" w:firstLine="9"/>
        <w:spacing w:after="0" w:line="249" w:lineRule="auto"/>
        <w:tabs>
          <w:tab w:leader="none" w:pos="1924"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Making minor Codification improvements for income taxes related to employee stock ownership plans and investments in qualified affordable housing projects accounted for using the equity method.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June 30,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Changes to Accounting</w:t>
            </w:r>
          </w:p>
        </w:tc>
        <w:tc>
          <w:tcPr>
            <w:tcW w:w="3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The amendments reduce the number of accounting models</w:t>
            </w: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2022</w:t>
            </w:r>
          </w:p>
        </w:tc>
        <w:tc>
          <w:tcPr>
            <w:tcW w:w="42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7"/>
              </w:rPr>
              <w:t>The amendments can be applied either on a modified retrospective</w:t>
            </w:r>
          </w:p>
        </w:tc>
        <w:tc>
          <w:tcPr>
            <w:tcW w:w="0" w:type="dxa"/>
            <w:vAlign w:val="bottom"/>
          </w:tcPr>
          <w:p>
            <w:pPr>
              <w:spacing w:after="0"/>
              <w:rPr>
                <w:sz w:val="1"/>
                <w:szCs w:val="1"/>
                <w:color w:val="auto"/>
              </w:rPr>
            </w:pPr>
          </w:p>
        </w:tc>
      </w:tr>
      <w:tr>
        <w:trPr>
          <w:trHeight w:val="140"/>
        </w:trPr>
        <w:tc>
          <w:tcPr>
            <w:tcW w:w="1660" w:type="dxa"/>
            <w:vAlign w:val="bottom"/>
            <w:tcBorders>
              <w:left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rPr>
              <w:t>for Convertible</w:t>
            </w:r>
          </w:p>
        </w:tc>
        <w:tc>
          <w:tcPr>
            <w:tcW w:w="38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4"/>
                <w:szCs w:val="14"/>
                <w:color w:val="auto"/>
                <w:w w:val="98"/>
              </w:rPr>
              <w:t>method of transition or a fully retrospective method of transition. 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Instruments and</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for convertible debt instruments and convertible preferred</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applying the modified retrospective method, the guidance should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Contracts in an</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stock. The amendments also reduce form-over-substance-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applied to transactions outstanding as of the beginning of the fiscal</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Entity’s Own Equity</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based guidance for the derivatives scope exception for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year in which the amendments are adopted. Transactions that were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contacts in an entity’s own equity. For convertible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settled (or expired) during prior reporting periods are unaffected.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instruments, embedded conversion features no longer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separated from the host contract for convertible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adjustment to the opening balance of retained earnings at the date of</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with conversion features that are not required to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If applying the fully retrospective method of transition,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accounted for as derivatives, or that do not result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substantial premiums accounted for as paid-in capital.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adjustment to the opening balance of retained earnings in the first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Consequently, a convertible debt instrument will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comparative period presented.</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accounted for as a single liability measured at its amortized</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cost and a convertible preferred stock will be accounted for</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fair value option is allowed to be irrevocably elected for any</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a single equity instrument measured at its historical cost,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instrument that is a convertible security upon adoption of</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long as no other features require bifurcation and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recognition as derivatives. By removing those separation</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models, the interest rate of convertible debt instruments</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The Company has not yet decided on which transition method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typically will be closer to the coupon interest rate on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be applied to the extent applicable. The Company does not expect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 The amendments also require certain changes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guidance will have a material impact on its consolidated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EPS calculations for convertible instruments as well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additional disclosures relating to conditions that cause</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conversion features to be met.</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For contacts in an entity’s own equity, the</w:t>
            </w:r>
          </w:p>
        </w:tc>
        <w:tc>
          <w:tcPr>
            <w:tcW w:w="150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amendments revise the derivatives scope exception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as follows: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Remove the settlement in unregistered shares, collateral,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and shareholder rights conditions from the settlement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Clarify that payment penalties for failure to timely file do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not preclude equity classification.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3. Require instruments that are required to be classified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 asset or liability to be measured subsequently at fair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value, with changes reported in earnings and disclosed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financial statements. 4. Clarifiy that the scope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requirements in the Contracts in an Entity’s Own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section of the Derivatives guidance applies only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freestanding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8"/>
              </w:rPr>
              <w:t>5. Clarify that the scope of the reassessment guidance in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Contracts in an Entity’s Own Equity section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Derivatives guidance applies to both freestanding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instruments and embedded features.</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of June 30,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Issuer’s Accounting</w:t>
            </w:r>
          </w:p>
        </w:tc>
        <w:tc>
          <w:tcPr>
            <w:tcW w:w="3880" w:type="dxa"/>
            <w:vAlign w:val="bottom"/>
            <w:tcBorders>
              <w:right w:val="single" w:sz="8" w:color="auto"/>
            </w:tcBorders>
            <w:shd w:val="clear" w:color="auto" w:fill="CFF0FC"/>
          </w:tcPr>
          <w:p>
            <w:pPr>
              <w:spacing w:after="0"/>
              <w:rPr>
                <w:sz w:val="10"/>
                <w:szCs w:val="10"/>
                <w:color w:val="auto"/>
              </w:rPr>
            </w:pP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200" w:type="dxa"/>
            <w:vAlign w:val="bottom"/>
            <w:tcBorders>
              <w:right w:val="single" w:sz="8" w:color="auto"/>
            </w:tcBorders>
            <w:shd w:val="clear" w:color="auto" w:fill="CFF0FC"/>
          </w:tcPr>
          <w:p>
            <w:pPr>
              <w:ind w:left="100"/>
              <w:spacing w:after="0" w:line="123" w:lineRule="exact"/>
              <w:rPr>
                <w:sz w:val="20"/>
                <w:szCs w:val="20"/>
                <w:color w:val="auto"/>
              </w:rPr>
            </w:pPr>
            <w:r>
              <w:rPr>
                <w:rFonts w:ascii="Arial" w:cs="Arial" w:eastAsia="Arial" w:hAnsi="Arial"/>
                <w:sz w:val="14"/>
                <w:szCs w:val="14"/>
                <w:color w:val="auto"/>
              </w:rPr>
              <w:t>The amendments should be applied on a prospective basis.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for Certain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amendments clarify and reduce diversity in an issuer’s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Company currently does not have any instruments that fall within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Modifications or</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for modifications or exchanges of freestanding</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the guidance and does not expect the guidance to have a material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Exchanges of</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equity-classified written call options (for example,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impact on its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Freestanding Equity-</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warrants) that remain equity classified after modification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Classified Written Call</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Options</w:t>
            </w:r>
          </w:p>
        </w:tc>
        <w:tc>
          <w:tcPr>
            <w:tcW w:w="3880" w:type="dxa"/>
            <w:vAlign w:val="bottom"/>
            <w:tcBorders>
              <w:right w:val="single" w:sz="8" w:color="auto"/>
            </w:tcBorders>
            <w:vMerge w:val="restart"/>
            <w:shd w:val="clear" w:color="auto" w:fill="CFF0FC"/>
          </w:tcPr>
          <w:p>
            <w:pPr>
              <w:ind w:left="120"/>
              <w:spacing w:after="0"/>
              <w:rPr>
                <w:sz w:val="20"/>
                <w:szCs w:val="20"/>
                <w:color w:val="auto"/>
              </w:rPr>
            </w:pPr>
            <w:r>
              <w:rPr>
                <w:rFonts w:ascii="Arial" w:cs="Arial" w:eastAsia="Arial" w:hAnsi="Arial"/>
                <w:sz w:val="14"/>
                <w:szCs w:val="14"/>
                <w:color w:val="auto"/>
              </w:rPr>
              <w:t>The amendments clarify that:</w:t>
            </w:r>
          </w:p>
        </w:tc>
        <w:tc>
          <w:tcPr>
            <w:tcW w:w="1500" w:type="dxa"/>
            <w:vAlign w:val="bottom"/>
            <w:tcBorders>
              <w:right w:val="single" w:sz="8" w:color="auto"/>
            </w:tcBorders>
            <w:shd w:val="clear" w:color="auto" w:fill="CFF0FC"/>
          </w:tcPr>
          <w:p>
            <w:pPr>
              <w:spacing w:after="0"/>
              <w:rPr>
                <w:sz w:val="15"/>
                <w:szCs w:val="15"/>
                <w:color w:val="auto"/>
              </w:rPr>
            </w:pPr>
          </w:p>
        </w:tc>
        <w:tc>
          <w:tcPr>
            <w:tcW w:w="420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shd w:val="clear" w:color="auto" w:fill="CFF0FC"/>
          </w:tcPr>
          <w:p>
            <w:pPr>
              <w:spacing w:after="0"/>
              <w:rPr>
                <w:sz w:val="6"/>
                <w:szCs w:val="6"/>
                <w:color w:val="auto"/>
              </w:rPr>
            </w:pPr>
          </w:p>
        </w:tc>
        <w:tc>
          <w:tcPr>
            <w:tcW w:w="3880" w:type="dxa"/>
            <w:vAlign w:val="bottom"/>
            <w:tcBorders>
              <w:right w:val="single" w:sz="8" w:color="auto"/>
            </w:tcBorders>
            <w:vMerge w:val="continue"/>
            <w:shd w:val="clear" w:color="auto" w:fill="CFF0FC"/>
          </w:tcPr>
          <w:p>
            <w:pPr>
              <w:spacing w:after="0"/>
              <w:rPr>
                <w:sz w:val="6"/>
                <w:szCs w:val="6"/>
                <w:color w:val="auto"/>
              </w:rPr>
            </w:pPr>
          </w:p>
        </w:tc>
        <w:tc>
          <w:tcPr>
            <w:tcW w:w="1500" w:type="dxa"/>
            <w:vAlign w:val="bottom"/>
            <w:tcBorders>
              <w:right w:val="single" w:sz="8" w:color="auto"/>
            </w:tcBorders>
            <w:shd w:val="clear" w:color="auto" w:fill="CFF0FC"/>
          </w:tcPr>
          <w:p>
            <w:pPr>
              <w:spacing w:after="0"/>
              <w:rPr>
                <w:sz w:val="6"/>
                <w:szCs w:val="6"/>
                <w:color w:val="auto"/>
              </w:rPr>
            </w:pPr>
          </w:p>
        </w:tc>
        <w:tc>
          <w:tcPr>
            <w:tcW w:w="4200" w:type="dxa"/>
            <w:vAlign w:val="bottom"/>
            <w:tcBorders>
              <w:right w:val="single" w:sz="8" w:color="auto"/>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1. A modification of the terms or conditions or an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a 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treated as an exchange of the original instrument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 a new instrument.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2. The effect of a modification or an exchange of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measured as follows: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a. For a modification or an exchange that is a part of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directly related to a modification or an exchange of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existing debt instrument or line-of-credit or revolving-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debt arrangements, as the difference between the fair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value of the modified or exchanged written call option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and the fair value of that written call option immediately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before it is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w w:val="98"/>
              </w:rPr>
              <w:t>b. For all other modifications or exchanges, as the excess,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if any, of the fair value of the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written call option over the fair value of that written call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option immediately before it is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3. The effect of a modification or an exchange of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recognized on the basis of the substance of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transaction, in the same manner as if cash had been paid as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consideration. The effect of a modification or an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a freestanding equity-classified written call option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compensate for goods or services should be recognized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accordance with the Stock Compensation guidance. In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multiple-element transaction (for example, one that includes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both debt financing and equity financing), the total effect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modification should be allocated to the respective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shd w:val="clear" w:color="auto" w:fill="CFF0FC"/>
          </w:tcPr>
          <w:p>
            <w:pPr>
              <w:spacing w:after="0"/>
              <w:rPr>
                <w:sz w:val="15"/>
                <w:szCs w:val="15"/>
                <w:color w:val="auto"/>
              </w:rPr>
            </w:pPr>
          </w:p>
        </w:tc>
        <w:tc>
          <w:tcPr>
            <w:tcW w:w="38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elements in the transaction.</w:t>
            </w:r>
          </w:p>
        </w:tc>
        <w:tc>
          <w:tcPr>
            <w:tcW w:w="1500" w:type="dxa"/>
            <w:vAlign w:val="bottom"/>
            <w:tcBorders>
              <w:right w:val="single" w:sz="8" w:color="auto"/>
            </w:tcBorders>
            <w:shd w:val="clear" w:color="auto" w:fill="CFF0FC"/>
          </w:tcPr>
          <w:p>
            <w:pPr>
              <w:spacing w:after="0"/>
              <w:rPr>
                <w:sz w:val="15"/>
                <w:szCs w:val="15"/>
                <w:color w:val="auto"/>
              </w:rPr>
            </w:pPr>
          </w:p>
        </w:tc>
        <w:tc>
          <w:tcPr>
            <w:tcW w:w="420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shd w:val="clear" w:color="auto" w:fill="CFF0FC"/>
          </w:tcPr>
          <w:p>
            <w:pPr>
              <w:spacing w:after="0"/>
              <w:rPr>
                <w:sz w:val="11"/>
                <w:szCs w:val="11"/>
                <w:color w:val="auto"/>
              </w:rPr>
            </w:pPr>
          </w:p>
        </w:tc>
        <w:tc>
          <w:tcPr>
            <w:tcW w:w="3880" w:type="dxa"/>
            <w:vAlign w:val="bottom"/>
            <w:tcBorders>
              <w:bottom w:val="single" w:sz="8" w:color="auto"/>
              <w:right w:val="single" w:sz="8" w:color="auto"/>
            </w:tcBorders>
            <w:shd w:val="clear" w:color="auto" w:fill="CFF0FC"/>
          </w:tcPr>
          <w:p>
            <w:pPr>
              <w:spacing w:after="0"/>
              <w:rPr>
                <w:sz w:val="11"/>
                <w:szCs w:val="11"/>
                <w:color w:val="auto"/>
              </w:rPr>
            </w:pPr>
          </w:p>
        </w:tc>
        <w:tc>
          <w:tcPr>
            <w:tcW w:w="1500" w:type="dxa"/>
            <w:vAlign w:val="bottom"/>
            <w:tcBorders>
              <w:bottom w:val="single" w:sz="8" w:color="auto"/>
              <w:right w:val="single" w:sz="8" w:color="auto"/>
            </w:tcBorders>
            <w:shd w:val="clear" w:color="auto" w:fill="CFF0FC"/>
          </w:tcPr>
          <w:p>
            <w:pPr>
              <w:spacing w:after="0"/>
              <w:rPr>
                <w:sz w:val="11"/>
                <w:szCs w:val="11"/>
                <w:color w:val="auto"/>
              </w:rPr>
            </w:pPr>
          </w:p>
        </w:tc>
        <w:tc>
          <w:tcPr>
            <w:tcW w:w="4200" w:type="dxa"/>
            <w:vAlign w:val="bottom"/>
            <w:tcBorders>
              <w:bottom w:val="single" w:sz="8" w:color="auto"/>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 income for M&amp;T Bank Corporation (“M&amp;T”) in the second quarter of 2021 was $458 million, compared with $241 million in the similar quarter of 2020 and $447 million in the initial quarter of 2021. Diluted and basic earnings per common share were $3.41 in the recent quarter, $1.74 in the second quarter of 2020 and $3.33 in the first quarter of 2021. The after-tax impact of merger-related expenses was $3 million ($4 million pre-tax), or $.02 of basic and diluted earnings per common share in the recent quarter and $8 million ($10 million pre-tax), or $.06 of basic and diluted earnings per common share in the initial 2021 quarter. Such expenses were associated with M&amp;T’s pending acquisition of People’s United Financial, Inc. (“People’s United”), headquartered in Bridgeport, Connecticut, and consisted predominantly of professional services and printing costs associated with regulatory applications and filings and the production of the joint proxy/prospectus distributed to shareholders of M&amp;T and People’s United. There were no merger-related expenses in the first or second quarters of 2020. Net income aggregated $905 million or $6.73 of diluted and basic earnings per common share in the first six months of 2021, compared with $510 million or $3.67 of diluted and basic earnings per common share in the corresponding 2020 period.</w:t>
      </w:r>
    </w:p>
    <w:p>
      <w:pPr>
        <w:spacing w:after="0" w:line="7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each of the first two quarters of 2021 was 1.22%, compared with .71% in the second quarter of 2020. The annualized rate of return on average common shareholders’ equity was 11.55% in the recent quarter, 6.13% in the second quarter of 2020 and 11.57% in 2021’s initial quarter. During the six-month period ended June 30, 2021, the annualized rate of return on average assets and average common shareholders’ equity were 1.22% and 11.56%, respectively, compared with .80% and 6.56%, respectively, in the corresponding period of 2020.</w:t>
      </w:r>
    </w:p>
    <w:p>
      <w:pPr>
        <w:spacing w:after="0" w:line="8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On February 22, 2021, M&amp;T announced that it had entered into a definitive agreement with People’s United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to a new series of M&amp;T preferred stock upon completion of the acquisition. The transaction is valued at approximately $7.4 billion (with the price based on M&amp;T’s closing price of $145.31 per share as of June 30, 2021).</w:t>
      </w:r>
    </w:p>
    <w:p>
      <w:pPr>
        <w:spacing w:after="0" w:line="81"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As of June 30, 2021, People’s United reported $63.3 billion of assets, including $41.4 billion of loans and $10.6 billion of investment securities, $55.6 billion of liabilities, including $52.6 billion of deposits, and $7.7 billion of stockholders’ equity. The merger has been approved by the common shareholders of M&amp;T and People’s United, but remains subject to a number of conditions, including regulatory approvals. The merger is expected to be completed during the fourth quarter of 2021.</w:t>
      </w:r>
    </w:p>
    <w:p>
      <w:pPr>
        <w:spacing w:after="0" w:line="6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8"/>
          <w:szCs w:val="18"/>
          <w:color w:val="auto"/>
        </w:rPr>
        <w:t>Financial results during 2020 and through the second quarter of 2021 were adversely impacted by the Coronavirus Disease 2019 (“COVID-19”) pandemic. Large portions of the U.S. economy were substantially curtailed for extended periods of time and, as a result, many commercial and consumer customers were negatively impacted. Specifically, those adverse economic impacts resulted in the Company recognizing elevated levels of provisions for credit losses during 2020 that reflected projections of credit losses based on macroeconomic forecasts at the end of each quarter of that year. The Company recorded provisions for credit losses of $325 million and $575 million in the three months and six months ended June 30, 2020. An improvement in economic conditions and forecasts at June 30, 2021 and March 31, 2021 as compared with previous forecasts led the Company to recognize provision recaptures of $15 million and $25 million in the second and first quarters of 2021, respectively. In response to the pandemic, the Federal Reserve took actions to lower interest rates that have negatively affected the Company’s net interest income since the beginning of the pandemic.</w:t>
      </w:r>
    </w:p>
    <w:p>
      <w:pPr>
        <w:spacing w:after="0" w:line="4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On March 27, 2020, the Coronavirus Aid, Relief, and Economic Security Act (“CARES Act”) was signed into law. The CARES Act and applicable extensions provide relief to borrowers, including the opportunity to defer loan payments while not negatively affecting their credit standing, and also provided funding opportunities for small businesses under the Paycheck Protection Program (“PPP”) from approved Small Business Administration (“SBA”) lenders, including M&amp;T Bank, the principal bank subsidiary of M&amp;T. For commercial and consumer customers, the Company has provided a host of relief options, including payment deferrals (including maturity extensions), loan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21"/>
          <w:szCs w:val="21"/>
          <w:color w:val="auto"/>
        </w:rPr>
        <w:t>covenant waivers and low interest rate loan products. M&amp;T Bank funded approximately $7.0 billion of PPP loans during 2020 and another $2.9 billion during the first six months of 2021. PPP loans outstanding at June 30, 2021 and December 31, 2020 totaled $4.3 billion and $5.4 billion, respectively.</w:t>
      </w:r>
    </w:p>
    <w:p>
      <w:pPr>
        <w:spacing w:after="0" w:line="7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Updated economic forecasts at the end of each of the quarters of 2020 resulted in higher estimates of expected credit losses in the Company’s loan portfolio than at January 1, 2020, when the Company adopted amended accounting guidance for the measurement of credit losses on financial instruments, resulting in historically high levels of the provision for credit losses. Specifically, the level of the provision in 2020 reflected the ongoing impacts of the pandemic on economic activity in the hospitality and retail sectors, the uncertainty at December 31, 2020 as to the sufficiency and effectiveness of economic stimulus provided by the U.S. government to the economy, and concerns about ultimate collectability of real estate loans where borrowers requested re-payment forbearance. Improvement in the economic outlook at June 30, 2021 and March 31, 2021 resulted in reduced estimates of expected credit losses. Nevertheless, concerns remain about large sectors of the economy, including the hotel, healthcare and office space sectors, and possible threat of resurgence of spread of the COVID-19 virus. The Company expects that certain aspects of its businesses will continue to be negatively impacted by the COVID-19 pandemic after June 30, 2021.</w:t>
      </w:r>
    </w:p>
    <w:p>
      <w:pPr>
        <w:spacing w:after="0" w:line="62" w:lineRule="exact"/>
        <w:rPr>
          <w:sz w:val="20"/>
          <w:szCs w:val="20"/>
          <w:color w:val="auto"/>
        </w:rPr>
      </w:pPr>
    </w:p>
    <w:p>
      <w:pPr>
        <w:ind w:firstLine="464"/>
        <w:spacing w:after="0" w:line="247" w:lineRule="auto"/>
        <w:rPr>
          <w:sz w:val="20"/>
          <w:szCs w:val="20"/>
          <w:color w:val="auto"/>
        </w:rPr>
      </w:pPr>
      <w:r>
        <w:rPr>
          <w:rFonts w:ascii="Arial" w:cs="Arial" w:eastAsia="Arial" w:hAnsi="Arial"/>
          <w:sz w:val="21"/>
          <w:szCs w:val="21"/>
          <w:color w:val="auto"/>
        </w:rPr>
        <w:t>The national effort to mitigate the pandemic resulted in a challenging environment for businesses and their employees. The Company took actions designed to help maintain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40" w:hanging="368"/>
        <w:spacing w:after="0" w:line="253"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deployment of a Pandemic Response Plan to manage the pandemic’s effects on operations, employees and customers, including seeking to ensure employee safety, maintaining continuity of operations and service levels for customers, preserving the Company’s financial strength, and complying with applicable laws and regulations. Actions included placing restrictions on travel, implementing social distancing, health screening, sanitation and other protocols, and mandating for all employees whose jobs could be performed remotely to work from home where possible. In accordance with changes in Federal guidelines (e.g., the Centers for Disease Control and Prevention) and state and local regulations, the Company has recently begun to roll back certain of these measures;</w:t>
      </w:r>
    </w:p>
    <w:p>
      <w:pPr>
        <w:spacing w:after="0" w:line="3" w:lineRule="exact"/>
        <w:rPr>
          <w:rFonts w:ascii="Arial" w:cs="Arial" w:eastAsia="Arial" w:hAnsi="Arial"/>
          <w:sz w:val="20"/>
          <w:szCs w:val="20"/>
          <w:color w:val="auto"/>
        </w:rPr>
      </w:pPr>
    </w:p>
    <w:p>
      <w:pPr>
        <w:ind w:left="740" w:right="160" w:hanging="368"/>
        <w:spacing w:after="0" w:line="241" w:lineRule="auto"/>
        <w:tabs>
          <w:tab w:leader="none" w:pos="7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vast majority of the Company’s non-branch employees continue to work remotely, and the Company is continuing to develop its future operating model (e.g., onsite, hybrid and remote) in preparation for the eventual return of employees to the office;</w:t>
      </w:r>
    </w:p>
    <w:p>
      <w:pPr>
        <w:spacing w:after="0" w:line="1" w:lineRule="exact"/>
        <w:rPr>
          <w:rFonts w:ascii="Arial" w:cs="Arial" w:eastAsia="Arial" w:hAnsi="Arial"/>
          <w:sz w:val="21"/>
          <w:szCs w:val="21"/>
          <w:color w:val="auto"/>
        </w:rPr>
      </w:pPr>
    </w:p>
    <w:p>
      <w:pPr>
        <w:ind w:left="740" w:hanging="368"/>
        <w:spacing w:after="0"/>
        <w:tabs>
          <w:tab w:leader="none" w:pos="7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Nearly all M&amp;T Bank branches remain open, with open lobbies and normal access to drive-through windows and ATMs; and</w:t>
      </w:r>
    </w:p>
    <w:p>
      <w:pPr>
        <w:spacing w:after="0" w:line="24" w:lineRule="exact"/>
        <w:rPr>
          <w:rFonts w:ascii="Arial" w:cs="Arial" w:eastAsia="Arial" w:hAnsi="Arial"/>
          <w:sz w:val="19"/>
          <w:szCs w:val="19"/>
          <w:color w:val="auto"/>
        </w:rPr>
      </w:pPr>
    </w:p>
    <w:p>
      <w:pPr>
        <w:ind w:left="740" w:right="360" w:hanging="368"/>
        <w:spacing w:after="0" w:line="27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Many loan customers are still receiving COVID-19 related relief in various forms, including modification and forbearance requests as of June 30, 2021 as described herein and in note 4 of Notes to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53"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Net operating income totaled $463 million in the second quarter of 2021, compared with $244 million in the year-earlier quarter and $457 million in the initial 2021 quarter. Diluted net operating earnings per common share in the second quarters of 2021 and 2020 were $3.45 and $1.76, respectively, and $3.41 in the first quarter of 2021. For the first six months of 2021, net operating income and diluted net operating earnings per common share were $920 million and $6.84, respectively, compared with $516 million and $3.71, respectively, in the first half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4" w:name="page55"/>
    <w:bookmarkEnd w:id="54"/>
    <w:p>
      <w:pPr>
        <w:jc w:val="both"/>
        <w:ind w:firstLine="510"/>
        <w:spacing w:after="0" w:line="246" w:lineRule="auto"/>
        <w:rPr>
          <w:sz w:val="20"/>
          <w:szCs w:val="20"/>
          <w:color w:val="auto"/>
        </w:rPr>
      </w:pPr>
      <w:r>
        <w:rPr>
          <w:rFonts w:ascii="Arial" w:cs="Arial" w:eastAsia="Arial" w:hAnsi="Arial"/>
          <w:sz w:val="21"/>
          <w:szCs w:val="21"/>
          <w:color w:val="auto"/>
        </w:rPr>
        <w:t>Net operating income in the recent quarter expressed as an annualized rate of return on average tangible assets was 1.27%, compared with .74% in the second quarter of 2020 and 1.29% in the 2021’s first quarter. Net operating income represented an annualized return on average tangible common equity of 16.68% in the second quarter of 2021, 9.04% in the year-earlier quarter and 17.05% in the first quarter of 2021. For the first half of 2021, net operating income represented an annualized return on average tangible assets and average tangible common shareholders’ equity of 1.28% and 16.86%, respectively, compared with .84% and 9.71%, respectively, in the corresponding 2020 period.</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Taxable-equivalent net interest income was $946 million in the second quarter of 2021, compared with $961 million in the year-earlier quarter. That decrease reflects a 36 basis point (hundredths of one percent) narrowing of the net interest margin, or taxable-equivalent net interest income expressed as an annualized percentage of average earning assets, to 2.77% in the recent quarter from 3.13% in the second quarter of 2020. The narrowing of the net interest margin was largely the result of declines in rates earned on loans and deposits at the Federal Reserve Bank of New York, reflecting the lower interest rate environment due to actions initiated by the Federal Reserve to decrease its target Federal funds rate twice in March 2020 (first by .50%, then by another 1.0%). Average earning assets increased 11% to $137.0 billion in the second quarter of 2021 from $123.5 billion in the year-earlier quarter, reflecting $15.6 billion growth in low-yielding balances at the Federal Reserve Bank of New York, partially offset by a decline in average investment securities balances. The higher balances of low-yielding deposits at the Federal Reserve Bank of New York and lower yields on loans contributed significantly to the reduction in the net interest margin. Taxable-equivalent net interest income in the recent quarter declined $39 million, or 4%, from the first quarter of 2021. The main factor for that decline was a 20 basis point narrowing of the net interest margin in the recent quarter from 2.97% in the prior quarter that was also attributable to lower interest rates earned on loans and higher balances of low-yielding deposits held at the Federal Reserve Bank of New York. Average earning assets in the recent quarter increased $2.6 billion, or 2%, from the initial 2021 quarter.</w:t>
      </w:r>
    </w:p>
    <w:p>
      <w:pPr>
        <w:spacing w:after="0" w:line="69"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For the first six months of 2021, taxable-equivalent net interest income was $1.93 billion, down 1% from $1.94 billion in the corresponding 2020 period. The decrease was primarily attributable to a 50 basis point narrowing of the net interest margin to 2.87% in the 2021 period from 3.37% in the year-earlier period, offset by a $19.8 billion, or 17%, increase in average earning assets.</w:t>
      </w:r>
    </w:p>
    <w:p>
      <w:pPr>
        <w:spacing w:after="0" w:line="4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Average loans and leases totaled $98.6 billion in the second quarter of 2021, up $813 million or 1% from $97.8 billion in the similar quarter of 2020. Commercial loans and leases averaged $27.1 billion in the recent quarter, $2.7 billion or 9% lower than in the year-earlier quarter. That decline was largely the result of lower dealer floor plan balances, reflecting automobile production and inventory issues experienced by the industry, and subdued loan demand by commercial customers, in general. Average commercial real estate loans were $37.4 billion in the recent quarter, up $472 million, or 1%, from $36.9 billion in the corresponding 2020 quarter. Included in average commercial real estate loans in the second quarters of 2021 and 2020 were loans held for sale of $82 million and $287 million, respectively. Reflecting purchases of government-guaranteed loans from Ginnie Mae pools that were serviced by the Company, average residential real estate loans rose $1.4 billion, or 9%, to $17.0 billion in the second quarter of 2021 from $15.6 billion in the year-earlier quarter. The loans purchased from Ginnie Mae pools averaged $3.9 billion in the recent quarter, compared with $774 million in the year-earlier quarter. Loans are purchased to reduce associated servicing costs, namely a requirement to advance principal and interest payments that had not been received from individual mortgagors, including payments deferred under COVID-19 forbearance arrangements. Loans purchased from Ginnie Mae pools totaled $179 million in the recent quarter, $373 million in the second quarter of 2020 and $1.3 billion in the initial 2021 quarter. Also included in average residential real estate loans were loans held for sale of $685 million in the recent quarter and $406 million in the second quarter of 2020. Consumer loans averaged $17.1 billion in the second quarter of 2021 up $1.6 billion, or 10%, from $15.5 billion in the year-earlier quarter due to growth in average recreational finance loans (consisting predominantly of loans secured by recreational vehicles and boats) and, to a lesser extent, automobile loans that was partially offset by declines in outstanding balances of home equity loans and lines of credit.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jc w:val="both"/>
        <w:ind w:firstLine="510"/>
        <w:spacing w:after="0" w:line="257" w:lineRule="auto"/>
        <w:rPr>
          <w:sz w:val="20"/>
          <w:szCs w:val="20"/>
          <w:color w:val="auto"/>
        </w:rPr>
      </w:pPr>
      <w:r>
        <w:rPr>
          <w:rFonts w:ascii="Arial" w:cs="Arial" w:eastAsia="Arial" w:hAnsi="Arial"/>
          <w:sz w:val="20"/>
          <w:szCs w:val="20"/>
          <w:color w:val="auto"/>
        </w:rPr>
        <w:t>Average loan and lease balances in the second quarter of 2021 decreased $746 million, or 1%, from $99.4 billion in the first quarter of 2021. Commercial loan and lease average balances in the recent quarter decreased $668 million, or 2%, from the first quarter of 2021, primarily due to lower dealer floor plan loans. Average commercial real estate loans in the second quarter of 2021 declined $190 million from $37.6 billion in the first quarter of 2021. Commercial real estate loans held for sale averaged $258 million in the first quarter of 2021. Average balances of residential real estate loans in the recently completed quarter declined $382 million, or 2%, from $17.4 billion in 2021’s first quarter, predominantly reflecting the impact of loan repayments by customers. Purchased government-guaranteed loans averaged $3.8 billion in 2021’s first quarter. Residential real estate loans held for sale averaged $663 million in the first quarter of 2021. Average consumer loans in the recent quarter increased $494 million, or 3%, from $16.6 billion in 2021’s first quarter, reflecting growth in recreational finance and automobile loans. The accompanying table summarizes quarterly changes in the major components of the loan and lease portfolio.</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Percent Increase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2nd Qtr.</w:t>
            </w: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(Decrease) from</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2nd Qtr.</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rPr>
              <w:t>1st Qtr.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27,055</w:t>
            </w:r>
          </w:p>
        </w:tc>
        <w:tc>
          <w:tcPr>
            <w:tcW w:w="2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37,419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consumer</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17,114</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7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98,610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For the first six months of 2021, average loans and leases totaled $99.0 billion, up 4%, from $94.8 billion in the corresponding 2020 period. Contributing to the rise were $1.4 billion increases in each of average residential real estate loan balances (reflecting the repurchases of government-guaranteed loans) and consumer loan balances, a $1.0 billion increase in average commercial real estate balances and a $376 million increase in average commercial loan and lease balances.</w:t>
      </w:r>
    </w:p>
    <w:p>
      <w:pPr>
        <w:spacing w:after="0" w:line="6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The investment securities portfolio averaged $6.2 billion in the second quarter of 2021, down $2.3 billion, or 27%, from $8.5 billion in the year-earlier quarter and $394 million lower than the $6.6 billion averaged in the first quarter of 2021. For the first six months of 2021 and 2020, investment securities averaged $6.4 billion and $8.8 billion, respectively. The lower average balances in the recent periods reflect pay downs of mortgage-backed securities. There were no significant sales of investment securities during the first six months of 2021 or 2020. The Company purchased $200 million and $100 million of fixed rate residential mortgage-backed securities in the first and second quarters of 2021, respectively. There were no significant purchases of investment securities during the first six months of 2020. The Company routinely has increases and decreases in its holdings of capital stock of the Federal Home Loan Bank (“FHLB”) of New York and the Federal Reserve Bank of New York. Those holdings are accounted for at cost and are adjusted based on amounts of outstanding borrowings and available lines of credit with those entities.</w:t>
      </w:r>
    </w:p>
    <w:p>
      <w:pPr>
        <w:spacing w:after="0" w:line="5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21"/>
          <w:szCs w:val="21"/>
          <w:color w:val="auto"/>
        </w:rPr>
        <w:t>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7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Fair value changes in equity securities with readily determinable fair values are recognized in the consolidated statement of income. Net unrealized losses on such equity securities were $11 million and $12 million in the second and first quarters of 2021, respectively, compared with net unrealized gains of $7 million in the second quarter of 2020. Net unrealized losses for the first six months of 2021 and 2020 were $23 million and $14 million, respectively. Those gains and losses were predominantly related to the Company’s holdings of Fannie Mae and Freddie Mac preferred stock.</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six-month periods ended June 30, 2021 or 2020. Based on management’s assessment of future cash flows associated with individual investment securities as of June 30, 2021, the Company did not expect to incur any material credit-related losses in its portfolios of debt investment securities. Additional information about the investment securities portfolio is included in notes 3 and 12 of Notes to Financial Statements.</w:t>
      </w:r>
    </w:p>
    <w:p>
      <w:pPr>
        <w:spacing w:after="0" w:line="8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Other earning assets include interest-bearing deposits at the Federal Reserve Bank of New York and other banks, trading account assets, federal funds sold and agreements to resell securities. Those other earning assets in the aggregate averaged $32.1 billion in the second quarter of 2021, compared with $17.2 billion in the year-earlier quarter and $28.4 billion in the first quarter of 2021. Interest-bearing deposits at banks averaged $32.1 billion, $16.5 billion and $27.7 billion for the three months ended June 30, 2021, June 30, 2020 and March 31, 2021,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 The higher balances in the two most recent quarters compared with the year-earlier period reflect increased commercial and consumer deposit balances. Agreements to resell securities averaged $692 million and $678 million during the quarters ended, June 30, 2020 and March 31, 2021, respectively. There were no agreements to resell securities outstanding during the quarter ended June 30, 2021.</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As a result of the changes described herein, average earning assets totaled $137.0 billion in the most recent quarter, compared with $123.5 billion in the second quarter of 2020 and $134.4 billion in the initial 2021 quarter. Average earning assets totaled $135.7 billion and $115.9 billion during the first six months of 2021 and 2020, respectively.</w:t>
      </w:r>
    </w:p>
    <w:p>
      <w:pPr>
        <w:spacing w:after="0" w:line="7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$124.2 billion in the second quarter of 2021, compared with $106.1 billion in the similar 2020 quarter and $120.2 billion in the first quarter of 2021. The increase in average core deposits in the two most recent quarters as compared with the second quarter of 2020 reflected higher balances of noninterest-bearing deposits and savings and interest-checking deposits. Average balances of savings and interest-checking core deposits rose $8.9 billion or 15% to $67.9 billion in the second 2021 quarter from $59.0 billion in the year-earlier quarter. Average noninterest-bearing deposits increased $10.9 billion or 26% to $53.4 billion in the recent quarter from $42.5 billion in the second 2020 quarter. Those increases were largely due to higher average deposits of commercial and consumer customers. Average core deposits were $120.2 billion in the first quarter of 2021. Average savings and interest-checking core deposits increased $1.8 billion or 3% in the second 2021 quarter from $66.0 billion in the immediately preceding quarter. Average noninterest-bearing deposits in the recent quarter were $2.6 billion or 5% higher than the first quarter 2021 average of $50.9 billion, reflecting higher levels of liquidity being maintained by many commercial and consumer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ind w:right="1500"/>
        <w:spacing w:after="0" w:line="471" w:lineRule="auto"/>
        <w:rPr>
          <w:sz w:val="20"/>
          <w:szCs w:val="20"/>
          <w:color w:val="auto"/>
        </w:rPr>
      </w:pPr>
      <w:r>
        <w:rPr>
          <w:rFonts w:ascii="Arial" w:cs="Arial" w:eastAsia="Arial" w:hAnsi="Arial"/>
          <w:sz w:val="21"/>
          <w:szCs w:val="21"/>
          <w:color w:val="auto"/>
        </w:rPr>
        <w:t>customers. The following table provides an analysis of quarterly changes in the components of average core deposits. AVERAGE CORE DEPOSITS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2nd Qtr.</w:t>
            </w:r>
          </w:p>
        </w:tc>
        <w:tc>
          <w:tcPr>
            <w:tcW w:w="22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tcBorders>
              <w:top w:val="single" w:sz="8" w:color="auto"/>
            </w:tcBorders>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2nd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96"/>
              <w:spacing w:after="0" w:line="147" w:lineRule="exact"/>
              <w:rPr>
                <w:sz w:val="20"/>
                <w:szCs w:val="20"/>
                <w:color w:val="auto"/>
              </w:rPr>
            </w:pPr>
            <w:r>
              <w:rPr>
                <w:rFonts w:ascii="Arial" w:cs="Arial" w:eastAsia="Arial" w:hAnsi="Arial"/>
                <w:sz w:val="14"/>
                <w:szCs w:val="14"/>
                <w:b w:val="1"/>
                <w:bCs w:val="1"/>
                <w:color w:val="auto"/>
              </w:rPr>
              <w:t>1st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540" w:type="dxa"/>
            <w:vAlign w:val="bottom"/>
            <w:gridSpan w:val="4"/>
          </w:tcPr>
          <w:p>
            <w:pPr>
              <w:ind w:left="14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24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540" w:type="dxa"/>
            <w:vAlign w:val="bottom"/>
            <w:gridSpan w:val="2"/>
          </w:tcPr>
          <w:p>
            <w:pPr>
              <w:ind w:left="1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67,855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53,444</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124,246</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brokered deposits and, prior to June 30, 2021, deposits associated with the Company’s Cayman Islands office. Cayman Islands office deposits consisted predominantly of balances swept from lower-yielding commercial customer accounts. Time deposits over $250,000, excluding brokered deposits, averaged $411 million in the recent quarter, compared with $733 million in the second quarter of 2020 and $477 million in the initial 2021 quarter. The decreases in such deposits since the second quarter of 2020 were predominantly the result of maturities of higher-rate time deposits. Cayman Islands office deposits averaged $50 million for the quarter ended June 30, 2021, compared with $1.0 billion for the quarter ended June 30, 2020 and $683 million for the quarter ended March 31, 2021. During the recent quarter, the Company introduced a new interest-bearing sweep product (included in savings and interest-bearing deposits) that replaced the Eurodollar sweep product previously recorded as Cayman Islands office deposits. There were no outstanding deposits at the Cayman Islands office at June 30, 2021 and it is anticipated that the office will be closed in the near future. The Company had brokered savings and interest-bearing transaction accounts, which in the aggregate averaged $3.7 billion, $4.0 billion and $4.4 billion during the quarters-ended June 30, 2021, June 30, 2020 and March 31, 2021, respectively.</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The following table summarizes average total deposits for the quarters ended June 30, 2021, March 31, 2021 and June 30, 2020.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AVERAGE DEPOSITS</w:t>
      </w: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9"/>
              </w:rPr>
              <w:t>Retail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2"/>
              <w:spacing w:after="0" w:line="154" w:lineRule="exact"/>
              <w:rPr>
                <w:sz w:val="20"/>
                <w:szCs w:val="20"/>
                <w:color w:val="auto"/>
              </w:rPr>
            </w:pPr>
            <w:r>
              <w:rPr>
                <w:rFonts w:ascii="Arial" w:cs="Arial" w:eastAsia="Arial" w:hAnsi="Arial"/>
                <w:sz w:val="14"/>
                <w:szCs w:val="14"/>
                <w:b w:val="1"/>
                <w:bCs w:val="1"/>
                <w:color w:val="auto"/>
                <w:w w:val="97"/>
              </w:rPr>
              <w:t>Commercial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15,374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128,413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125,733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10,944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111,795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$61 million in the second quarter of 2021, compared with $63 million in the year-earlier quarter and $62 million in the initial quarter of 2021.</w:t>
      </w:r>
    </w:p>
    <w:p>
      <w:pPr>
        <w:spacing w:after="0" w:line="4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Long-term borrowings averaged $3.4 billion in the recent quarter, compared with $6.2 billion in the second quarter of 2020 and $3.9 billion in the first quarter of 2021. Average balances of outstanding senior notes were $2.4 billion, $4.1 billion and $2.5 billion during the three months ended June 30, 2021, June 30, 2020 and March 31, 2021, respectively. In January 2021, $350 million of variable rate senior notes of M&amp;T Bank matured. In July 2020, M&amp;T Bank redeemed $750 million of fixed rate senior notes and in December 2020 redeemed $650 million of fixed rate senior notes that were due to mature on January 25, 2021. Subordinated capital notes included in long-term borrowings averaged $500 million in the three-month period ended June 30, 2021, $1.4 billion in the three-month period ended June 30, 2020 and $828 million in the three-month period ended March 31, 2021. On March 1, 2021, M&amp;T Bank redeemed $500 million of subordinated capital notes that were due to mature on December 1, 2021, and during December 2020, $409 million of subordinated capital notes of M&amp;T Bank matured. Junior subordinated debentures associated with trust preferred securities that were included in average long-term borrowings were $529 million in each of the first two quarters of 2021 and $526 million during the second quarter of 2020. Additional information regarding junior subordinated debentures is provided in note 5 of Notes to Financial Statements.</w:t>
      </w:r>
    </w:p>
    <w:p>
      <w:pPr>
        <w:spacing w:after="0" w:line="8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Company has utilized interest rate swap agreements to modify the repricing characteristics of certain components of its loans and long-term debt. As of June 30, 2021, interest rate swap agreements were used as fair value hedges of approximately $1.65 billion of outstanding fixed rate long-term borrowings. Additionally, interest rate swap agreements with a notional amount of $17.35 billion were used as cash flow hedges of interest payments associated with variable rate commercial real estate loans. Further information on interest rate swap agreements is provided herein and in note 10 of Notes to Financial Statements.</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Changes in the composition of the Company’s earning assets and interest-bearing liabilities, as discussed herein, as well as changes in interest rates and spreads, can impact net interest income. Net interest spread, 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jc w:val="both"/>
        <w:spacing w:after="0" w:line="290" w:lineRule="auto"/>
        <w:rPr>
          <w:sz w:val="20"/>
          <w:szCs w:val="20"/>
          <w:color w:val="auto"/>
        </w:rPr>
      </w:pPr>
      <w:r>
        <w:rPr>
          <w:rFonts w:ascii="Arial" w:cs="Arial" w:eastAsia="Arial" w:hAnsi="Arial"/>
          <w:sz w:val="18"/>
          <w:szCs w:val="18"/>
          <w:color w:val="auto"/>
        </w:rPr>
        <w:t>difference between the taxable-equivalent yield on earning assets and the rate paid on interest-bearing liabilities, was 2.71% in the recent quarter, compared with 2.98% in the second 2020 quarter. The yield on earning assets during the second quarter of 2021 was 2.85%, down 53 basis points from 3.38% in the similar 2020 period, while the rate paid on interest-bearing liabilities declined 26 basis points to .14% in the recent quarter from .40% in the year-earlier period. In the first quarter of 2021, the net interest spread was 2.90%, the yield on earning assets was 3.08% and the rate paid on interest-bearing liabilities was .18%. The narrowing of the net interest spread in the two most recent quarters as compared with the second quarter of 2020 reflects the decreases in short-term interest rates initiated by the Federal Reserve during March 2020. For the first six months of 2021, the net interest spread was 2.80%, down 35 basis points from 3.15% in the year-earlier period. The yield on earning assets and the rate paid on interest-bearing liabilities for the first half of 2021 were 2.97% and .17%, respectively, compared with 3.75% and .60%, respectively, in the initial six months of 2020.</w:t>
      </w:r>
    </w:p>
    <w:p>
      <w:pPr>
        <w:spacing w:after="0" w:line="4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$58.5 billion in the second quarter of 2021, compared with $47.9 billion in the year-earlier quarter and $55.6 billion in the initial 2021 quarter. The increase in average net interest-free funds in the two most recent quarters as compared with the prior year quarter reflects higher average balances of noninterest-bearing deposits. During the first six months of 2021 and 2020, average net interest-free funds aggregated $57.0 billion and $43.1 billion, respectively. Shareholders’ equity averaged $16.6 billion during the three-month period ended June 30, 2021, $16.0 billion during the year-earlier period and $16.3 billion during the initial 2021 quarter. Goodwill and core deposit and other intangible assets averaged $4.6 billion in each of the two most recent quarters and in the quarter ended June 30, 2020. The cash surrender value of bank owned life insurance averaged $1.86 billion in each of the first two quarters of 2021, compared with $1.84 billion in the second quarter of 2020. Increases in the cash surrender value of bank owned life insurance and benefits received are not included in interest income, but rather are recorded in “other revenues from operations.” The contribution of net interest-free funds to net interest margin was .06% in the second quarter of 2021, compared with .15% and .07% in the second quarter of 2020 and the first quarter of 2021, respectively. The reduced contribution of net interest-free funds to net interest margin in the two most recent quarters as compared with the second quarter of 2020 reflects the lower rates on interest-bearing liabilities used to value net interest-free funds. The contribution of net interest-free funds in the first half of 2021 and 2020 was .07% and .22%, respectively.</w:t>
      </w:r>
    </w:p>
    <w:p>
      <w:pPr>
        <w:spacing w:after="0" w:line="6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net interest-free funds as described herein, the Company’s net interest margin was 2.77% in the second quarter of 2021, compared with 3.13% in the year-earlier period and 2.97% in the initial quarter of 2021. During the first six months of 2021 and 2020, the net interest margin was 2.87% and 3.37%,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$19.0 billion (excluding $14.9 billion of forward-starting swap agreements) at June 30, 2021, $16.4 billion (excluding $40.9 billion of forward-starting swap agreements) at June 30, 2020 and $19.0 billion (excluding $32.1 billion of forward-starting swap agreements) at December 31, 2020. Under the terms of those interest rate swap agreements, the Company received payments based on the outstanding notional amount at fixed rates and made payments at variable rates. At each of June 30, 2021 and December 31, 2020, interest rate swap agreements with notional amounts of $17.35 billion were serving as cash flow hedges of interest payments associated with variable rate commercial real estate loans, compared with $13.35 billion at June 30, 2020. Interest rate swap agreements with notional amounts of $1.65 billion at each of June 30, 2021 and December 31, 2020 and $3.05 billion at June 30, 2020 were serving as fair value hedges of fixed rate long-term borrowings. The Company has entered into forward-starting interest rate swap agreements predominantly to extend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21"/>
          <w:szCs w:val="21"/>
          <w:color w:val="auto"/>
        </w:rPr>
        <w:t>the term of its interest rate swap agreements serving as cash flow hedges, and provide a hedge against changing interest rates on certain of its variable rate loans.</w:t>
      </w:r>
    </w:p>
    <w:p>
      <w:pPr>
        <w:spacing w:after="0" w:line="6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June 30, 2021, June 30, 2020 and March 31, 2021 were not material to the Company’s consolidated results of operations. Information regarding the fair value of interest rate swap agreements and hedge ineffectiveness is presented in note 10 of Notes to Financial Statements. Information regarding the effective portion of cash flow hedges is presented in note 9 of Notes to Financial Statements. The changes in the fair values of the interest rate swap agreements and the hedged items primarily result from the effects of changing interest rates and spreads.</w:t>
      </w:r>
    </w:p>
    <w:p>
      <w:pPr>
        <w:spacing w:after="0" w:line="6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weighted-average rates to be received and paid under interest rate swap agreements currently in effect were 1.70% and .14%, respectively, at June 30, 2021.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ind w:left="232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Rate(a)</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Rate(a)</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60" w:type="dxa"/>
            <w:vAlign w:val="bottom"/>
            <w:gridSpan w:val="11"/>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66,611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69,153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(8,706)</w:t>
            </w:r>
          </w:p>
        </w:tc>
        <w:tc>
          <w:tcPr>
            <w:tcW w:w="7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(12,181)</w:t>
            </w:r>
          </w:p>
        </w:tc>
        <w:tc>
          <w:tcPr>
            <w:tcW w:w="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75,317</w:t>
            </w:r>
          </w:p>
        </w:tc>
        <w:tc>
          <w:tcPr>
            <w:tcW w:w="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81,334</w:t>
            </w: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19,000,000</w:t>
            </w: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16,400,000</w:t>
            </w:r>
          </w:p>
        </w:tc>
        <w:tc>
          <w:tcPr>
            <w:tcW w:w="4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jc w:val="center"/>
              <w:ind w:right="860"/>
              <w:spacing w:after="0"/>
              <w:rPr>
                <w:sz w:val="20"/>
                <w:szCs w:val="20"/>
                <w:color w:val="auto"/>
              </w:rPr>
            </w:pPr>
            <w:r>
              <w:rPr>
                <w:rFonts w:ascii="Arial" w:cs="Arial" w:eastAsia="Arial" w:hAnsi="Arial"/>
                <w:sz w:val="14"/>
                <w:szCs w:val="14"/>
                <w:b w:val="1"/>
                <w:bCs w:val="1"/>
                <w:color w:val="auto"/>
                <w:w w:val="93"/>
              </w:rPr>
              <w:t>Six Months Ended June 30</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9"/>
                <w:szCs w:val="19"/>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Rate(a)</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Rate(a)</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8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11"/>
          </w:tcPr>
          <w:p>
            <w:pPr>
              <w:jc w:val="center"/>
              <w:ind w:right="8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148,655</w:t>
            </w:r>
          </w:p>
        </w:tc>
        <w:tc>
          <w:tcPr>
            <w:tcW w:w="40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(17,353)</w:t>
            </w:r>
          </w:p>
        </w:tc>
        <w:tc>
          <w:tcPr>
            <w:tcW w:w="980" w:type="dxa"/>
            <w:vAlign w:val="bottom"/>
            <w:gridSpan w:val="5"/>
          </w:tcPr>
          <w:p>
            <w:pPr>
              <w:jc w:val="right"/>
              <w:ind w:right="17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(15,946)</w:t>
            </w:r>
          </w:p>
        </w:tc>
        <w:tc>
          <w:tcPr>
            <w:tcW w:w="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4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166,008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top w:val="single" w:sz="8" w:color="CFF0FC"/>
              <w:bottom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Average notional amount (c)</w:t>
            </w:r>
          </w:p>
        </w:tc>
        <w:tc>
          <w:tcPr>
            <w:tcW w:w="15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FF0FC"/>
            </w:tcBorders>
            <w:vMerge w:val="continue"/>
          </w:tcPr>
          <w:p>
            <w:pPr>
              <w:spacing w:after="0"/>
              <w:rPr>
                <w:sz w:val="21"/>
                <w:szCs w:val="21"/>
                <w:color w:val="auto"/>
              </w:rPr>
            </w:pPr>
          </w:p>
        </w:tc>
        <w:tc>
          <w:tcPr>
            <w:tcW w:w="1420" w:type="dxa"/>
            <w:vAlign w:val="bottom"/>
            <w:tcBorders>
              <w:bottom w:val="single" w:sz="8" w:color="CFF0FC"/>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18,911,602</w:t>
            </w:r>
          </w:p>
        </w:tc>
        <w:tc>
          <w:tcPr>
            <w:tcW w:w="4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CFF0FC"/>
            </w:tcBorders>
          </w:tcPr>
          <w:p>
            <w:pPr>
              <w:spacing w:after="0"/>
              <w:rPr>
                <w:sz w:val="21"/>
                <w:szCs w:val="21"/>
                <w:color w:val="auto"/>
              </w:rPr>
            </w:pPr>
          </w:p>
        </w:tc>
        <w:tc>
          <w:tcPr>
            <w:tcW w:w="40" w:type="dxa"/>
            <w:vAlign w:val="bottom"/>
            <w:tcBorders>
              <w:top w:val="single" w:sz="8" w:color="auto"/>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16,525,275</w:t>
            </w:r>
          </w:p>
        </w:tc>
        <w:tc>
          <w:tcPr>
            <w:tcW w:w="2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620" w:type="dxa"/>
            <w:vAlign w:val="bottom"/>
            <w:tcBorders>
              <w:top w:val="single" w:sz="8" w:color="auto"/>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Rate paid (b)</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9" w:lineRule="exact"/>
        <w:rPr>
          <w:rFonts w:ascii="Arial" w:cs="Arial" w:eastAsia="Arial" w:hAnsi="Arial"/>
          <w:sz w:val="18"/>
          <w:szCs w:val="18"/>
          <w:i w:val="1"/>
          <w:iCs w:val="1"/>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21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1" w:name="page62"/>
    <w:bookmarkEnd w:id="61"/>
    <w:p>
      <w:pPr>
        <w:jc w:val="both"/>
        <w:ind w:firstLine="510"/>
        <w:spacing w:after="0" w:line="249" w:lineRule="auto"/>
        <w:rPr>
          <w:sz w:val="20"/>
          <w:szCs w:val="20"/>
          <w:color w:val="auto"/>
        </w:rPr>
      </w:pPr>
      <w:r>
        <w:rPr>
          <w:rFonts w:ascii="Arial" w:cs="Arial" w:eastAsia="Arial" w:hAnsi="Arial"/>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June 30, 2021 and December 31, 2020, long-term borrowings aggregated $3.5 billion and $4.4 billion, respectively.</w:t>
      </w:r>
    </w:p>
    <w:p>
      <w:pPr>
        <w:spacing w:after="0" w:line="60"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Prior to June 2021, Cayman Islands office deposits were used by some customers of the Company as an alternative to other deposit and investment products. Cayman Islands office deposits totaled $868 million at June 30, 2020 and $652 million at December 31, 2020. At June 30, 2021, there were no Cayman Islands office deposits outstanding. The Company no longer offers deposits at the Cayman Islands office but, as previously noted, now offers an interest-bearing sweep product to commercial customers through its domestic branches. The Company has also benefited from the placement of brokered deposits. The Company had brokered savings and interest-bearing checking deposit accounts which aggregated approximately $4.1 billion at June 30, 2021, $4.0 billion at June 30, 2020 and $4.5 billion at December 31, 2020. Brokered time deposits were not a significant source of funding as of those dates.</w:t>
      </w:r>
    </w:p>
    <w:p>
      <w:pPr>
        <w:spacing w:after="0" w:line="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2" w:name="page63"/>
    <w:bookmarkEnd w:id="62"/>
    <w:p>
      <w:pPr>
        <w:jc w:val="both"/>
        <w:ind w:firstLine="510"/>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June 30, 2021 or December 31, 2020. The total amount of VRDBs outstanding backed by M&amp;T Bank letters of credit was $725 million at each of June 30, 2021 and December 31, 2020, compared with $861 million at June 30, 2020. M&amp;T Bank also serves as remarketing agent for most of those bonds.</w:t>
      </w:r>
    </w:p>
    <w:p>
      <w:pPr>
        <w:spacing w:after="0" w:line="7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3"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2021 approximately $1.2 billion was available for payment of dividends to M&amp;T from bank subsidiaries. M&amp;T also may obtain funding through long-term borrowings. Outstanding senior notes of M&amp;T at June 30, 2021 and December 31, 2020 were $775 million and $783 million, respectively. Junior subordinated debentures of M&amp;T associated with trust preferred securities outstanding at June 30, 2021 and December 31, 2020 totaled $530 million and $528 million, respectively.</w:t>
      </w:r>
    </w:p>
    <w:p>
      <w:pPr>
        <w:spacing w:after="0" w:line="57"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4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2021, the aggregate notional amount of interest rate swap agreements entered into for risk management purposes that were currently in effect was $19.0 billion. In addition, the Company has entered into $14.9 billion of forward-starting interest rate swap agreements.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3" w:name="page64"/>
    <w:bookmarkEnd w:id="63"/>
    <w:p>
      <w:pPr>
        <w:jc w:val="both"/>
        <w:ind w:firstLine="510"/>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accompanying table as of June 30, 2021 and December 31, 2020 displays the estimated impact on net interest income in the base scenario described above resulting from parallel changes in interest rates across repricing categories during the first modeling year.</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Calculated Increase (Decrease)</w:t>
            </w:r>
          </w:p>
        </w:tc>
      </w:tr>
      <w:tr>
        <w:trPr>
          <w:trHeight w:val="17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jc w:val="center"/>
              <w:ind w:right="13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200" w:type="dxa"/>
            <w:vAlign w:val="bottom"/>
          </w:tcPr>
          <w:p>
            <w:pPr>
              <w:spacing w:after="0"/>
              <w:rPr>
                <w:sz w:val="18"/>
                <w:szCs w:val="18"/>
                <w:color w:val="auto"/>
              </w:rPr>
            </w:pPr>
          </w:p>
        </w:tc>
        <w:tc>
          <w:tcPr>
            <w:tcW w:w="1500" w:type="dxa"/>
            <w:vAlign w:val="bottom"/>
          </w:tcPr>
          <w:p>
            <w:pPr>
              <w:jc w:val="right"/>
              <w:ind w:right="480"/>
              <w:spacing w:after="0"/>
              <w:rPr>
                <w:sz w:val="20"/>
                <w:szCs w:val="20"/>
                <w:color w:val="auto"/>
              </w:rPr>
            </w:pPr>
            <w:r>
              <w:rPr>
                <w:rFonts w:ascii="Arial" w:cs="Arial" w:eastAsia="Arial" w:hAnsi="Arial"/>
                <w:sz w:val="14"/>
                <w:szCs w:val="14"/>
                <w:b w:val="1"/>
                <w:bCs w:val="1"/>
                <w:color w:val="auto"/>
              </w:rPr>
              <w:t>June 30, 2021</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2"/>
          </w:tcPr>
          <w:p>
            <w:pPr>
              <w:jc w:val="center"/>
              <w:ind w:right="11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r>
      <w:tr>
        <w:trPr>
          <w:trHeight w:val="273"/>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479,026</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324,684</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00" w:type="dxa"/>
            <w:vAlign w:val="bottom"/>
          </w:tcPr>
          <w:p>
            <w:pPr>
              <w:spacing w:after="0"/>
              <w:rPr>
                <w:sz w:val="19"/>
                <w:szCs w:val="19"/>
                <w:color w:val="auto"/>
              </w:rPr>
            </w:pPr>
          </w:p>
        </w:tc>
        <w:tc>
          <w:tcPr>
            <w:tcW w:w="1500" w:type="dxa"/>
            <w:vAlign w:val="bottom"/>
          </w:tcPr>
          <w:p>
            <w:pPr>
              <w:jc w:val="right"/>
              <w:ind w:right="200"/>
              <w:spacing w:after="0"/>
              <w:rPr>
                <w:sz w:val="20"/>
                <w:szCs w:val="20"/>
                <w:color w:val="auto"/>
              </w:rPr>
            </w:pPr>
            <w:r>
              <w:rPr>
                <w:rFonts w:ascii="Arial" w:cs="Arial" w:eastAsia="Arial" w:hAnsi="Arial"/>
                <w:sz w:val="18"/>
                <w:szCs w:val="18"/>
                <w:color w:val="auto"/>
              </w:rPr>
              <w:t>269,062</w:t>
            </w:r>
          </w:p>
        </w:tc>
        <w:tc>
          <w:tcPr>
            <w:tcW w:w="1480" w:type="dxa"/>
            <w:vAlign w:val="bottom"/>
          </w:tcPr>
          <w:p>
            <w:pPr>
              <w:jc w:val="right"/>
              <w:spacing w:after="0"/>
              <w:rPr>
                <w:sz w:val="20"/>
                <w:szCs w:val="20"/>
                <w:color w:val="auto"/>
              </w:rPr>
            </w:pPr>
            <w:r>
              <w:rPr>
                <w:rFonts w:ascii="Arial" w:cs="Arial" w:eastAsia="Arial" w:hAnsi="Arial"/>
                <w:sz w:val="18"/>
                <w:szCs w:val="18"/>
                <w:color w:val="auto"/>
              </w:rPr>
              <w:t>182,661</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(92,742)</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(61,792)</w:t>
            </w:r>
          </w:p>
        </w:tc>
      </w:tr>
    </w:tbl>
    <w:p>
      <w:pPr>
        <w:spacing w:after="0" w:line="9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2" w:lineRule="exact"/>
        <w:rPr>
          <w:sz w:val="20"/>
          <w:szCs w:val="20"/>
          <w:color w:val="auto"/>
        </w:rPr>
      </w:pPr>
    </w:p>
    <w:p>
      <w:pPr>
        <w:jc w:val="both"/>
        <w:ind w:firstLine="510"/>
        <w:spacing w:after="0" w:line="315"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12 of Notes to Financial Statements.</w:t>
      </w:r>
    </w:p>
    <w:p>
      <w:pPr>
        <w:spacing w:after="0" w:line="22"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4" w:name="page65"/>
    <w:bookmarkEnd w:id="64"/>
    <w:p>
      <w:pPr>
        <w:jc w:val="both"/>
        <w:spacing w:after="0" w:line="246" w:lineRule="auto"/>
        <w:rPr>
          <w:sz w:val="20"/>
          <w:szCs w:val="20"/>
          <w:color w:val="auto"/>
        </w:rPr>
      </w:pPr>
      <w:r>
        <w:rPr>
          <w:rFonts w:ascii="Arial" w:cs="Arial" w:eastAsia="Arial" w:hAnsi="Arial"/>
          <w:sz w:val="21"/>
          <w:szCs w:val="21"/>
          <w:color w:val="auto"/>
        </w:rPr>
        <w:t>included in the trading account. The fair values of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81"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8"/>
          <w:szCs w:val="18"/>
          <w:color w:val="auto"/>
        </w:rPr>
        <w:t>The notional amounts of interest rate contracts entered into for trading account purposes totaled $35.3 billion at June 30, 2021, $37.1 billion at June 30, 2020 and $37.8 billion at December 31, 2020. The notional amounts of foreign currency and other option and futures contracts entered into for trading account purposes were $938 million at June 30, 2021, compared with $1.0 billion at June 30, 2020 and $776 million at December 31, 2020.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$713 million and $101 million, respectively, at June 30, 2021 and $1.1 billion and $117 million, respectively, at December 31, 2020. The fair value asset and liability amounts at June 30, 2021 have been reduced by contractual settlements of $33 million and $503 million, respectively, and at December 31, 2020 have been reduced by contractual settlements of $6 million and $806 million, respectively. The lower balance of trading account assets at June 30, 2021 as compared with December 31, 2020 was largely the result of decreased values associated with interest rate swap agreements entered into with commercial customers that are not subject to periodic variation margin settlement payments. Included in trading account assets were assets related to deferred compensation plans aggregating $21 million at each of June 30, 2021 and December 31, 2020, compared with $20 million June 30, 2020. Changes in the fair values of such assets are recorded as “trading account and foreign exchange gains” in the consolidated statement of income. Included in “other liabilities” in the consolidated balance sheet at each of June 30, 2021 and December 31, 2020 were $24 million of liabilities related to deferred compensation plans, compared with $23 million at June 30, 2020.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each of June 30, 2021, June 30, 2020 and December 31, 2020.</w:t>
      </w:r>
    </w:p>
    <w:p>
      <w:pPr>
        <w:spacing w:after="0" w:line="52"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5" w:name="page66"/>
    <w:bookmarkEnd w:id="65"/>
    <w:p>
      <w:pPr>
        <w:spacing w:after="0"/>
        <w:rPr>
          <w:sz w:val="20"/>
          <w:szCs w:val="20"/>
          <w:color w:val="auto"/>
        </w:rPr>
      </w:pPr>
      <w:r>
        <w:rPr>
          <w:rFonts w:ascii="Arial" w:cs="Arial" w:eastAsia="Arial" w:hAnsi="Arial"/>
          <w:sz w:val="21"/>
          <w:szCs w:val="21"/>
          <w:b w:val="1"/>
          <w:bCs w:val="1"/>
          <w:color w:val="auto"/>
        </w:rPr>
        <w:t>Provision for Credit Losses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provision for (or recapture of) credit losses is recorded to adjust the level of the allowance to reflect expected credit losses that are based on economic forecasts as of each reporting date. Provision for credit loss recaptures were recorded in the second and first quarters of 2021 for $15 million and $25 million, respectively, compared with a provision for credit losses of $325 million that was recorded in the second quarter of 2020. The provision (or recapture) in each quarter adjusts the allowance for credit losses to reflect expected losses that are based on macroeconmic forecasts as of each quarter-end date. The Company’s estimates of expected losses reflect the ongoing impacts of the COVID-19 pandemic on economic activity. Net charge-offs of loans were $46 million in the recent quarter, $71 million in the second quarter of 2020 and $75 million in the first quarter of 2021. Net charge-offs as an annualized percentage of average loans and leases were .19% in the second quarter of 2021, .29% in the year-earlier quarter and .31% in the initial quarter of 2021. Net charge-offs for the six-month periods ended June 30, 2021 and 2020 were $121 million and $120 million, respectively, representing an annualized .25% and .26%, respectively, of average loans and leases. A summary of net charge-offs by loan type is presented in the table that follows.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Second</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Year-</w:t>
            </w:r>
          </w:p>
        </w:tc>
        <w:tc>
          <w:tcPr>
            <w:tcW w:w="80" w:type="dxa"/>
            <w:vAlign w:val="bottom"/>
          </w:tcPr>
          <w:p>
            <w:pPr>
              <w:spacing w:after="0"/>
              <w:rPr>
                <w:sz w:val="11"/>
                <w:szCs w:val="11"/>
                <w:color w:val="auto"/>
              </w:rPr>
            </w:pPr>
          </w:p>
        </w:tc>
      </w:t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Quarter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to-date</w:t>
            </w:r>
          </w:p>
        </w:tc>
      </w:tr>
      <w:tr>
        <w:trPr>
          <w:trHeight w:val="238"/>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377"/>
        </w:trPr>
        <w:tc>
          <w:tcPr>
            <w:tcW w:w="60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4,434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29,242</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33,676</w:t>
            </w:r>
          </w:p>
        </w:tc>
        <w:tc>
          <w:tcPr>
            <w:tcW w:w="80" w:type="dxa"/>
            <w:vAlign w:val="bottom"/>
          </w:tcPr>
          <w:p>
            <w:pPr>
              <w:spacing w:after="0"/>
              <w:rPr>
                <w:sz w:val="24"/>
                <w:szCs w:val="24"/>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54,092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11,330</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65,422</w:t>
            </w:r>
          </w:p>
        </w:tc>
        <w:tc>
          <w:tcPr>
            <w:tcW w:w="8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126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(149)</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16,289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5,655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21,944</w:t>
            </w:r>
          </w:p>
        </w:tc>
        <w:tc>
          <w:tcPr>
            <w:tcW w:w="80" w:type="dxa"/>
            <w:vAlign w:val="bottom"/>
          </w:tcPr>
          <w:p>
            <w:pPr>
              <w:spacing w:after="0"/>
              <w:rPr>
                <w:sz w:val="19"/>
                <w:szCs w:val="19"/>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75,181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right"/>
              <w:ind w:right="400"/>
              <w:spacing w:after="0" w:line="133"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w w:val="90"/>
              </w:rPr>
              <w:t>Second</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Year-</w:t>
            </w:r>
          </w:p>
        </w:tc>
        <w:tc>
          <w:tcPr>
            <w:tcW w:w="80" w:type="dxa"/>
            <w:vAlign w:val="bottom"/>
          </w:tcPr>
          <w:p>
            <w:pPr>
              <w:spacing w:after="0"/>
              <w:rPr>
                <w:sz w:val="11"/>
                <w:szCs w:val="11"/>
                <w:color w:val="auto"/>
              </w:rPr>
            </w:pPr>
          </w:p>
        </w:tc>
      </w:t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Quarter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to-date</w:t>
            </w:r>
          </w:p>
        </w:tc>
      </w:tr>
      <w:tr>
        <w:trPr>
          <w:trHeight w:val="225"/>
        </w:trPr>
        <w:tc>
          <w:tcPr>
            <w:tcW w:w="6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5"/>
              </w:rPr>
              <w:t>(In thousands)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47"/>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13,122</w:t>
            </w: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29,235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42,357</w:t>
            </w:r>
          </w:p>
        </w:tc>
        <w:tc>
          <w:tcPr>
            <w:tcW w:w="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16,458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8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3,428</w:t>
            </w:r>
          </w:p>
        </w:tc>
        <w:tc>
          <w:tcPr>
            <w:tcW w:w="140" w:type="dxa"/>
            <w:vAlign w:val="bottom"/>
          </w:tcPr>
          <w:p>
            <w:pPr>
              <w:spacing w:after="0"/>
              <w:rPr>
                <w:sz w:val="19"/>
                <w:szCs w:val="19"/>
                <w:color w:val="auto"/>
              </w:rPr>
            </w:pP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(279)</w:t>
            </w:r>
          </w:p>
        </w:tc>
        <w:tc>
          <w:tcPr>
            <w:tcW w:w="680" w:type="dxa"/>
            <w:vAlign w:val="bottom"/>
          </w:tcPr>
          <w:p>
            <w:pPr>
              <w:jc w:val="right"/>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31,778</w:t>
            </w: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57,494</w:t>
            </w:r>
          </w:p>
        </w:tc>
        <w:tc>
          <w:tcPr>
            <w:tcW w:w="8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49,162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71,130</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120,292</w:t>
            </w:r>
          </w:p>
        </w:tc>
        <w:tc>
          <w:tcPr>
            <w:tcW w:w="8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The increased levels of net charge-offs of commercial loans in the second quarter of 2021 were associated with loans to borrowers in various sectors that have been negatively impacted by the COVID-19 pandemic. The higher levels of net charge-offs of commercial real estate loans in the first quarter of 2021 reflect the impact of the pandemic on borrowers’ abilities to repay loans associated with the retail, office building and hospitality sectors. Included in net charge-offs of consumer loans were: net recoveries of automobile loans of $2 million in the recent quarter, compared with net charge-offs of $9 million in the second quarter of 2020 and $2 million in the initial quarter of 2021; net charge-offs of recreational finance loans of $1 million in the second quarter of 2021, $5 million in the year-earlier quarter and $7 million in the first 2021 quarter; and net recoveries of home equity loans and lines of credit secured by one-to-four family residential properties of less than $1 million in each of the first two quarters of 2021, compared with net charge-offs of less than $1 million in last year’s second quarter.</w:t>
      </w:r>
    </w:p>
    <w:p>
      <w:pPr>
        <w:spacing w:after="0" w:line="7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Nonaccrual loans aggregated $2.24 billion or 2.31% of total loans and leases outstanding at June 30, 2021, compared with $1.16 billion or 1.18% at June 30, 2020, $1.89 billion or 1.92% at December 31, 2020 and $1.96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6" w:name="page67"/>
    <w:bookmarkEnd w:id="66"/>
    <w:p>
      <w:pPr>
        <w:jc w:val="both"/>
        <w:spacing w:after="0" w:line="252" w:lineRule="auto"/>
        <w:rPr>
          <w:sz w:val="20"/>
          <w:szCs w:val="20"/>
          <w:color w:val="auto"/>
        </w:rPr>
      </w:pPr>
      <w:r>
        <w:rPr>
          <w:rFonts w:ascii="Arial" w:cs="Arial" w:eastAsia="Arial" w:hAnsi="Arial"/>
          <w:sz w:val="21"/>
          <w:szCs w:val="21"/>
          <w:color w:val="auto"/>
        </w:rPr>
        <w:t>billion or 1.97% at March 31, 2021. The higher level of nonaccrual loans at the three most recent quarter-ends as compared with June 30, 2020 reflects the continuing impact of the pandemic on borrowers’ ability to make contractual payments on their loans, most notably loans in the hospitality sector.</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8"/>
          <w:szCs w:val="18"/>
          <w:color w:val="auto"/>
        </w:rPr>
        <w:t>Accruing loans past due 90 days or more were $1.08 billion or 1.11% of loans and leases at June 30, 2021, compared with $536 million or .55% at June 30, 2020, $859 million or .87% at December 31, 2020 and $1.08 billion or 1.09% at March 31, 2021. Accruing loans past due 90 days or more included loans guaranteed by government-related entities of $1.03 billion, $454 million, $798 million, $1.04 billion at June 30, 2021, June 30, 2020, December 31, 2020 and March 31, 2021, respectively. Guaranteed loans included one-to-four family residential mortgage loans serviced by the Company that were 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$1.00 billion at June 30, 2021, $428 million a year earlier, $764 million at December 31, 2020 and $1.01 billion at March 31, 2021. The remaining accruing loans past due 90 days or more not guaranteed by government-related entities were loans considered to be with creditworthy borrowers that were in the process of collection or renewal. In addition to the past due loans, the Company also has $2.0 billion of government-guaranteed residential mortgage loans that are not considered delinquent because the borrower has requested and received a COVID-19 related payment deferral. In general, those loans were also purchased to reduce associated servicing costs as described above and also remain covered by the insurance or guarantee of the applicable government-related entity, but are not considered to be past due in accordance with the accounting treatment afforded under the CARES Act and related regulatory and financial accounting guidance as described below and in note 1 of Notes to Financial Statements in M&amp;T’s 2020 Annual Report.</w:t>
      </w:r>
    </w:p>
    <w:p>
      <w:pPr>
        <w:spacing w:after="0" w:line="5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Loans that were 30-89 days past due were $640 million at June 30, 2021, compared with $618 million at June 30, 2020, $662 million at December 31, 2020 and $692 million at March 31, 2021. COVID-19 related payment deferral modifications of loans are classified as current in accordance with regulatory guidance and, as a result, did not contribute in incremental additions to loans categorized as 30-89 days past due.</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United States has been operating under a state of emergency related to the COVID-19 pandemic since March 13, 2020. The direct and indirect effects of the COVID-19 pandemic resulted in a dramatic reduction in economic activity that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delinquent or as troubled debt restructurings. Modifications may include payment deferrals (including extensions of maturity dates), covenant waivers and fee waivers. The Company has worked with its customers affected by COVID-19 and, as previously noted, has granted modifications across many of its loan portfolios. To the extent that such modifications met the criteria previously described, such modifications have not been classified as delinquent or as troubled debt restructurings. A summary of loans for which COVID-19 forbearances have been granted and which are not considered impaired or past due is presented herein and in note 4 of Notes to Financial Statements.</w:t>
      </w:r>
    </w:p>
    <w:p>
      <w:pPr>
        <w:spacing w:after="0" w:line="6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or that did not meet the criteria for a COVID-19 modification under the CARES Act. If the borrower was experiencing financial difficulty and a concession was granted, the Company considered such modifications as troubled debt restructurings. Loan modifications included such actions as the extension of loan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21"/>
          <w:szCs w:val="21"/>
          <w:color w:val="auto"/>
        </w:rPr>
        <w:t>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76"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$525 million, $188 million, $342 million and $417 million at June 30, 2021, June 30, 2020, December 31, 2020 and March 31, 2021, respectively.</w:t>
      </w:r>
    </w:p>
    <w:p>
      <w:pPr>
        <w:spacing w:after="0" w:line="8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Commercial loans and leases classified as nonaccrual totaled $330 million, $285 million, $307 million and $295 million at June 30, 2021, June 30, 2020, December 31, 2020 and March 31, 2021, respectively. Commercial real estate loans in nonaccrual status aggregated $1.23 billion, $260 million, $891 million and $952 million at June 30, 2021, June 30, 2020, December 31, 2020 and March 31, 2021, respectively. The increases in commercial real estate loans in nonaccrual status at the three most recent quarter-ends as compared with March 31, 2020 were largely due to the addition of $530 million of hotel loans in the second half of 2020. The increase from March 31, 2021 to June 30, 2021 includes $221 million of additional hotel loans. Hotel-related commercial real estate-related loans (including construction) in nonaccrual status at June 30, 2021, June 30, 2020, December 31, 2020 and March 31, 2021 were $815 million, $5 million, $607 million and $597 million, respectively.</w:t>
      </w:r>
    </w:p>
    <w:p>
      <w:pPr>
        <w:spacing w:after="0" w:line="7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Nonaccrual residential real estate loans totaled $509 million at June 30, 2021, compared with $426 million at June 30, 2020, $513 million at December 31, 2020 and $529 million at March 31, 2021. The increases at the three most recent quarter-ends as compared with June 30, 2020 were largely reflective of the effect of recent economic conditions on borrowers. Included in residential real estate loans classified as nonaccrual were limited documentation first mortgage loans of $137 million at June 30, 2021, compared with $119 million at June 30, 2020, $147 million at December 31, 2020, and $143 million at March 31, 2021.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$1.03 billion at June 30, 2021, compared with $479 million at June 30, 2020, $793 million at December 31, 2020 and $1.04 billion at March 31, 2021. Those amounts related to government-guaranteed loans as previously noted. Information about the location of nonaccrual and charged-off residential real estate loans as of and for the quarter ended June 30, 2021 is presented in the accompanying table.</w:t>
      </w:r>
    </w:p>
    <w:p>
      <w:pPr>
        <w:spacing w:after="0" w:line="67"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Nonaccrual consumer loans were $173 million at June 30, 2021, compared with $187 million at June 30, 2020, $183 million at December 31, 2020 and $182 million at June 30, 2021. Included in nonaccrual consumer loans at June 30, 2021, June 30, 2020, December 31, 2020 and March 31, 2021 were: automobile loans of $31 million, $43 million, $39 million, and $38 million, respectively; recreational finance loans of $23 million, $24 million, and $26 million, and $27 million respectively; and outstanding balances of home equity loans and lines of credit of $77 million, $77 million, $79 million, and $79 million respectively. Information about the location of nonaccrual and charged-off home equity loans and lines of credit as of and for the quarter ended June 30, 2021 is presented in the accompanying table.</w:t>
      </w:r>
    </w:p>
    <w:p>
      <w:pPr>
        <w:spacing w:after="0" w:line="8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past due and nonaccrual loans as of June 30, 2021 and December 31, 2020 is also included in note 4 of Notes to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8"/>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June 30, 2021</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4"/>
              </w:rPr>
              <w:t>June 30,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3"/>
                <w:szCs w:val="13"/>
                <w:b w:val="1"/>
                <w:bCs w:val="1"/>
                <w:color w:val="auto"/>
              </w:rPr>
              <w:t>Nonaccrual</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3"/>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99"/>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Balances</w:t>
            </w: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1"/>
              </w:rPr>
              <w:t>Balances</w:t>
            </w: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5,044,182</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139,796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2.77%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1,053,496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15,887</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1,418,956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16,475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2,525,779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95,114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1,218,787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19,854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(48)</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3,948,189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84,638</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(51)</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15,209,389</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371,764</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2.44%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53</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19,067</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.77%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7,400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17,384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5,731</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68,126</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380</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.56%</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651,697</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63,120</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9.69%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17,065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(54)</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524,883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40,883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14,289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190,101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(178)</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1,427,436</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136,683</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9.58%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(202)</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955,313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17,236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1.80%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241</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579,174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10,329</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467,532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12,254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72,137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166,101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27,266</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2,267,523</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44,575</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1.97%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417</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561,979</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14,727</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2.62%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(309)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193,005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(260)</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372,936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9,433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(130)</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90,806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176,120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3,650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39,214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(75)</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1,434,060</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31,914</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2.23%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(722)</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391</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5.37%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(65)</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3,962</w:t>
            </w: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222</w:t>
            </w:r>
          </w:p>
        </w:tc>
        <w:tc>
          <w:tcPr>
            <w:tcW w:w="300" w:type="dxa"/>
            <w:vAlign w:val="bottom"/>
          </w:tcPr>
          <w:p>
            <w:pPr>
              <w:spacing w:after="0"/>
              <w:rPr>
                <w:sz w:val="13"/>
                <w:szCs w:val="13"/>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5.60%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(69)</w:t>
            </w:r>
          </w:p>
        </w:tc>
        <w:tc>
          <w:tcPr>
            <w:tcW w:w="300" w:type="dxa"/>
            <w:vAlign w:val="bottom"/>
            <w:vMerge w:val="continue"/>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700" w:hanging="69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Includes Delaware, Virginia, West Virginia and the District of Columbia.</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9" w:name="page70"/>
    <w:bookmarkEnd w:id="69"/>
    <w:p>
      <w:pPr>
        <w:jc w:val="both"/>
        <w:ind w:firstLine="510"/>
        <w:spacing w:after="0" w:line="298" w:lineRule="auto"/>
        <w:rPr>
          <w:sz w:val="20"/>
          <w:szCs w:val="20"/>
          <w:color w:val="auto"/>
        </w:rPr>
      </w:pPr>
      <w:r>
        <w:rPr>
          <w:rFonts w:ascii="Arial" w:cs="Arial" w:eastAsia="Arial" w:hAnsi="Arial"/>
          <w:sz w:val="18"/>
          <w:szCs w:val="18"/>
          <w:color w:val="auto"/>
        </w:rPr>
        <w:t>Real estate and other foreclosed assets totaled $28 million at June 30, 2021, compared with $67 million at June 30, 2020, $35 million at December 31, 2020 and $30 million at March 31, 2021. The declines since June 30, 2020 are largely reflective of foreclosure moratoriums imposed by government authorities in numerous jurisdictions. Net gains or losses associated with real estate and other foreclosed assets were not material during the three-months ended June 30, 2021, June 30, 2020 and March 31, 2021. At June 30, 2021, the Company’s holdings of residential real estate-related properties comprised approximately 84% of foreclosed assets.</w:t>
      </w:r>
    </w:p>
    <w:p>
      <w:pPr>
        <w:spacing w:after="0" w:line="3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2021 Quarters</w:t>
            </w: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4"/>
              </w:rPr>
              <w:t>2020 Quarters</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Fourth</w:t>
            </w:r>
          </w:p>
        </w:tc>
        <w:tc>
          <w:tcPr>
            <w:tcW w:w="8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5360" w:type="dxa"/>
            <w:vAlign w:val="bottom"/>
          </w:tcPr>
          <w:p>
            <w:pPr>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2,242,057</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1,957,106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1,893,299</w:t>
            </w:r>
          </w:p>
        </w:tc>
        <w:tc>
          <w:tcPr>
            <w:tcW w:w="2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1,239,972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1,156,650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27,902</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49,872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2,269,959</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1,986,903</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1,927,967</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1,289,844</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1,223,413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1,077,227</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1,084,553</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527,258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535,755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49,796</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48,820</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45,975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1,029,331</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1,044,599</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798,121</w:t>
            </w:r>
          </w:p>
        </w:tc>
        <w:tc>
          <w:tcPr>
            <w:tcW w:w="2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505,446</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454,269</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236,377</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242,121</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238,994</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242,581</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234,768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real estate loans.</w:t>
      </w:r>
    </w:p>
    <w:p>
      <w:pPr>
        <w:spacing w:after="0" w:line="118"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At the time of the Company’s analysis regarding the determination of the allowance for credit losses as of June 30, 2021, concerns existed about the somewhat uneven and incomplete recovery evident in the economy related to the COVID-19 pandemic, despite recent improvements in macroeconomic forecasts; the ultimate effectiveness of economic stimulus being provided by the U.S. government; the volatile nature of global markets, including the impact international economic conditions could have on the U.S. economy; Federal Reserve positioning of monetary policy; the extent to which additional repayment forbearance might be requested by borrowers, in particular commercial real estate borrowers; and continued stagnant population and economic growth in the upstate New York and central Pennsylvania regions (approximately 49% of the Company’s loans and leases are to customers in New York State and Pennsylvania) that could see lingering effects of the economic downturn. The Company utilizes a loan grading system to differentiate risk amongst its commercial loans and commercial real estate loans. Loans with a lower expectation of default are typically assigned one of ten possible “pass” loan grades while specific loans determined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9"/>
          <w:szCs w:val="19"/>
          <w:color w:val="auto"/>
        </w:rPr>
        <w:t>to have an elevated level of credit risk are classified as “criticized.” A criticized loan may be classified as “nonaccrual” if the Company no longer expects to collect all amounts according to the contractual terms of the loan agreement or the loan is delinquent 90 days or more. During the latter half of 2020 and the first six months of 2021, the Company re-graded significant portions of its commercial loans and commercial real estate loans based on financial results and projections of specific borrowers, particularly those that were affected by COVID-19 impacts. Criticized commercial loans and commercial real estate loans totaled $9.7 billion at June 30, 2021, compared with $6.2 billion at June 30, 2020, $7.2 billion at December 31, 2020, and $8.4 billion at March 31, 2021. The rise in criticized loans at the three most recent quarter-ends as compared to June 30, 2020 reflects the impact of the pandemic on borrowers’ financial condition and the continuing re-grading of loans by the Company, and is reflective of the provision for credit losses recorded by the Company in 2020 as the pandemic unfolded. The increases in such loans since December 31, 2020 were largely attributable to investor-owned permanent commercial real estate loans in the hotel, office and healthcare sectors and commercial real estate construction loans in the hotel and healthcare sectors. On an overall basis, weighted-average loan-to-stabilized value (“LTV”) ratios for investor-owned commercial real estate properties do not vary significantly by asset class or sector, and at June 30, 2021 were generally within a range of 55% to 65% with an overall weighted-average LTV ratio of approximately 58%. Investor-owned commercial real estate loans comprised $7.4 billion of total criticized loans of $9.7 billion at June 30, 2021.</w:t>
      </w:r>
    </w:p>
    <w:p>
      <w:pPr>
        <w:spacing w:after="0" w:line="69"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The COVID-19 pandemic and related governmental responses led to a significant reduction in economic activity that was detrimental to many borrowers across the Company’s geographic regions, particularly borrowers in the hotel, healthcare-related, and office sectors. Many of those borrowers have been and will likely continue to be adversely impacted by the economic effects of the COVID-19 pandemic. Summaries of loans outstanding as of June 30, 2021 for which borrowers have been granted a COVID-19 related forbearance and loans extended under the PPP are provided in the accompanying table. Of the COVID-19 related modifications with payment deferrals at June 30, 2021, substantially all are scheduled to expire during 2021.</w:t>
      </w:r>
    </w:p>
    <w:p>
      <w:pPr>
        <w:spacing w:after="0" w:line="5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As commercial loans and commercial real estate loans were approved for modifications related to COVID-19, the Company assessed loans considering the creditworthiness of the borrower, collateral values, the financial condition of any guarantors, and the expected collectability of contractual principal and interest payments. Loan-to-collateral values on investor-owned loans are generally relatively low and oftentimes the loans include some form of recourse. Loans secured by residential real estate with a COVID-19 payment forbearance were evaluated for collectability based on the borrower’s ability to repay considering past performance and estimated collateral values. If collectability was considered doubtful, loans were classified as nonaccrual.</w:t>
      </w:r>
    </w:p>
    <w:p>
      <w:pPr>
        <w:spacing w:after="0" w:line="5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The Company re-assessed its loan grades for those borrowers most impacted by COVID-19 and expects that loans will continue to be regraded in subsequent periods as more information becomes available. The Company’s policy is that, at least annually, updated financial information be obtained from commercial borrowers associated with pass grade loans and additional analysis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1" w:name="page72"/>
    <w:bookmarkEnd w:id="71"/>
    <w:p>
      <w:pPr>
        <w:spacing w:after="0"/>
        <w:rPr>
          <w:sz w:val="20"/>
          <w:szCs w:val="20"/>
          <w:color w:val="auto"/>
        </w:rPr>
      </w:pPr>
      <w:r>
        <w:rPr>
          <w:rFonts w:ascii="Arial" w:cs="Arial" w:eastAsia="Arial" w:hAnsi="Arial"/>
          <w:sz w:val="21"/>
          <w:szCs w:val="21"/>
          <w:color w:val="auto"/>
        </w:rPr>
        <w:t>COVID-19 RELATED LOANS AND LEASES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COVID-19 Forbearance</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PPP</w:t>
            </w:r>
          </w:p>
        </w:tc>
        <w:tc>
          <w:tcPr>
            <w:tcW w:w="120" w:type="dxa"/>
            <w:vAlign w:val="bottom"/>
          </w:tcPr>
          <w:p>
            <w:pPr>
              <w:spacing w:after="0"/>
              <w:rPr>
                <w:sz w:val="11"/>
                <w:szCs w:val="11"/>
                <w:color w:val="auto"/>
              </w:rPr>
            </w:pPr>
          </w:p>
        </w:tc>
        <w:tc>
          <w:tcPr>
            <w:tcW w:w="94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Payment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820" w:type="dxa"/>
            <w:vAlign w:val="bottom"/>
            <w:gridSpan w:val="4"/>
          </w:tcPr>
          <w:p>
            <w:pPr>
              <w:spacing w:after="0" w:line="158" w:lineRule="exact"/>
              <w:rPr>
                <w:sz w:val="20"/>
                <w:szCs w:val="20"/>
                <w:color w:val="auto"/>
              </w:rPr>
            </w:pPr>
            <w:r>
              <w:rPr>
                <w:rFonts w:ascii="Arial" w:cs="Arial" w:eastAsia="Arial" w:hAnsi="Arial"/>
                <w:sz w:val="14"/>
                <w:szCs w:val="14"/>
                <w:color w:val="auto"/>
              </w:rPr>
              <w:t>Commercial, financial, leasing, etc.</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8"/>
              </w:rPr>
              <w:t>Deferrals</w:t>
            </w:r>
            <w:r>
              <w:rPr>
                <w:rFonts w:ascii="Arial" w:cs="Arial" w:eastAsia="Arial" w:hAnsi="Arial"/>
                <w:sz w:val="12"/>
                <w:szCs w:val="12"/>
                <w:b w:val="1"/>
                <w:bCs w:val="1"/>
                <w:color w:val="auto"/>
                <w:w w:val="98"/>
              </w:rPr>
              <w:t>(a)</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Forbearances</w:t>
            </w:r>
            <w:r>
              <w:rPr>
                <w:rFonts w:ascii="Arial" w:cs="Arial" w:eastAsia="Arial" w:hAnsi="Arial"/>
                <w:sz w:val="12"/>
                <w:szCs w:val="12"/>
                <w:b w:val="1"/>
                <w:bCs w:val="1"/>
                <w:color w:val="auto"/>
                <w:w w:val="91"/>
              </w:rPr>
              <w:t>(b)</w:t>
            </w: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140"/>
              <w:spacing w:after="0"/>
              <w:rPr>
                <w:sz w:val="20"/>
                <w:szCs w:val="20"/>
                <w:color w:val="auto"/>
              </w:rPr>
            </w:pPr>
            <w:r>
              <w:rPr>
                <w:rFonts w:ascii="Arial" w:cs="Arial" w:eastAsia="Arial" w:hAnsi="Arial"/>
                <w:sz w:val="14"/>
                <w:szCs w:val="14"/>
                <w:color w:val="auto"/>
              </w:rPr>
              <w:t>Industry</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Services</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5,145</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1,382</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Manufacturing</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gridSpan w:val="4"/>
          </w:tcPr>
          <w:p>
            <w:pPr>
              <w:ind w:left="380"/>
              <w:spacing w:after="0" w:line="143" w:lineRule="exact"/>
              <w:rPr>
                <w:sz w:val="20"/>
                <w:szCs w:val="20"/>
                <w:color w:val="auto"/>
              </w:rPr>
            </w:pPr>
            <w:r>
              <w:rPr>
                <w:rFonts w:ascii="Arial" w:cs="Arial" w:eastAsia="Arial" w:hAnsi="Arial"/>
                <w:sz w:val="14"/>
                <w:szCs w:val="14"/>
                <w:color w:val="auto"/>
              </w:rPr>
              <w:t>Motor vehicle and recreational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tcPr>
          <w:p>
            <w:pPr>
              <w:ind w:left="480"/>
              <w:spacing w:after="0"/>
              <w:rPr>
                <w:sz w:val="20"/>
                <w:szCs w:val="20"/>
                <w:color w:val="auto"/>
              </w:rPr>
            </w:pPr>
            <w:r>
              <w:rPr>
                <w:rFonts w:ascii="Arial" w:cs="Arial" w:eastAsia="Arial" w:hAnsi="Arial"/>
                <w:sz w:val="14"/>
                <w:szCs w:val="14"/>
                <w:color w:val="auto"/>
              </w:rPr>
              <w:t>finance dealers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Financial and insurance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Wholesale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Construction</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1,850</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Health services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Retail</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Real estate investors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gridSpan w:val="4"/>
            <w:shd w:val="clear" w:color="auto" w:fill="CFF0FC"/>
          </w:tcPr>
          <w:p>
            <w:pPr>
              <w:ind w:left="380"/>
              <w:spacing w:after="0" w:line="143" w:lineRule="exact"/>
              <w:rPr>
                <w:sz w:val="20"/>
                <w:szCs w:val="20"/>
                <w:color w:val="auto"/>
              </w:rPr>
            </w:pPr>
            <w:r>
              <w:rPr>
                <w:rFonts w:ascii="Arial" w:cs="Arial" w:eastAsia="Arial" w:hAnsi="Arial"/>
                <w:sz w:val="14"/>
                <w:szCs w:val="14"/>
                <w:color w:val="auto"/>
              </w:rPr>
              <w:t>Transportation, communications,</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utilities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FF0FC"/>
            </w:tcBorders>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Total commercial, financial, leasing, etc.</w:t>
            </w:r>
          </w:p>
        </w:tc>
        <w:tc>
          <w:tcPr>
            <w:tcW w:w="4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25,409</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4,281</w:t>
            </w:r>
          </w:p>
        </w:tc>
        <w:tc>
          <w:tcPr>
            <w:tcW w:w="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Commercial real estate</w:t>
            </w:r>
          </w:p>
        </w:tc>
        <w:tc>
          <w:tcPr>
            <w:tcW w:w="14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FF0FC"/>
          </w:tcPr>
          <w:p>
            <w:pPr>
              <w:ind w:left="140"/>
              <w:spacing w:after="0" w:line="155" w:lineRule="exact"/>
              <w:rPr>
                <w:sz w:val="20"/>
                <w:szCs w:val="20"/>
                <w:color w:val="auto"/>
              </w:rPr>
            </w:pPr>
            <w:r>
              <w:rPr>
                <w:rFonts w:ascii="Arial" w:cs="Arial" w:eastAsia="Arial" w:hAnsi="Arial"/>
                <w:sz w:val="14"/>
                <w:szCs w:val="14"/>
                <w:color w:val="auto"/>
              </w:rPr>
              <w:t>Investor-owned</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260"/>
              <w:spacing w:after="0"/>
              <w:rPr>
                <w:sz w:val="20"/>
                <w:szCs w:val="20"/>
                <w:color w:val="auto"/>
              </w:rPr>
            </w:pPr>
            <w:r>
              <w:rPr>
                <w:rFonts w:ascii="Arial" w:cs="Arial" w:eastAsia="Arial" w:hAnsi="Arial"/>
                <w:sz w:val="14"/>
                <w:szCs w:val="14"/>
                <w:color w:val="auto"/>
              </w:rPr>
              <w:t>Permanent finance by property type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Retail/Service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Apartments/Multifamily</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4,362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Office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4,219</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Health facilities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Hotel</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2,638</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Industrial/Warehouse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gridSpan w:val="3"/>
          </w:tcPr>
          <w:p>
            <w:pPr>
              <w:ind w:left="20"/>
              <w:spacing w:after="0" w:line="155" w:lineRule="exact"/>
              <w:rPr>
                <w:sz w:val="20"/>
                <w:szCs w:val="20"/>
                <w:color w:val="auto"/>
              </w:rPr>
            </w:pPr>
            <w:r>
              <w:rPr>
                <w:rFonts w:ascii="Arial" w:cs="Arial" w:eastAsia="Arial" w:hAnsi="Arial"/>
                <w:sz w:val="14"/>
                <w:szCs w:val="14"/>
                <w:color w:val="auto"/>
              </w:rPr>
              <w:t>Total permanent</w:t>
            </w:r>
          </w:p>
        </w:tc>
        <w:tc>
          <w:tcPr>
            <w:tcW w:w="4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20,429</w:t>
            </w:r>
          </w:p>
        </w:tc>
        <w:tc>
          <w:tcPr>
            <w:tcW w:w="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w:t>
            </w:r>
          </w:p>
        </w:tc>
        <w:tc>
          <w:tcPr>
            <w:tcW w:w="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c>
          <w:tcPr>
            <w:tcW w:w="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construction/development</w:t>
            </w:r>
          </w:p>
        </w:tc>
        <w:tc>
          <w:tcPr>
            <w:tcW w:w="4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9,788</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gridSpan w:val="3"/>
          </w:tcPr>
          <w:p>
            <w:pPr>
              <w:ind w:left="20"/>
              <w:spacing w:after="0" w:line="155" w:lineRule="exact"/>
              <w:rPr>
                <w:sz w:val="20"/>
                <w:szCs w:val="20"/>
                <w:color w:val="auto"/>
              </w:rPr>
            </w:pPr>
            <w:r>
              <w:rPr>
                <w:rFonts w:ascii="Arial" w:cs="Arial" w:eastAsia="Arial" w:hAnsi="Arial"/>
                <w:sz w:val="14"/>
                <w:szCs w:val="14"/>
                <w:color w:val="auto"/>
              </w:rPr>
              <w:t>Total investor-owned</w:t>
            </w:r>
          </w:p>
        </w:tc>
        <w:tc>
          <w:tcPr>
            <w:tcW w:w="4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30,217</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w:t>
            </w:r>
          </w:p>
        </w:tc>
        <w:tc>
          <w:tcPr>
            <w:tcW w:w="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FF0FC"/>
          </w:tcPr>
          <w:p>
            <w:pPr>
              <w:ind w:left="140"/>
              <w:spacing w:after="0" w:line="155" w:lineRule="exact"/>
              <w:rPr>
                <w:sz w:val="20"/>
                <w:szCs w:val="20"/>
                <w:color w:val="auto"/>
              </w:rPr>
            </w:pPr>
            <w:r>
              <w:rPr>
                <w:rFonts w:ascii="Arial" w:cs="Arial" w:eastAsia="Arial" w:hAnsi="Arial"/>
                <w:sz w:val="14"/>
                <w:szCs w:val="14"/>
                <w:color w:val="auto"/>
              </w:rPr>
              <w:t>Owner-occupied by industry</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 services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gridSpan w:val="4"/>
            <w:shd w:val="clear" w:color="auto" w:fill="CFF0FC"/>
          </w:tcPr>
          <w:p>
            <w:pPr>
              <w:ind w:left="380"/>
              <w:spacing w:after="0" w:line="143" w:lineRule="exact"/>
              <w:rPr>
                <w:sz w:val="20"/>
                <w:szCs w:val="20"/>
                <w:color w:val="auto"/>
              </w:rPr>
            </w:pPr>
            <w:r>
              <w:rPr>
                <w:rFonts w:ascii="Arial" w:cs="Arial" w:eastAsia="Arial" w:hAnsi="Arial"/>
                <w:sz w:val="14"/>
                <w:szCs w:val="14"/>
                <w:color w:val="auto"/>
              </w:rPr>
              <w:t>Motor vehicle and recreational</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finance dealers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Retail</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Wholesale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Health services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Manufacturing</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00" w:type="dxa"/>
            <w:vAlign w:val="bottom"/>
            <w:tcBorders>
              <w:top w:val="single" w:sz="8" w:color="CFF0FC"/>
            </w:tcBorders>
            <w:shd w:val="clear" w:color="auto" w:fill="CFF0FC"/>
          </w:tcPr>
          <w:p>
            <w:pPr>
              <w:spacing w:after="0"/>
              <w:rPr>
                <w:sz w:val="13"/>
                <w:szCs w:val="13"/>
                <w:color w:val="auto"/>
              </w:rPr>
            </w:pPr>
          </w:p>
        </w:tc>
        <w:tc>
          <w:tcPr>
            <w:tcW w:w="2220" w:type="dxa"/>
            <w:vAlign w:val="bottom"/>
            <w:tcBorders>
              <w:top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Total owner-occupied</w:t>
            </w:r>
          </w:p>
        </w:tc>
        <w:tc>
          <w:tcPr>
            <w:tcW w:w="4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7,342</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3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CFF0FC"/>
            </w:tcBorders>
            <w:gridSpan w:val="4"/>
          </w:tcPr>
          <w:p>
            <w:pPr>
              <w:spacing w:after="0" w:line="155" w:lineRule="exact"/>
              <w:rPr>
                <w:sz w:val="20"/>
                <w:szCs w:val="20"/>
                <w:color w:val="auto"/>
              </w:rPr>
            </w:pPr>
            <w:r>
              <w:rPr>
                <w:rFonts w:ascii="Arial" w:cs="Arial" w:eastAsia="Arial" w:hAnsi="Arial"/>
                <w:sz w:val="14"/>
                <w:szCs w:val="14"/>
                <w:color w:val="auto"/>
              </w:rPr>
              <w:t>Total commercial real estate</w:t>
            </w:r>
          </w:p>
        </w:tc>
        <w:tc>
          <w:tcPr>
            <w:tcW w:w="4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37,559</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w:t>
            </w:r>
          </w:p>
        </w:tc>
        <w:tc>
          <w:tcPr>
            <w:tcW w:w="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Residential real estate</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16,705</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2,585</w:t>
            </w:r>
          </w:p>
        </w:tc>
        <w:tc>
          <w:tcPr>
            <w:tcW w:w="32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(c)</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9"/>
              </w:rPr>
              <w:t>Consumer</w:t>
            </w:r>
          </w:p>
        </w:tc>
        <w:tc>
          <w:tcPr>
            <w:tcW w:w="222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ind w:left="380"/>
              <w:spacing w:after="0" w:line="155" w:lineRule="exact"/>
              <w:rPr>
                <w:sz w:val="20"/>
                <w:szCs w:val="20"/>
                <w:color w:val="auto"/>
              </w:rPr>
            </w:pPr>
            <w:r>
              <w:rPr>
                <w:rFonts w:ascii="Arial" w:cs="Arial" w:eastAsia="Arial" w:hAnsi="Arial"/>
                <w:sz w:val="14"/>
                <w:szCs w:val="14"/>
                <w:color w:val="auto"/>
              </w:rPr>
              <w:t>Recreational finance</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7,755</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Automobile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4,491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Homes equity lines and loans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FF0FC"/>
            </w:tcBorders>
            <w:gridSpan w:val="4"/>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consumer</w:t>
            </w:r>
          </w:p>
        </w:tc>
        <w:tc>
          <w:tcPr>
            <w:tcW w:w="4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17,440</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w:t>
            </w:r>
          </w:p>
        </w:tc>
        <w:tc>
          <w:tcPr>
            <w:tcW w:w="3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97,113</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4,281</w:t>
            </w:r>
          </w:p>
        </w:tc>
        <w:tc>
          <w:tcPr>
            <w:tcW w:w="3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0"/>
        <w:spacing w:after="0"/>
        <w:tabs>
          <w:tab w:leader="none" w:pos="400" w:val="left"/>
          <w:tab w:leader="none" w:pos="9500" w:val="left"/>
        </w:tabs>
        <w:rPr>
          <w:sz w:val="20"/>
          <w:szCs w:val="20"/>
          <w:color w:val="auto"/>
        </w:rPr>
      </w:pPr>
      <w:r>
        <w:rPr>
          <w:rFonts w:ascii="Arial" w:cs="Arial" w:eastAsia="Arial" w:hAnsi="Arial"/>
          <w:sz w:val="18"/>
          <w:szCs w:val="18"/>
          <w:i w:val="1"/>
          <w:iCs w:val="1"/>
          <w:color w:val="auto"/>
        </w:rPr>
        <w:t>(a)</w:t>
        <w:tab/>
        <w:t>Represents accruing loans at June 30, 2021 for which a COVID-19 related payment deferral (including maturity extensions)</w:t>
      </w:r>
      <w:r>
        <w:rPr>
          <w:sz w:val="20"/>
          <w:szCs w:val="20"/>
          <w:color w:val="auto"/>
        </w:rPr>
        <w:tab/>
      </w:r>
      <w:r>
        <w:rPr>
          <w:rFonts w:ascii="Arial" w:cs="Arial" w:eastAsia="Arial" w:hAnsi="Arial"/>
          <w:sz w:val="16"/>
          <w:szCs w:val="16"/>
          <w:i w:val="1"/>
          <w:iCs w:val="1"/>
          <w:color w:val="auto"/>
        </w:rPr>
        <w:t>has been granted.</w:t>
      </w:r>
    </w:p>
    <w:p>
      <w:pPr>
        <w:spacing w:after="0" w:line="23" w:lineRule="exact"/>
        <w:rPr>
          <w:sz w:val="20"/>
          <w:szCs w:val="20"/>
          <w:color w:val="auto"/>
        </w:rPr>
      </w:pPr>
    </w:p>
    <w:p>
      <w:pPr>
        <w:ind w:left="420" w:hanging="358"/>
        <w:spacing w:after="0"/>
        <w:tabs>
          <w:tab w:leader="none" w:pos="4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420" w:hanging="358"/>
        <w:spacing w:after="0"/>
        <w:tabs>
          <w:tab w:leader="none" w:pos="4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$2.0 billion of government-guaranteed loans.</w:t>
      </w:r>
    </w:p>
    <w:p>
      <w:pPr>
        <w:spacing w:after="0" w:line="104"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9"/>
          <w:szCs w:val="19"/>
          <w:color w:val="auto"/>
        </w:rPr>
        <w:t>of value from external parties that are generally obtained shortly after a loan becomes nonaccrual. Loans to consumers that file for bankruptcy are generally charged off to estimated net collateral value shortly after the Company is notified of such filings. At June 30, 2021, approximately 61% of the Company’s home equity portfolio consisted of first lien loans and lines of credit. Of the remaining junior lien loans in the portfolio, approximately 57% (or approximately 22%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2021 approximately 84% of all outstanding balances of home equity lines of credit related to lines that were still in the draw period, the weighted-average remaining draw periods were approximately five years, and approximately 10% were making contractually allowed payments that do not include any repayment of principal.</w:t>
      </w:r>
    </w:p>
    <w:p>
      <w:pPr>
        <w:spacing w:after="0" w:line="6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June 30, 2021, June 30, 2020 and March 31, 2021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Among the assumptions utilized as of June 30, 2021 was that the national unemployment rate continues to be at elevated levels, on average 5.4%, through 2021, followed by a gradual improvement reaching 3.5% by mid-2023. The forecast assumed that GDP grows at a 7.4% annual rate during 2021 resulting in GDP returning to pre-pandemic levels during 2021. The commercial real estate price index was assumed to be down modestly in 2021, but improving in 2022 and 2023. Residential real estate prices were not assumed to fluctuate significantly. The assumptions utilized as of March 31, 2021 included a decrease in the unemployment rate in the first quarter of 2021 to approximately 6.2% from 6.8% at the end of the fourth quarter of 2020, followed by a gradual decrease of the unemployment rate through the first quarter of 2023 to 4.2%. That forecast assumed that GDP would grow at a 6.3% annual rate during 2021 resulting in GDP returning to pre-pandemic levels during 2021. The commercial real estate price index was assumed to be flat from pre-pandemic levels over the ensuing two years. Residential real estate prices were not assumed to fluctuate significantly. The assumptions utilized as of December 31, 2020 included the national unemployment rate continuing at elevated levels, on average 6.9% through 2021, followed by a gradual return to long-term historical averages by the end of 2022. The forecast also assumed gross domestic product to grow at a 4.1% annual rate during 2021 resulting in a return to pre-pandemic levels by the end of 2022. Commercial real estate prices were assumed to decline by 6.8% in 2021, followed by improvement. Residential real estate prices were not assumed to fluctuate significantly. The assumptions utilized as of June 30,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3" w:name="page74"/>
    <w:bookmarkEnd w:id="73"/>
    <w:p>
      <w:pPr>
        <w:jc w:val="both"/>
        <w:spacing w:after="0" w:line="245" w:lineRule="auto"/>
        <w:rPr>
          <w:sz w:val="20"/>
          <w:szCs w:val="20"/>
          <w:color w:val="auto"/>
        </w:rPr>
      </w:pPr>
      <w:r>
        <w:rPr>
          <w:rFonts w:ascii="Arial" w:cs="Arial" w:eastAsia="Arial" w:hAnsi="Arial"/>
          <w:sz w:val="21"/>
          <w:szCs w:val="21"/>
          <w:color w:val="auto"/>
        </w:rPr>
        <w:t>2020 included a decline in the unemployment rate in the third quarter of 2020 to approximately 9% from a peak of nearly 14% in the second quarter of 2020, followed by a sustained high single-digit unemployment rate through 2022. The forecast also assumed gross domestic product to contract nearly 7% in 2020 and to then recover to pre-pandemic levels by the second quarter of 2022. Commercial real estate prices were assumed to decline by 15% in the first forecast year, followed by improvement. Residential real estate prices were not assumed to fluctuate significantly. The assumptions utilized were based on information available to the Company at or near June 30, 2021, March 31, 2021, December 31, 2020 and June 30, 2020 at the time it was preparing its estimate of expected credit losses as of those dates.</w:t>
      </w:r>
    </w:p>
    <w:p>
      <w:pPr>
        <w:spacing w:after="0" w:line="8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In establishing the allowance for credit losses the Company also considers the impact of portfolio concentrations, changes in underwriting practices, product expansions into new markets, imprecision in its economic forecasts and other risk factors that influence its loss estimation process. With respect to economic forecasts the Company assessed the likelihood of alternative economic scenarios during the two-year reasonable and supportable time period. Economic forecasts have changed rapidly in the recent past due to the uncertain impacts of COVID-19. Generally, an increase in unemployment rate or a decrease in any of the rate of change in gross domestic product, commercial real estate prices or home prices would have an adverse impact on expected credit losses and would likely result in an increase to the allowance for credit losses.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9"/>
          <w:szCs w:val="19"/>
          <w:color w:val="auto"/>
        </w:rPr>
        <w:t>Management believes that the allowance for credit losses at June 30, 2021 appropriately reflected expected credit losses inherent in the portfolio as of that date. The allowance for credit losses totaled $1.58 billion at June 30, 2021, $1.64 billion at each of June 30, 2020 and March 31, 2021 and $1.74 billion at December 31, 2020. As a percentage of loans outstanding, the allowance was 1.62% at June 30, 2021, 1.65% at March 31, 2021, 1.68% at June 30, 2020 and 1.76% at December 31, 2020.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Other income totaled $514 million in the second quarter of 2021, up from $487 million in the year-earlier quarter and $506 million in the first quarter of 2021. The higher level of other income in the recent quarter as compared with the earlier quarters resulted from higher service charges on deposit accounts, merchant discount and credit card fees, and trust income. As compared with the second quarter of 2020, partially offsetting those favorable factors were unrealized losses on investment securities and lower residential mortgage banking revenues in the recent quarter.</w:t>
      </w:r>
    </w:p>
    <w:p>
      <w:pPr>
        <w:spacing w:after="0" w:line="8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Mortgage banking revenues were $133 million in the recent quarter, compared with $145 million in the second quarter of 2020 and $139 million in the first 2021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$98 million in the second quarter of 2021, $111 million in the similar quarter of 2020 and $107 million in the initial 2021 quarter. As compared with the second quarter of 2020, the lower residential mortgage banking revenues in the recent quarter resulted from decreased gains associated with loans held for sale and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4" w:name="page75"/>
    <w:bookmarkEnd w:id="74"/>
    <w:p>
      <w:pPr>
        <w:jc w:val="both"/>
        <w:spacing w:after="0" w:line="252" w:lineRule="auto"/>
        <w:rPr>
          <w:sz w:val="20"/>
          <w:szCs w:val="20"/>
          <w:color w:val="auto"/>
        </w:rPr>
      </w:pPr>
      <w:r>
        <w:rPr>
          <w:rFonts w:ascii="Arial" w:cs="Arial" w:eastAsia="Arial" w:hAnsi="Arial"/>
          <w:sz w:val="21"/>
          <w:szCs w:val="21"/>
          <w:color w:val="auto"/>
        </w:rPr>
        <w:t>commitments, reflecting narrower margins. The decline from 2021’s initial quarter also resulted from lower gains associated with loans held for sale and related commitments in the recent quarter, reflecting a five percent decline in origination volumes and narrower margins.</w:t>
      </w:r>
    </w:p>
    <w:p>
      <w:pPr>
        <w:spacing w:after="0" w:line="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New commitments to originate residential real estate loans to be sold were approximately $1.2 billion in the second quarter of 2021, compared with $1.1 billion in the year-earlier quarter and $1.3 billion in the first quarter of 2021.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$40 million in the second quarter of 2021, $52 million in the corresponding period of 2020 and $50 million in 2021’s initial quarter.</w:t>
      </w:r>
    </w:p>
    <w:p>
      <w:pPr>
        <w:spacing w:after="0" w:line="53"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Loans held for sale that were secured by residential real estate aggregated $679 million at June 30, 2021, $440 million at June 30, 2020 and $777 million at December 31, 2020. Commitments to sell residential real estate loans and commitments to originate residential real estate loans for sale at pre-determined rates totaled $1.37 billion and $1.02 billion, respectively, at June 30, 2021, compared with $986 million and $1.03 billion, respectively, at June 30, 2020 and $1.47 billion and $1.03 billion, respectively, at December 31, 2020. Net recognized unrealized gains on residential real estate loans held for sale, commitments to sell loans, and commitments to originate loans for sale were $38 million at June 30, 2021, $43 million at June 30, 2020 and $52 million at December 31, 2020. Changes in net unrealized gains or losses are recorded in mortgage banking revenues and resulted in net decreases in revenues of $9 million in the recent quarter and $4 million in the first quarter of 2021, compared with net increases in revenues of $26 million in the second quarter of 2020.</w:t>
      </w:r>
    </w:p>
    <w:p>
      <w:pPr>
        <w:spacing w:after="0" w:line="7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Revenues from servicing residential real estate loans for others were $59 million during each of the quarters ended June 30, 2021 and 2020 and $57 million during the three months ended March 31, 2021. Residential real estate loans serviced for others totaled $97.1 billion at June 30, 2021, $95.1 billion at June 30, 2020, $94.4 billion at December 31, 2020 and $95.0 billion at March 31, 2021. Reflected in residential real estate loans serviced for others were loans sub-serviced for others of $72.6 billion, $64.7 billion, $68.1 billion and $69.7 billion at June 30, 2021, June 30, 2020, December 31, 2020 and March 31, 2021, respectively. Revenues earned for sub-servicing loans totaled $37 million during the recent quarter and $34 million in each of the second quarter of 2020 and the first quarter of 2021. The contractual servicing rights associated with loans sub-serviced by the Company were predominantly held by affiliates of Bayview Lending Group (“BLG”). Information about the Company’s relationship with BLG and its affiliates is included in note 15 of Notes to Financial Statements.</w:t>
      </w:r>
    </w:p>
    <w:p>
      <w:pPr>
        <w:spacing w:after="0" w:line="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Capitalized residential mortgage servicing assets totaled $221 million at June 30, 2021 (net of a $29 million valuation allowance), $211 million at June 30, 2020 (net of a $27 million valuation allowance), $201 million at December 31, 2020 (net of a $30 million valuation allowance) and $218 million at March 31, 2021 (net of a $21 million valuation allowance). During the second quarters of 2021 and 2020, the valuation allowance for capitalized residential mortgage servicing rights was increased by $8 million and $10 million, respectively, compared with a reduction to the valuation allowance of $9 million in the first quarter of 2021. Those increases and decreases in the valuation allowance resulted from changes in the estimated fair value of capitalized mortgage servicing rights that reflected the impact of changes in interest rates on expected prepayments of serviced residential mortgage loans.</w:t>
      </w:r>
    </w:p>
    <w:p>
      <w:pPr>
        <w:spacing w:after="0" w:line="5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Commercial mortgage banking revenues totaled $35 million in the second quarter of 2021, compared with $34 million in the second quarter of 2020 and $32 million in the first quarter of 2021. Included in such amounts were revenues from loan origination and sales activities of $19 million in each of the second quarters of 2021 and 2020, and $17 million in the initial quarter of 2021. Commercial real estate loans originated for sale to other investors were approximately $411 million in the recent quarter, compared with $729 million in the second quarter of 2020 and $619 million in the first quarter of 2021. Loan servicing revenues totaled $16 million in the second quarter of 2021, compared with $15 million in each of the second quarter of 2020 and first quarter of 2021. Capitalized commercial mortgage servicing assets were $132 million and $128 million at June 30, 2021 and 2020, respectively, and $133 million at December 31, 2020. Commercial real estate loans serviced for other investors totaled $22.6 billion at June 30, 2021, $21.4 billion at June 30, 2020 and $22.2 billion at December 31, 2020. Those servicing amounts included $4.0 billion at each of June 30, 2021 and December 31, 2020 and $3.9 billion at June 30, 2020 of loan balances for which investors had recourse to the Company if such balances are ultimately uncollectable. Included in commercial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9"/>
          <w:szCs w:val="19"/>
          <w:color w:val="auto"/>
        </w:rPr>
        <w:t>real estate loans serviced for others were loans sub-serviced for others of $3.3 billion at each of June 30, 2021, June 30, 2020 and December 31, 2020. Commitments to sell commercial real estate loans and commitments to originate commercial real estate loans for sale were $651 million and $445 million, respectively, at June 30, 2021, $492 million and $237 million, respectively, at June 30, 2020 and $641 million and $364 million, respectively, at December 31, 2020. Commercial real estate loans held for sale at June 30, 2021, June 30, 2020 and December 31, 2020 were $206 million, $255 million and $278 million, respectively.</w:t>
      </w:r>
    </w:p>
    <w:p>
      <w:pPr>
        <w:spacing w:after="0" w:line="5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Service charges on deposit accounts were $99 million and $77 million in the second quarters of 2021 and 2020, respectively, and $93 million in the initial quarter of 2021. The increases in such service charges during the two most recent quarters as compared with the second quarter of 2020 reflected higher debit card, ATM and other customer transaction activity.</w:t>
      </w:r>
    </w:p>
    <w:p>
      <w:pPr>
        <w:spacing w:after="0" w:line="5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$163 million in the second quarter of 2021, compared with $152 million in the year-earlier quarter and $156 million in the first quarter of 2021. Revenues associated with the ICS business were approximately $91 million during the quarter ended June 30, 2021, compared with $85 million and $89 million during the quarters ended June 30, 2020 and March 31, 2021, respectively. The higher revenues in the recent quarter as compared with the previous quarters were largely attributable to increased retirement services income resulting from growth in collective fund balances. Revenues attributable to WAS totaled approximately $65 million during the quarter ended June 30, 2021, compared with $60 million and $59 million during the quarters ended June 30, 2020 and March 31, 2021, respectively. The higher revenues in the recent quarter as compared with the year-earlier quarter were largely attributable to favorable equity market performance that was partially offset by proprietary fund money market fee waivers as a result of the current interest rate environment. The improvement as compared with the initial 2021 quarter reflected annual tax service fees earned in the recent quarter for assisting customers with their tax filings and favorable equity market performance. Trust assets under management were $149.8 billion, $114.4 billion, $141.5 billion and $135.8 billion at June 30, 2021, June 30, 2020, March 31, 2021 and December 31, 2020, respectively. Trust assets under management include the Company’s proprietary mutual funds’ assets of $12.7 billion, $12.6 billion, $12.7 billion and $12.9 billion at June 30, 2021, June 30, 2020, March 31, 2021 and December 31, 2020, respectively. Additional trust income from investment management activities was $7 million in each of the second quarters of 2021 and 2020 and $8 million in the first 2021 quarter, and is predominantly comprised of fees earned from retail customer investment accounts.</w:t>
      </w:r>
    </w:p>
    <w:p>
      <w:pPr>
        <w:spacing w:after="0" w:line="68"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Brokerage services income, which includes revenues from the sale of mutual funds and annuities and securities brokerage fees, totaled $10 million in each of the second quarters of 2021 and 2020, compared with $13 million in the first quarter of 2021. Trading account and foreign exchange activity resulted in gains of $7 million, $8 million and $6 million during the quarters ended June 30, 2021, June 30, 2020 and March 31, 2021, respectively.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71"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recognized net losses on investment securities of $11 million in the recent quarter and $12 million in the first quarter of 2021, compared with net gains of $7 million in the second quarter of 2020. The gains and losses represented unrealized gains and losses on investments in Fannie Mae and Freddie Mac preferred stock.</w:t>
      </w:r>
    </w:p>
    <w:p>
      <w:pPr>
        <w:spacing w:after="0" w:line="7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Other revenues from operations were $113 million in the second quarter of 2021, compared with $87 million in the corresponding 2020 period and $111 million in the first quarter of 2021. The primary factor for the increase in such revenues in the recent quarter as compared with the second quarter of 2020 was the impact of increased customer activity on merchant discount and credit card fees, ATM fees and credit-related fees. Included in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6" w:name="page77"/>
    <w:bookmarkEnd w:id="76"/>
    <w:p>
      <w:pPr>
        <w:jc w:val="both"/>
        <w:spacing w:after="0" w:line="275" w:lineRule="auto"/>
        <w:rPr>
          <w:sz w:val="20"/>
          <w:szCs w:val="20"/>
          <w:color w:val="auto"/>
        </w:rPr>
      </w:pPr>
      <w:r>
        <w:rPr>
          <w:rFonts w:ascii="Arial" w:cs="Arial" w:eastAsia="Arial" w:hAnsi="Arial"/>
          <w:sz w:val="19"/>
          <w:szCs w:val="19"/>
          <w:color w:val="auto"/>
        </w:rPr>
        <w:t>revenues from operations were the following significant components. Letter of credit and other credit-related fees aggregated $28 million in the recent quarter, $25 million in the year-earlier quarter and $31 million in the first quarter of 2021. Revenues from merchant discount and credit card fees were $36 million in the second 2021 quarter, compared with $23 million in the year-earlier quarter and $26 million in the initial quarter of 2021. Tax-exempt income from bank owned life insurance, which includes increases in the cash surrender value of life insurance policies and benefits received, totaled $13 million in each of the second quarters of 2021 and 2020 and $10 million in the first quarter of 2021. Insurance-related sales commissions and other revenues totaled $11 million in the quarter ended June 30, 2021, compared with $10 million in the second quarter of 2020 and $14 million in the first quarter of 2021.</w:t>
      </w:r>
    </w:p>
    <w:p>
      <w:pPr>
        <w:spacing w:after="0" w:line="57"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Other income totaled $1.02 billion during each of the first six months of 2021 and 2020. Higher trust income and service charges on deposit accounts in 2021 were offset by decreases in trading account and foreign exchange gains and unrealized losses on investment securities.</w:t>
      </w:r>
    </w:p>
    <w:p>
      <w:pPr>
        <w:spacing w:after="0" w:line="76"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8"/>
          <w:szCs w:val="18"/>
          <w:color w:val="auto"/>
        </w:rPr>
        <w:t>Mortgage banking revenues totaled $272 million during the first six months of 2021, compared with $273 million during the similar period in 2020. Residential mortgage banking revenues aggregated $205 million and $210 million during the six-month periods ended June 30, 2021 and 2020, respectively. New commitments to originate residential real estate loans to be sold aggregated $2.5 billion and $2.1 billion in the initial six months of 2021 and 2020,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$89 million and $84 million in the six-month periods ended June 30, 2021 and 2020, respectively. Revenues from servicing residential real estate loans for others were $116 million in the first half of 2021 and $126 million in the corresponding 2020 period. Included in servicing revenues were sub-servicing revenues aggregating $71 million in each of the first six months of 2021 and 2020. For the six months ended June 30, commercial mortgage banking revenues were $67 million and $63 million in 2021 and 2020, respectively. Commercial real estate loans originated for sale to other investors totaled $1.0 billion and $1.3 billion during the six-month periods ended June 30, 2021 and 2020, respectively.</w:t>
      </w:r>
    </w:p>
    <w:p>
      <w:pPr>
        <w:spacing w:after="0" w:line="4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Service charges on deposit accounts aggregated $191 million during the first six months of 2021, compared with $184 million in the year-earlier period. That increase was predominantly due to lower consumer service charges in 2020 resulting from the impact of the pandemic, reflecting waived fees and lower customer transaction activity in that year. Trust income totaled $319 million and $301 million during the first six months of 2021 and 2020, respectively. The increase in trust income in 2021 as compared with 2020 was largely due to higher revenues from the ICS business, reflecting both sales activities and higher retirement services income from growth in collective fund balances, and in the WAS business, reflecting favorable equity market performance. Brokerage services income totaled $23 million in the first six months of 2021, compared with $24 million in the six-month period ended June 30, 2020. Trading account and foreign exchange activity resulted in gains of $13 million and $29 million in the first six months of 2021 and 2020, respectively. The lower gains in 2021 were predominantly due to decreased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w:t>
      </w:r>
    </w:p>
    <w:p>
      <w:pPr>
        <w:spacing w:after="0" w:line="8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Net unrealized losses on investment securities totaling $23 million were recognized during the first six months of 2021, compared with net unrealized losses of $14 million in the corresponding 2020 period.</w:t>
      </w:r>
    </w:p>
    <w:p>
      <w:pPr>
        <w:spacing w:after="0" w:line="63"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Other revenues from operations totaled $224 million in the first six months of 2021, compared with $220 million in the year-earlier period. Other revenues from operations include the following significant components. Letter of credit and other credit-related fees aggregated $60 million and $56 million in 2021 and 2020, respectively. Income from bank owned life insurance totaled $23 million in the first six months of 2021, compared with $25 million in the corresponding 2020 period. Merchant discount and credit card fees were $62 million and $52 million in the first six months of 2021 and 2020, respectively. Insurance-related commissions and other revenues aggregated $25 million in each of the first six months of 2021 and 2020. M&amp;T’s investment in BLG resulted in income of $23 million in the first six months of 2020; there was no similar income in the first half of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7" w:name="page78"/>
    <w:bookmarkEnd w:id="77"/>
    <w:p>
      <w:pPr>
        <w:spacing w:after="0"/>
        <w:rPr>
          <w:sz w:val="20"/>
          <w:szCs w:val="20"/>
          <w:color w:val="auto"/>
        </w:rPr>
      </w:pPr>
      <w:r>
        <w:rPr>
          <w:rFonts w:ascii="Arial" w:cs="Arial" w:eastAsia="Arial" w:hAnsi="Arial"/>
          <w:sz w:val="21"/>
          <w:szCs w:val="21"/>
          <w:b w:val="1"/>
          <w:bCs w:val="1"/>
          <w:color w:val="auto"/>
        </w:rPr>
        <w:t>Other Expense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Other expense totaled $865 million in the second quarter of 2021, compared with $807 million in the year-earlier quarter and $919 million in the first quarter of 2021. Included in those amounts are expenses considered to be “nonoperating” in nature consisting of amortization of core deposit and other intangible assets of $3 million in each of the two most recent quarters and $4 million in the second quarter of 2020 and merger-related expenses of $4 million in second quarter of 2021 and $10 million in the initial 2021 quarter. The merger-related expenses in the recent quarter largely reflected printing costs associated with the production of the joint proxy statement/prospectus distributed to the shareholders of M&amp;T and People’s United, and in the initial 2021 quarter were comprised of professional services (investment banking and legal) associated with the proposed merger. Exclusive of those nonoperating expenses, noninterest operating expenses were $859 million in the recent quarter, compared with $803 million in the year-earlier quarter and $907 million in the initial 2021 quarter. Factors contributing to the increased other expenses in the recent quarter as compared with the year-earlier quarter were higher costs for salaries and employee benefits, outside data processing and software, and professional services. When compared with the first quarter of 2021, the decrease in noninterest operating expenses in the recent quarter resulted from lower costs for salaries and employee benefits, reflecting seasonally higher stock-based compensation and employee benefits expenses in the previous quarter, partially offset by increased professional services costs. Reflecting the impact of lower interest rates on expected prepayments of serviced residential mortgage loans, M&amp;T recorded an $8 million increase in the valuation allowance for capitalized residential mortgage servicing rights in the recent quarter, compared with a decrease in that valuation allowance of $9 million in the initial 2021 quarter. Table 2 provides a reconciliation of other expense to noninterest operating expense.</w:t>
      </w:r>
    </w:p>
    <w:p>
      <w:pPr>
        <w:spacing w:after="0" w:line="5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Other expense for the first half of 2021 totaled $1.78 billion, compared with $1.71 billion in the year-earlier period. Included in those amounts are expenses considered to be “nonoperating” in nature consisting of amortization of core deposit and other intangible assets of $5 million and $8 million in the six-month periods ended June 30, 2021 and 2020, respectively, and merger-related expenses of $14 million during the first six months of 2021. Exclusive of those nonoperating expenses, noninterest operating expenses for the first half of 2021 were $1.77 billion, compared with $1.71 billion in the first six months of 2020. The increase in noninterest operating expenses in the 2021 period was largely attributable higher costs for salaries and employee benefits, outside data processing and software, professional services and charitable contributions. A $1 million decrease of the valuation allowance for capitalized residential mortgage servicing rights was recorded in the first half of 2021, compared with an addition to that valuation allowance of $20 million in the corresponding 2020 period.</w:t>
      </w:r>
    </w:p>
    <w:p>
      <w:pPr>
        <w:spacing w:after="0" w:line="7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8"/>
          <w:szCs w:val="18"/>
          <w:color w:val="auto"/>
        </w:rPr>
        <w:t>Salaries and employee benefits expense totaled $479 million in the second quarter of 2021, compared with $459 million in the year-earlier quarter and $541 million in the first quarter of 2021. When comparing the second quarter of 2021 with the corresponding 2020 quarter, the increased expenses were predominantly the result of higher incentive compensation. The decrease in salaries and employee benefits expenses in the recent quarter as compared with the first quarter of 2021 reflect seasonally higher stock-based compensation, medical plan costs, payroll-related taxes, unemployment insurance and the Company’s contributions for retirement savings plan benefits related to annual incentive compensation payments in the initial 2021 quarter. During the first six months of 2021 and 2020, salaries and employee benefits expense aggregated $1.02 billion and $996 million, respectively. The higher expense level in 2021 largely reflects increased incentive compensation, stock-based compensation and commission costs.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 of 2021 included $34 million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$13 million in each of the three-month periods ended June 30, 2021 and June 30, 2020, $48 million in the three-month period ended March 31, 2021, and $61 million and $56 million during the six-month periods ended June 30, 2021 and June 30, 2020, respectively. The number of full-time equivalent employees was 16,978 at June 30, 2021, compared with 17,098 and 17,157 at June 30, 2020 and March 31, 2021,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8" w:name="page79"/>
    <w:bookmarkEnd w:id="78"/>
    <w:p>
      <w:pPr>
        <w:jc w:val="both"/>
        <w:ind w:firstLine="510"/>
        <w:spacing w:after="0" w:line="256"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$380 million, $344 million and $366 million in the quarters ended June 30, 2021, June 30, 2020 and March 31, 2021, respectively. On that same basis, such expenses were $745 million and $710 million in the six-month periods ended June 30, 2021 and 2020, respectively. The increase in nonpersonnel operating expenses in the recent quarter as compared with the second quarter of 2020 resulted largely from higher costs for outside data processing and software, professional services and contributions to The M&amp;T Charitable Foundation. As compared with the initial 2021 quarter, the higher nonpersonnel operating expenses in the recent quarter were due to higher costs for outside data processing and software, professional services, and the addition to the valuation allowance for capitalized residential mortgage servicing rights (compared with a reduction in the first quarter of 2021). The rise in nonpersonnel operating expenses in the first half of 2021 as compared with the same period in 2020 was largely the result of increased costs for outside data processing and software, professional services, and charitable contributions offset, in part, by the $1 million reduction of the valuation allowance for capitalized servicing rights in 2021 contrasted with an addition to that valuation allowance in the 2020 period of $20 million.</w:t>
      </w:r>
    </w:p>
    <w:p>
      <w:pPr>
        <w:spacing w:after="0" w:line="8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58.4% during the recent quarter, compared with 55.7% and 60.3% in the second quarter of 2020 and first quarter of 2021, respectively. The efficiency ratios for the six-month periods ended June 30, 2021 and 2020 were 59.4% and 57.4%, respectively.The calculation of the efficiency ratio is presented in Table 2.</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provision for income taxes was $148 million in the second quarter of 2021, compared with $71 million in the year-earlier quarter and $145 million in the initial 2021 quarter. For the six-month periods ended June 30, 2021 and 2020, the provisions for income taxes were $293 million and $152 million, respectively The effective tax rates were 24.4%, 22.8% and 24.5% for the quarters ended June 30, 2021, June 30, 2020 and March 31, 2021, respectively, and 24.4% and 23.0% for the six-month periods ended June 30, 2021 and 2020, respectively.</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Shareholders’ equity was $16.7 billion at June 30, 2021, representing 11.10% of total assets, compared with $15.9 billion or 11.43% a year earlier and $16.2 billion or 11.35% at December 31, 2020.</w:t>
      </w:r>
    </w:p>
    <w:p>
      <w:pPr>
        <w:spacing w:after="0" w:line="6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Included in shareholders’ equity was preferred stock with financial statement carrying values of $1.25 billion at each of June 30, 2021, June 30, 2020 and December 31, 2020.</w:t>
      </w:r>
    </w:p>
    <w:p>
      <w:pPr>
        <w:spacing w:after="0" w:line="6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Common shareholders’ equity was $15.5 billion or $120.22 per share, at June 30, 2021, compared with $14.7 billion or $114.54 per share, a year earlier and $14.9 billion or $116.39 per share at December 31, 2020. Tangible equity per common share, which excludes goodwill and core deposit and other intangible assets and applicable deferred tax balances, was $84.47 at the end of the recent quarter, compared with $78.62 at June 30, 2020 and $80.52 at December 31, 2020. The Company’s ratio of tangible common equity to tangible assets was 7.44% at June 30, 2021, compared with 7.48% a year earlier and 7.49% at December 31, 2020. Reconciliations of total common shareholders’ equity and tangible common equity and total assets and tangible assets as of each of those respective dates are presented in table 2.</w:t>
      </w:r>
    </w:p>
    <w:p>
      <w:pPr>
        <w:spacing w:after="0" w:line="7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9"/>
          <w:szCs w:val="19"/>
          <w:color w:val="auto"/>
        </w:rPr>
        <w:t>adjustments and adjustments to reflect the funded status of defined benefit pension and other postretirement plans. Net unrealized gains on investment securities reflected in shareholders’ equity, net of applicable tax effect, were $114 million or $.89 per common share, at June 30, 2021, $170 million, or $1.32 per common share, at June 30, 2020 and $145 million, or $1.13 per common share, at December 31, 2020. Changes in unrealized gains and losses on investment securities are predominantly reflective of the impact of changes in interest rates on the values of such securities. Information about unrealized gains and losses as of June 30, 2021 and December 31, 2020 is included in note 3 of Notes to Financial Statements.</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Reflected in the carrying amount of available-for-sale investment securities at June 30, 2021 were pre-tax effect unrealized gains of $165 million on securities with an amortized cost of $3.7 billion and pre-tax effect unrealized losses of $7 million on securities with an amortized cost of $103 million. Information concerning the Company’s fair valuations of investment securities is provided in notes 3 and 12 of Notes to Financial Statements.</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6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As of June 30, 2021, based on a review of each of the securities in the available-for-sale investment securities portfolio, the Company concluded that it expected to realize the amortized cost basis of each security. As of June 30, 2021,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53"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Accounting guidance requires investment securities held to maturity to be presented at their net carrying value that is expected to be collected over their contractual term. The Company estimated no material allowance for credit losses for its investment securities classified as held-to-maturity at June 30, 2021 and December 31,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2021 and December 31, 2020, the Company had in its held-to-maturity portfolio privately issued mortgage-backed securities with an amortized cost basis of $68 million and $77 million, respectively, and a fair value of $65 million and $70 million, respectively. At June 30, 2021, 81% of the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has concluded that as of June 30, 2021,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6"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$451 million, or $3.51 per common share, at June 30, 2021, $324 million or $2.53 per common share, at June 30, 2020 and $481 million or $3.75 per common share, at December 31, 2020.</w:t>
      </w:r>
    </w:p>
    <w:p>
      <w:pPr>
        <w:spacing w:after="0" w:line="4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On January 20, 2021, M&amp;T’s Board of Directors authorized a stock repurchase plan to repurchase up to $800 million of shares of M&amp;T’s common stock subject to all applicable regulatory limitations. There were no repurchases pursuant to that repurchase plan during the first six months of 2021, and M&amp;T does not expect any repurchases while the acquisition of People’s United is pending. Pursuant to previously approved capital plans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0" w:name="page81"/>
    <w:bookmarkEnd w:id="80"/>
    <w:p>
      <w:pPr>
        <w:jc w:val="both"/>
        <w:ind w:right="20"/>
        <w:spacing w:after="0" w:line="264" w:lineRule="auto"/>
        <w:rPr>
          <w:sz w:val="20"/>
          <w:szCs w:val="20"/>
          <w:color w:val="auto"/>
        </w:rPr>
      </w:pPr>
      <w:r>
        <w:rPr>
          <w:rFonts w:ascii="Arial" w:cs="Arial" w:eastAsia="Arial" w:hAnsi="Arial"/>
          <w:sz w:val="21"/>
          <w:szCs w:val="21"/>
          <w:color w:val="auto"/>
        </w:rPr>
        <w:t>authorizations by M&amp;T’s Board of Directors, M&amp;T repurchased 2,577,000 shares of its common stock for $374 million in the first quarter of 2020. There were no repurchases of M&amp;T common stock in the second quarter of 2020.</w:t>
      </w:r>
    </w:p>
    <w:p>
      <w:pPr>
        <w:spacing w:after="0" w:line="63"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Cash dividends declared on M&amp;T’s common stock totaled $143 million in each of the two most recent quarters, compared with $142 million in the second quarter of 2020. Cash dividends declared on preferred stock aggregated $17 million in each of the first two quarters of 2021 and in the second quarter of 2020.</w:t>
      </w:r>
    </w:p>
    <w:p>
      <w:pPr>
        <w:spacing w:after="0" w:line="76"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63"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09"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2" w:lineRule="exact"/>
        <w:rPr>
          <w:rFonts w:ascii="Arial" w:cs="Arial" w:eastAsia="Arial" w:hAnsi="Arial"/>
          <w:sz w:val="21"/>
          <w:szCs w:val="21"/>
          <w:color w:val="auto"/>
        </w:rPr>
      </w:pPr>
    </w:p>
    <w:p>
      <w:pPr>
        <w:ind w:left="740" w:right="20" w:hanging="368"/>
        <w:spacing w:after="0" w:line="264" w:lineRule="auto"/>
        <w:tabs>
          <w:tab w:leader="none" w:pos="7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2"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3"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 minimum risk-weighted asset ratios.</w:t>
      </w:r>
    </w:p>
    <w:p>
      <w:pPr>
        <w:spacing w:after="0" w:line="63"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followed by a three-year transition period. M&amp;T and its subsidiary banks adopted these rules and the impact is reflected in the regulatory capital ratios presented below.</w:t>
      </w:r>
    </w:p>
    <w:p>
      <w:pPr>
        <w:spacing w:after="0" w:line="53"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June 30, 2021 are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June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r>
      <w:tr>
        <w:trPr>
          <w:trHeight w:val="171"/>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Trust, N.A.</w:t>
            </w: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10.72%</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11.50%</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30.28%</w:t>
            </w:r>
          </w:p>
        </w:tc>
        <w:tc>
          <w:tcPr>
            <w:tcW w:w="80" w:type="dxa"/>
            <w:vAlign w:val="bottom"/>
          </w:tcPr>
          <w:p>
            <w:pPr>
              <w:spacing w:after="0"/>
              <w:rPr>
                <w:sz w:val="24"/>
                <w:szCs w:val="24"/>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11.92%</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11.50%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30.28%</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14.13%</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13.23%</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30.35%</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8.55%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8.26%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7.87%</w:t>
            </w:r>
          </w:p>
        </w:tc>
        <w:tc>
          <w:tcPr>
            <w:tcW w:w="80" w:type="dxa"/>
            <w:vAlign w:val="bottom"/>
            <w:shd w:val="clear" w:color="auto" w:fill="CFF0FC"/>
          </w:tcPr>
          <w:p>
            <w:pPr>
              <w:spacing w:after="0"/>
              <w:rPr>
                <w:sz w:val="19"/>
                <w:szCs w:val="19"/>
                <w:color w:val="auto"/>
              </w:rPr>
            </w:pPr>
          </w:p>
        </w:tc>
      </w:tr>
    </w:tbl>
    <w:p>
      <w:pPr>
        <w:spacing w:after="0" w:line="20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1" w:name="page82"/>
    <w:bookmarkEnd w:id="81"/>
    <w:p>
      <w:pPr>
        <w:spacing w:after="0"/>
        <w:rPr>
          <w:sz w:val="20"/>
          <w:szCs w:val="20"/>
          <w:color w:val="auto"/>
        </w:rPr>
      </w:pPr>
      <w:r>
        <w:rPr>
          <w:rFonts w:ascii="Arial" w:cs="Arial" w:eastAsia="Arial" w:hAnsi="Arial"/>
          <w:sz w:val="21"/>
          <w:szCs w:val="21"/>
          <w:b w:val="1"/>
          <w:bCs w:val="1"/>
          <w:color w:val="auto"/>
        </w:rPr>
        <w:t>Segment Information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Business Banking segment recorded net income of $42 million in the second quarter of 2021, compared with $38 million and $46 million in the quarters ended June 30, 2020 and March 31, 2021, respectively. As compared with the year-earlier quarter, the increase resulted from a $6 million rise in merchant discount and credit card fees and a $4 million decrease in the provision for credit losses, due to lower net charge-offs, which were partially offset by higher personnel-related costs of $3 million and a $2 million decrease in net interest income. The lower net interest income reflected a 79 basis point narrowing of the net interest margin on deposits, partially offset by higher average outstanding deposit balances of $3.0 billion and a 69 basis point widening of the net interest margin on loans. As compared with the first quarter of 2021, the decline in net income in the recent quarter was attributable to a $17 million decrease in net interest income, reflecting a 71 basis point narrowing of the net interest margin on loans, partially offset by higher merchant discount and credit card fees of $4 million and a decrease of $2 million to each of the provision for credit losses and personnel-related costs. Net income recorded by the Business Banking segment was $88 million in the first six months of 2021, compared with $70 million in the year-earlier period. That 25% improvement resulted from a $20 million rise in net interest income and an $11 million decrease in the provision for credit losses, due to lower net charge-offs, partially offset by higher personnel-related costs of $7 million. The increase in net interest income reflected increases in average outstanding deposit and loan balances of $4.0 billion and $1.5 billion, respectively, and a widening of the net interest margin on loans of 156 basis points, partially offset by a narrowing of the net interest margin on deposits of 184 basis points. The higher average loan balances in the 2021 period were attributable to increased average PPP loans of $1.6 billion as compared with the first half of 2020.</w:t>
      </w:r>
    </w:p>
    <w:p>
      <w:pPr>
        <w:spacing w:after="0" w:line="6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Net income earned by the Commercial Banking segment totaled $111 million during each of the quarters ended June 30, 2021 and 2020, compared with $123 million in the first quarter of 2021. As compared with the second quarter of 2020, net income in the recent quarter reflected lower net interest income of $18 million and increased centrally-allocated costs associated with data processing, risk management and other support services provided to the Commercial Banking segment of $6 million. Those factors were offset by a $9 million write-down in 2020 of equipment under operating leases, a $6 million increase in merchant discount and credit card fees, a $5 million decrease in the provision for credit losses and a $5 million increase in loan syndication fees. The lower net interest income resulted from a decline in the net interest margin on deposit balances of 84 basis points and a decrease in average outstanding loan balances of $2.6 billion, partially offset by a widening of the net interest margin on loans of 26 basis points and an increase in average outstanding deposit balances of $4.7 billion. The recent quarter’s 9% decline in net income as compared with the initial 2021 quarter was largely due to an $8 million increase in the provision for credit losses and a $4 million rise in centrally-allocated costs associated with data processing, risk management and other support services provided to the Commercial Banking segment. The Commercial Banking segment contributed $234 million of net income in the first half of 2021, down from $255 million earned in the similar 2020 period. Contributing to that decline were a $21 million increase in the provision for credit losses, a $16 million decline in net interest income, and a $9 million decrease in trading account and foreign exchange gains that resulted from lower activity related to interest rate swap agreements executed on behalf of commercial customers. Those factors were offset by a $9 million write-down of equipment under operating leases in the 2020 period and $6 million increases in each of loan syndication fees and merchant discount and credit card fees. The lower net interest income reflected a 191 basis point narrowing of the net interest margin on deposits, partially offset by higher average deposit balances of $8.6 billion and a widening of the net interest margin on loans of 22 basis points. Higher average balances of PPP loans of $1.5 billion were offset by declines in dealer floor plan and other commercial loans.</w:t>
      </w:r>
    </w:p>
    <w:p>
      <w:pPr>
        <w:spacing w:after="0" w:line="7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Commercial Real Estate segment contributed net income of $87 million in the recent quarter, compared with $107 million in the second quarter of 2020 and $71 million in the initial 2021 quarter. The decline as compared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20"/>
          <w:szCs w:val="20"/>
          <w:color w:val="auto"/>
        </w:rPr>
        <w:t>with the second quarter of 2020 reflects a $24 million decrease in net interest income, driven by a narrowing of the net interest margin on deposits and loans of 78 basis points and 26 basis points, respectively, and $4 million increases in each of centrally-allocated costs associated with data processing, risk management and other support services provided to the Commercial Real Estate segment and personnel-related costs. Partially offsetting those unfavorable factors was an $8 million decrease in the provision for credit losses. The 22% improvement in the recent quarter’s net income as compared with the first quarter of 2021 was driven by a $24 million decrease in the provision for credit losses. Net income earned by the Commercial Real Estate segment totaled $158 million during the six-month period ended June 30, 2021, compared with $224 million in the corresponding 2020 period. The factors contributing to that decline included: a $37 million decrease in net interest income, reflecting the narrowing of the net interest margin on deposits and loans of 89 basis points and 21 basis points, respectively; a $28 million increase in the provision for credit losses and a $12 million decline in trading account and foreign exchange gains, resulting mainly from decreased activity related to interest rate swap transactions executed on behalf of commercial customers.</w:t>
      </w:r>
    </w:p>
    <w:p>
      <w:pPr>
        <w:spacing w:after="0" w:line="7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Net income from the Discretionary Portfolio segment was $79 million in the recent quarter, compared with $96 million in the second quarter of 2020 and $91 million in the initial 2021 quarter. As compared with 2020’s second quarter, the recent quarter’s results reflected $11 million of valuation losses on marketable equity securities in the recent quarter, compared with gains of $7 million in the second quarter of 2020. The decline in net income in the recent quarter as compared with the immediately preceding quarter was attributable to a $20 million decrease in net interest income, reflecting lower income from interest rate swap agreements utilized for interest rate risk management purposes of $15 million and a $430 million decline in average outstanding loan balances, partially offset by a $2 million decrease in the provision for credit losses and a $2 million increase in revenues from bank owned life insurance. Year-to-date net income recorded by this segment was $169 million in 2021 and $121 million in 2020. That 39% year-over-year increase was predominantly the result of a $74 million increase in net interest income offset, in part, by $9 million of additional valuation losses on marketable equity securities and a $7 million increase of centrally-allocated costs associated with data processing, risk management and other support services provided to the Discretionary Portfolio segment. The rise in net interest income reflected a $49 million increase in income from interest rate swap agreements and a widening of the net interest margin on loans and deposits of 71 basis points and 46 basis points, respectively.</w:t>
      </w:r>
    </w:p>
    <w:p>
      <w:pPr>
        <w:spacing w:after="0" w:line="6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Net income from the Residential Mortgage Banking segment totaled $30 million during the quarter ended June 30, 2021, compared with $37 million in the year-earlier quarter and $50 million in the first quarter of 2021. As compared with the year-earlier period, lower revenues associated with mortgage origination and sales activities (including intersegment revenues) of $13 million and a $10 million increase in centrally-allocated expenses associated with data processing, risk management and other support services provided to the Residential Mortgage Banking segment were partially offset by a $15 million increase in net interest income that largely reflected higher average outstanding loan balances of $2.4 billion. The decline in net income from the first quarter of 2021 reflected higher servicing-related costs (including intersegment costs and changes to the valuation allowance for capitalized residential mortgage servicing rights) of $15 million and lower revenues associated with mortgage origination and sales activities (including intersegment revenues) of $9 million. The Residential Mortgage Banking segment contributed net income of $80 million in the first six months of 2021, compared with $62 million in the corresponding 2020 period. A $33 million increase in net interest income, reflective of higher average outstanding loan balances of $2.4 billion, and lower servicing-related costs (including intersegment costs and changes to the valuation allowance for capitalized residential mortgage servicing rights) of $21 million were partially offset by a $17 million rise in centrally-allocated costs associated with data processing, risk management and other support services provided to the Residential Mortgage Banking segment and higher personnel-related costs of $11 million.</w:t>
      </w:r>
    </w:p>
    <w:p>
      <w:pPr>
        <w:spacing w:after="0" w:line="6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Net income earned by the Retail Banking segment totaled $89 million in the second quarter of 2021, compared with $86 million in the year-earlier quarter and $85 million in the first quarter of 2021. The slight improvement in the recent quarter as compared with the second quarter of 2020 reflected higher service charges on deposit accounts of $17 million, a $12 million decline in the provision for credit losses, an $11 million decrease in personnel-related costs and a $3 million increase in merchant discount and credit card fees. Those favorable factors were almost completely offset by a $25 million decrease in net interest income and higher centrally-allocated expenses associated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9"/>
          <w:szCs w:val="19"/>
          <w:color w:val="auto"/>
        </w:rPr>
        <w:t>with support services provided to the Retail Banking segment of $17 million. The lower net interest income reflected a narrowing of the net interest margin on deposits of 60 basis points, partially offset by higher average outstanding balances of deposits and loans of $5.6 billion and $1.6 billion, respectively. As compared with the immediately preceding quarter, a $5 million increase in service charges on deposit accounts and a $4 million decline in the provision for credit losses were partially offset by higher centrally-allocated costs associated with data processing, risk management and other support services provided to the Retail Banking segment of $7 million. Net income recorded by the Retail Banking segment totaled $175 million in the first half of 2021 and $197 million in 2020. The most significant factors contributing to that decline were a $72 million decrease in net interest income, reflecting a narrowing of the net interest margin on deposits of 71 basis points, partially offset by higher average outstanding balances of deposits and loans of $5.8 billion and $1.4 billion, respectively, and higher centrally-allocated expenses associated with support services provided to the Retail Banking segment of $22 million. Those unfavorable factors were partially offset by a $29 million decline in the provision for credit losses, due to lower net charge-offs, an $18 million reduction of personnel-related costs, a $6 million increase in service charges on deposit accounts and a $4 million rise in merchant discount and credit card fees.</w:t>
      </w:r>
    </w:p>
    <w:p>
      <w:pPr>
        <w:spacing w:after="0" w:line="6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income of $21 million for the quarter ended June 30, 2021, compared with net losses of $234 million and $18 million in the second quarter of 2020 and first quarter of 2021, respectively. The change from the year-earlier quarter reflected a decrease in the provision for credit losses of $311 million, the favorable impact from the Company’s allocation methodologies for internal transfers for funding charges and credits associated with earning assets and interest-bearing liabilities of the Company’s reportable segments, and an $11 million rise in trust income, partially offset by a $20 million increase in consulting and advisory expenses and a $17 million rise in personnel-related expenses. The net income in the second quarter of 2021 as compared with the net loss in the immediately preceding quarter reflected a $63 million seasonal decrease in personnel-related expenses, partially offset by an increase in the provision for credit losses of $34 million. The “All Other” category recorded net income of $2 million for the six months ended June 30, 2021, compared with a net loss of $420 million in the corresponding prior year period. The improved performance in 2021 was attributable to the following factors: a decrease in the provision for credit losses of $623 million; higher trust income of $18 million; and the favorable impact from the Company’s allocation methodologies for internal transfers for funding charges and credits associated with earning assets and interest-bearing liabilities of the Company’s reportable segments. Partially offsetting those favorable factors were increased consulting and advisory fees of $35 million, a $23 million rise in personnel-related costs and $22 million of charitable contributions in the 2021 period.</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Any statement that does not describe historical or current facts is a forward-looking statement.</w:t>
      </w:r>
    </w:p>
    <w:p>
      <w:pPr>
        <w:spacing w:after="0" w:line="78" w:lineRule="exact"/>
        <w:rPr>
          <w:sz w:val="20"/>
          <w:szCs w:val="20"/>
          <w:color w:val="auto"/>
        </w:rPr>
      </w:pPr>
    </w:p>
    <w:p>
      <w:pPr>
        <w:jc w:val="both"/>
        <w:ind w:firstLine="468"/>
        <w:spacing w:after="0" w:line="249" w:lineRule="auto"/>
        <w:rPr>
          <w:sz w:val="20"/>
          <w:szCs w:val="20"/>
          <w:color w:val="auto"/>
        </w:rPr>
      </w:pPr>
      <w:r>
        <w:rPr>
          <w:rFonts w:ascii="Arial" w:cs="Arial" w:eastAsia="Arial" w:hAnsi="Arial"/>
          <w:sz w:val="21"/>
          <w:szCs w:val="21"/>
          <w:color w:val="auto"/>
        </w:rPr>
        <w:t>Statements regarding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21"/>
          <w:szCs w:val="21"/>
          <w:color w:val="auto"/>
        </w:rPr>
        <w:t>control, including the scope and duration of the pandemic, actions taken by governmental authorities in response to the pandemic, and the direct and indirect impact of the pandemic on customers, clients, third parties and the Company.</w:t>
      </w:r>
    </w:p>
    <w:p>
      <w:pPr>
        <w:spacing w:after="0" w:line="63" w:lineRule="exact"/>
        <w:rPr>
          <w:sz w:val="20"/>
          <w:szCs w:val="20"/>
          <w:color w:val="auto"/>
        </w:rPr>
      </w:pPr>
    </w:p>
    <w:p>
      <w:pPr>
        <w:jc w:val="both"/>
        <w:ind w:firstLine="468"/>
        <w:spacing w:after="0" w:line="292" w:lineRule="auto"/>
        <w:rPr>
          <w:sz w:val="20"/>
          <w:szCs w:val="20"/>
          <w:color w:val="auto"/>
        </w:rPr>
      </w:pPr>
      <w:r>
        <w:rPr>
          <w:rFonts w:ascii="Arial" w:cs="Arial" w:eastAsia="Arial" w:hAnsi="Arial"/>
          <w:sz w:val="19"/>
          <w:szCs w:val="19"/>
          <w:color w:val="auto"/>
        </w:rPr>
        <w:t>Statements regarding the Company’s expectations or predictions regarding the proposed transaction between M&amp;T and People’s United also are forward-looking statements, including statements regarding the expected timing, completion and effects of the proposed transaction as well as M&amp;T’s and People’s United’s expected financial results, prospects, targets, goals and outlook.</w:t>
      </w:r>
    </w:p>
    <w:p>
      <w:pPr>
        <w:spacing w:after="0" w:line="40" w:lineRule="exact"/>
        <w:rPr>
          <w:sz w:val="20"/>
          <w:szCs w:val="20"/>
          <w:color w:val="auto"/>
        </w:rPr>
      </w:pPr>
    </w:p>
    <w:p>
      <w:pPr>
        <w:jc w:val="both"/>
        <w:ind w:firstLine="468"/>
        <w:spacing w:after="0" w:line="279" w:lineRule="auto"/>
        <w:rPr>
          <w:sz w:val="20"/>
          <w:szCs w:val="20"/>
          <w:color w:val="auto"/>
        </w:rPr>
      </w:pPr>
      <w:r>
        <w:rPr>
          <w:rFonts w:ascii="Arial" w:cs="Arial" w:eastAsia="Arial" w:hAnsi="Arial"/>
          <w:sz w:val="19"/>
          <w:szCs w:val="19"/>
          <w:color w:val="auto"/>
        </w:rPr>
        <w:t>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53" w:lineRule="exact"/>
        <w:rPr>
          <w:sz w:val="20"/>
          <w:szCs w:val="20"/>
          <w:color w:val="auto"/>
        </w:rPr>
      </w:pPr>
    </w:p>
    <w:p>
      <w:pPr>
        <w:jc w:val="both"/>
        <w:ind w:firstLine="468"/>
        <w:spacing w:after="0" w:line="255" w:lineRule="auto"/>
        <w:rPr>
          <w:sz w:val="20"/>
          <w:szCs w:val="20"/>
          <w:color w:val="auto"/>
        </w:rPr>
      </w:pPr>
      <w:r>
        <w:rPr>
          <w:rFonts w:ascii="Arial" w:cs="Arial" w:eastAsia="Arial" w:hAnsi="Arial"/>
          <w:sz w:val="20"/>
          <w:szCs w:val="20"/>
          <w:color w:val="auto"/>
        </w:rPr>
        <w:t>Future Factors include risks, predictions and uncertainties relating to: the impact of the COVID-19 pandemic; the proposed transaction between the Company and People’s United;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regulations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Financial Accounting Standards Board, regulatory agencies or legislation;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5" w:lineRule="exact"/>
        <w:rPr>
          <w:sz w:val="20"/>
          <w:szCs w:val="20"/>
          <w:color w:val="auto"/>
        </w:rPr>
      </w:pPr>
    </w:p>
    <w:p>
      <w:pPr>
        <w:jc w:val="both"/>
        <w:ind w:firstLine="468"/>
        <w:spacing w:after="0" w:line="265"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4" w:lineRule="exact"/>
        <w:rPr>
          <w:sz w:val="20"/>
          <w:szCs w:val="20"/>
          <w:color w:val="auto"/>
        </w:rPr>
      </w:pPr>
    </w:p>
    <w:p>
      <w:pPr>
        <w:jc w:val="both"/>
        <w:ind w:firstLine="468"/>
        <w:spacing w:after="0" w:line="249" w:lineRule="auto"/>
        <w:rPr>
          <w:sz w:val="20"/>
          <w:szCs w:val="20"/>
          <w:color w:val="auto"/>
        </w:rPr>
      </w:pPr>
      <w:r>
        <w:rPr>
          <w:rFonts w:ascii="Arial" w:cs="Arial" w:eastAsia="Arial" w:hAnsi="Arial"/>
          <w:sz w:val="21"/>
          <w:szCs w:val="21"/>
          <w:color w:val="auto"/>
        </w:rPr>
        <w:t>M&amp;T provides further detail regarding these risks, uncertainties and other factors elsewhere in this quarterly report and in other public filings, including the risk factors described in Form 10-K for the year ended December 31, 2020 and this quarterly report. Forward-looking statements speak only as of the date they are made, and the Company assumes no duty to update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vMerge w:val="restart"/>
          </w:tcPr>
          <w:p>
            <w:pPr>
              <w:spacing w:after="0"/>
              <w:rPr>
                <w:sz w:val="20"/>
                <w:szCs w:val="20"/>
                <w:color w:val="auto"/>
              </w:rPr>
            </w:pPr>
            <w:r>
              <w:rPr>
                <w:rFonts w:ascii="Arial" w:cs="Arial" w:eastAsia="Arial" w:hAnsi="Arial"/>
                <w:sz w:val="20"/>
                <w:szCs w:val="20"/>
                <w:color w:val="auto"/>
              </w:rPr>
              <w:t>QUARTERLY TRENDS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Table 1</w:t>
            </w:r>
          </w:p>
        </w:tc>
        <w:tc>
          <w:tcPr>
            <w:tcW w:w="0" w:type="dxa"/>
            <w:vAlign w:val="bottom"/>
          </w:tcPr>
          <w:p>
            <w:pPr>
              <w:spacing w:after="0"/>
              <w:rPr>
                <w:sz w:val="1"/>
                <w:szCs w:val="1"/>
                <w:color w:val="auto"/>
              </w:rPr>
            </w:pPr>
          </w:p>
        </w:tc>
      </w:tr>
      <w:tr>
        <w:trPr>
          <w:trHeight w:val="213"/>
        </w:trPr>
        <w:tc>
          <w:tcPr>
            <w:tcW w:w="5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3"/>
                <w:szCs w:val="13"/>
                <w:b w:val="1"/>
                <w:bCs w:val="1"/>
                <w:color w:val="auto"/>
                <w:w w:val="87"/>
              </w:rPr>
              <w:t>2021 Quarters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2020 Quarters</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Second</w:t>
            </w:r>
          </w:p>
        </w:tc>
        <w:tc>
          <w:tcPr>
            <w:tcW w:w="22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First</w:t>
            </w:r>
          </w:p>
        </w:tc>
        <w:tc>
          <w:tcPr>
            <w:tcW w:w="220" w:type="dxa"/>
            <w:vAlign w:val="bottom"/>
          </w:tcPr>
          <w:p>
            <w:pPr>
              <w:spacing w:after="0"/>
              <w:rPr>
                <w:sz w:val="13"/>
                <w:szCs w:val="13"/>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Fourth</w:t>
            </w:r>
          </w:p>
        </w:tc>
        <w:tc>
          <w:tcPr>
            <w:tcW w:w="30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b w:val="1"/>
                <w:bCs w:val="1"/>
                <w:color w:val="auto"/>
              </w:rPr>
              <w:t>Second</w:t>
            </w:r>
          </w:p>
        </w:tc>
        <w:tc>
          <w:tcPr>
            <w:tcW w:w="30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974,090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1,020,695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1,042,862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1,005,180</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1,036,476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1,125,482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expense</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28,018</w:t>
            </w:r>
          </w:p>
        </w:tc>
        <w:tc>
          <w:tcPr>
            <w:tcW w:w="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35,567</w:t>
            </w: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49,610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58,066</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75,105</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143,614</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946,072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985,128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993,252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947,114</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961,371</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981,868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0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(15,000)</w:t>
            </w:r>
          </w:p>
        </w:tc>
        <w:tc>
          <w:tcPr>
            <w:tcW w:w="22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(25,000)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325,000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513,633</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505,598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551,250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520,561</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other expense</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865,345</w:t>
            </w:r>
          </w:p>
        </w:tc>
        <w:tc>
          <w:tcPr>
            <w:tcW w:w="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919,444</w:t>
            </w: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845,008</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826,774</w:t>
            </w: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807,042</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906,416</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609,360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596,282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624,494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490,901</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316,602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354,812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147,559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145,300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149,382</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114,746</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71,314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80,927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3,972</w:t>
            </w:r>
          </w:p>
        </w:tc>
        <w:tc>
          <w:tcPr>
            <w:tcW w:w="3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4,019</w:t>
            </w:r>
          </w:p>
        </w:tc>
        <w:tc>
          <w:tcPr>
            <w:tcW w:w="28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4,234</w:t>
            </w:r>
          </w:p>
        </w:tc>
        <w:tc>
          <w:tcPr>
            <w:tcW w:w="3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5,063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458,069</w:t>
            </w:r>
          </w:p>
        </w:tc>
        <w:tc>
          <w:tcPr>
            <w:tcW w:w="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447,249</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471,140</w:t>
            </w:r>
          </w:p>
        </w:tc>
        <w:tc>
          <w:tcPr>
            <w:tcW w:w="3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372,136</w:t>
            </w:r>
          </w:p>
        </w:tc>
        <w:tc>
          <w:tcPr>
            <w:tcW w:w="2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241,054</w:t>
            </w:r>
          </w:p>
        </w:tc>
        <w:tc>
          <w:tcPr>
            <w:tcW w:w="3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268,822</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438,759</w:t>
            </w: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428,093</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451,869</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353,400</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223,099</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250,701</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Per common share data</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3.52</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128,671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128,303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128,285</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128,275</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129,696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128,842</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128,669</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128,379</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128,355</w:t>
            </w:r>
          </w:p>
        </w:tc>
        <w:tc>
          <w:tcPr>
            <w:tcW w:w="28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128,333</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129,755</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0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Return 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11.55</w:t>
            </w:r>
          </w:p>
        </w:tc>
        <w:tc>
          <w:tcPr>
            <w:tcW w:w="60" w:type="dxa"/>
            <w:vAlign w:val="bottom"/>
          </w:tcPr>
          <w:p>
            <w:pPr>
              <w:spacing w:after="0"/>
              <w:rPr>
                <w:sz w:val="12"/>
                <w:szCs w:val="12"/>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11.57</w:t>
            </w:r>
          </w:p>
        </w:tc>
        <w:tc>
          <w:tcPr>
            <w:tcW w:w="8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12.07</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9.53</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6.13</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7.00</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(taxable-equivalent basis)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06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c>
          <w:tcPr>
            <w:tcW w:w="300" w:type="dxa"/>
            <w:vAlign w:val="bottom"/>
            <w:tcBorders>
              <w:bottom w:val="single" w:sz="8" w:color="CFF0FC"/>
            </w:tcBorders>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28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30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32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0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462,959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457,372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473,453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375,029</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243,958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271,705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Annualized return 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06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16.68</w:t>
            </w:r>
          </w:p>
        </w:tc>
        <w:tc>
          <w:tcPr>
            <w:tcW w:w="60" w:type="dxa"/>
            <w:vAlign w:val="bottom"/>
          </w:tcPr>
          <w:p>
            <w:pPr>
              <w:spacing w:after="0"/>
              <w:rPr>
                <w:sz w:val="12"/>
                <w:szCs w:val="12"/>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17.05</w:t>
            </w:r>
          </w:p>
        </w:tc>
        <w:tc>
          <w:tcPr>
            <w:tcW w:w="8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17.53</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13.94</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9.04</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10.39</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58.4</w:t>
            </w:r>
          </w:p>
        </w:tc>
        <w:tc>
          <w:tcPr>
            <w:tcW w:w="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60.3</w:t>
            </w: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3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56.2</w:t>
            </w:r>
          </w:p>
        </w:tc>
        <w:tc>
          <w:tcPr>
            <w:tcW w:w="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55.7</w:t>
            </w:r>
          </w:p>
        </w:tc>
        <w:tc>
          <w:tcPr>
            <w:tcW w:w="3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58.9</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3"/>
                <w:szCs w:val="13"/>
                <w:color w:val="auto"/>
              </w:rPr>
              <w:t>Average balances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150,641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144,563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140,181</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146,041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143,554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139,958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135,574</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131,836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115,972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136,951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134,355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131,916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127,689</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123,492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108,226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6,211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7,195</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7,876</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9,102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98,610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99,356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98,666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98,210</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97,797</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91,706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128,413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125,733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120,976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116,306</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111,795</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96,166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14,823</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10,474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10,358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10,216</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10,093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150,623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150,481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142,601</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138,627</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139,537</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124,578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146,023</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145,879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137,998</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134,021</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134,928</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137,171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137,367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129,295</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126,418</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127,149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112,046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6,143</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7,723</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97,113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99,299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98,536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98,447</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97,758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94,142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128,269</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128,476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119,806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115,163</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114,968</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100,183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Common shareholders’ equity (c)</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15,470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15,197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14,937</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14,851</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14,695</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10,870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10,334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10,245</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120.22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116.39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115.75</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114.54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84.47</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80.52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79.85</w:t>
            </w: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line="224" w:lineRule="auto"/>
        <w:tabs>
          <w:tab w:leader="none" w:pos="50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540" w:hanging="11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QUARTERLY GAAP TO NON-GAAP MEASURES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89"/>
              </w:rPr>
              <w:t>2020 Quarters</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w w:val="97"/>
              </w:rPr>
              <w:t>Second</w:t>
            </w:r>
          </w:p>
        </w:tc>
        <w:tc>
          <w:tcPr>
            <w:tcW w:w="92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2"/>
                <w:szCs w:val="12"/>
                <w:color w:val="auto"/>
              </w:rPr>
            </w:pPr>
          </w:p>
        </w:tc>
        <w:tc>
          <w:tcPr>
            <w:tcW w:w="120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Fourth</w:t>
            </w:r>
          </w:p>
        </w:tc>
        <w:tc>
          <w:tcPr>
            <w:tcW w:w="1460" w:type="dxa"/>
            <w:vAlign w:val="bottom"/>
            <w:gridSpan w:val="3"/>
          </w:tcPr>
          <w:p>
            <w:pPr>
              <w:ind w:left="300"/>
              <w:spacing w:after="0" w:line="142" w:lineRule="exact"/>
              <w:rPr>
                <w:sz w:val="20"/>
                <w:szCs w:val="20"/>
                <w:color w:val="auto"/>
              </w:rPr>
            </w:pPr>
            <w:r>
              <w:rPr>
                <w:rFonts w:ascii="Arial" w:cs="Arial" w:eastAsia="Arial" w:hAnsi="Arial"/>
                <w:sz w:val="13"/>
                <w:szCs w:val="13"/>
                <w:b w:val="1"/>
                <w:bCs w:val="1"/>
                <w:color w:val="auto"/>
              </w:rPr>
              <w:t>Third</w:t>
            </w:r>
          </w:p>
        </w:tc>
        <w:tc>
          <w:tcPr>
            <w:tcW w:w="94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w w:val="76"/>
              </w:rPr>
              <w:t>Second</w:t>
            </w:r>
          </w:p>
        </w:tc>
        <w:tc>
          <w:tcPr>
            <w:tcW w:w="92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040" w:type="dxa"/>
            <w:vAlign w:val="bottom"/>
            <w:tcBorders>
              <w:top w:val="single" w:sz="8" w:color="CFF0FC"/>
            </w:tcBorders>
            <w:gridSpan w:val="2"/>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Income statement data (in thousands,</w:t>
            </w:r>
          </w:p>
        </w:tc>
        <w:tc>
          <w:tcPr>
            <w:tcW w:w="1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except per share)</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458,069</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447,249</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471,140</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372,136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241,054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gridSpan w:val="2"/>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2,034</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2,313</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2,893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2,904</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2,883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2,867</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8,089</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FF0FC"/>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gridSpan w:val="2"/>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462,959</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457,372</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473,453</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375,029</w:t>
            </w:r>
          </w:p>
        </w:tc>
        <w:tc>
          <w:tcPr>
            <w:tcW w:w="28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243,958</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271,705</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3.41</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3.52</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.06</w:t>
            </w:r>
          </w:p>
        </w:tc>
        <w:tc>
          <w:tcPr>
            <w:tcW w:w="280" w:type="dxa"/>
            <w:vAlign w:val="bottom"/>
          </w:tcPr>
          <w:p>
            <w:pPr>
              <w:spacing w:after="0"/>
              <w:rPr>
                <w:sz w:val="12"/>
                <w:szCs w:val="1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040" w:type="dxa"/>
            <w:vAlign w:val="bottom"/>
            <w:tcBorders>
              <w:top w:val="single" w:sz="8" w:color="CFF0FC"/>
            </w:tcBorders>
            <w:gridSpan w:val="2"/>
            <w:shd w:val="clear" w:color="auto" w:fill="CFF0FC"/>
          </w:tcPr>
          <w:p>
            <w:pPr>
              <w:ind w:left="260"/>
              <w:spacing w:after="0" w:line="128" w:lineRule="exact"/>
              <w:rPr>
                <w:sz w:val="20"/>
                <w:szCs w:val="20"/>
                <w:color w:val="auto"/>
              </w:rPr>
            </w:pPr>
            <w:r>
              <w:rPr>
                <w:rFonts w:ascii="Arial" w:cs="Arial" w:eastAsia="Arial" w:hAnsi="Arial"/>
                <w:sz w:val="13"/>
                <w:szCs w:val="13"/>
                <w:color w:val="auto"/>
              </w:rPr>
              <w:t>Diluted net operating earnings per</w:t>
            </w: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gridSpan w:val="2"/>
            <w:shd w:val="clear" w:color="auto" w:fill="CFF0FC"/>
          </w:tcPr>
          <w:p>
            <w:pPr>
              <w:ind w:left="320"/>
              <w:spacing w:after="0"/>
              <w:rPr>
                <w:sz w:val="20"/>
                <w:szCs w:val="20"/>
                <w:color w:val="auto"/>
              </w:rPr>
            </w:pPr>
            <w:r>
              <w:rPr>
                <w:rFonts w:ascii="Arial" w:cs="Arial" w:eastAsia="Arial" w:hAnsi="Arial"/>
                <w:sz w:val="13"/>
                <w:szCs w:val="13"/>
                <w:color w:val="auto"/>
              </w:rPr>
              <w:t>common share</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865,345</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919,444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845,008</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826,774</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807,042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906,416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gridSpan w:val="2"/>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100"/>
              <w:spacing w:after="0"/>
              <w:rPr>
                <w:sz w:val="20"/>
                <w:szCs w:val="20"/>
                <w:color w:val="auto"/>
              </w:rPr>
            </w:pPr>
            <w:r>
              <w:rPr>
                <w:rFonts w:ascii="Arial" w:cs="Arial" w:eastAsia="Arial" w:hAnsi="Arial"/>
                <w:sz w:val="13"/>
                <w:szCs w:val="13"/>
                <w:color w:val="auto"/>
              </w:rPr>
              <w:t>intangible assets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(2,737)</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(2,738)</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(3,129)</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(3,914)</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(3,913)</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(3,913)</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Merger-related expenses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(3,893)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(9,951)</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FF0FC"/>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gridSpan w:val="2"/>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858,715</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906,755</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841,879</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822,860</w:t>
            </w:r>
          </w:p>
        </w:tc>
        <w:tc>
          <w:tcPr>
            <w:tcW w:w="28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803,129</w:t>
            </w:r>
          </w:p>
        </w:tc>
        <w:tc>
          <w:tcPr>
            <w:tcW w:w="2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902,503</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Merger-related expenses</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Salaries and employee benefits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tcPr>
          <w:p>
            <w:pPr>
              <w:spacing w:after="0"/>
              <w:rPr>
                <w:sz w:val="12"/>
                <w:szCs w:val="1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Outside data processing and software</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FF0FC"/>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Advertising and marketing</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2"/>
                <w:szCs w:val="1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Printing, postage, and supplies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2,049</w:t>
            </w:r>
          </w:p>
        </w:tc>
        <w:tc>
          <w:tcPr>
            <w:tcW w:w="2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FF0FC"/>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Other costs of operations</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1,572</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9,951</w:t>
            </w:r>
          </w:p>
        </w:tc>
        <w:tc>
          <w:tcPr>
            <w:tcW w:w="280" w:type="dxa"/>
            <w:vAlign w:val="bottom"/>
          </w:tcPr>
          <w:p>
            <w:pPr>
              <w:spacing w:after="0"/>
              <w:rPr>
                <w:sz w:val="12"/>
                <w:szCs w:val="1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Other expense</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3,893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9,951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Noninterest operating expense (numerator)</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858,715</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906,755</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841,879</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822,860</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803,129</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902,503</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color w:val="auto"/>
              </w:rPr>
              <w:t>Taxable-equivalent net interest income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946,072</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985,128</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993,252</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947,114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961,371</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981,868</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513,633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505,598</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551,250</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520,561</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gridSpan w:val="2"/>
          </w:tcPr>
          <w:p>
            <w:pPr>
              <w:spacing w:after="0" w:line="134" w:lineRule="exact"/>
              <w:rPr>
                <w:sz w:val="20"/>
                <w:szCs w:val="20"/>
                <w:color w:val="auto"/>
              </w:rPr>
            </w:pPr>
            <w:r>
              <w:rPr>
                <w:rFonts w:ascii="Arial" w:cs="Arial" w:eastAsia="Arial" w:hAnsi="Arial"/>
                <w:sz w:val="13"/>
                <w:szCs w:val="13"/>
                <w:color w:val="auto"/>
              </w:rPr>
              <w:t>Less: Gain (loss) on bank investment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80"/>
              <w:spacing w:after="0"/>
              <w:rPr>
                <w:sz w:val="20"/>
                <w:szCs w:val="20"/>
                <w:color w:val="auto"/>
              </w:rPr>
            </w:pPr>
            <w:r>
              <w:rPr>
                <w:rFonts w:ascii="Arial" w:cs="Arial" w:eastAsia="Arial" w:hAnsi="Arial"/>
                <w:sz w:val="13"/>
                <w:szCs w:val="13"/>
                <w:color w:val="auto"/>
              </w:rPr>
              <w:t>securities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(10,655)</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(12,282)</w:t>
            </w:r>
          </w:p>
        </w:tc>
        <w:tc>
          <w:tcPr>
            <w:tcW w:w="920" w:type="dxa"/>
            <w:vAlign w:val="bottom"/>
          </w:tcPr>
          <w:p>
            <w:pPr>
              <w:jc w:val="right"/>
              <w:spacing w:after="0"/>
              <w:rPr>
                <w:sz w:val="20"/>
                <w:szCs w:val="20"/>
                <w:color w:val="auto"/>
              </w:rPr>
            </w:pPr>
            <w:r>
              <w:rPr>
                <w:rFonts w:ascii="Arial" w:cs="Arial" w:eastAsia="Arial" w:hAnsi="Arial"/>
                <w:sz w:val="13"/>
                <w:szCs w:val="13"/>
                <w:color w:val="auto"/>
              </w:rPr>
              <w:t>1,619</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2,773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6,969</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(20,782)</w:t>
            </w:r>
          </w:p>
        </w:tc>
        <w:tc>
          <w:tcPr>
            <w:tcW w:w="0" w:type="dxa"/>
            <w:vAlign w:val="bottom"/>
          </w:tcPr>
          <w:p>
            <w:pPr>
              <w:spacing w:after="0"/>
              <w:rPr>
                <w:sz w:val="1"/>
                <w:szCs w:val="1"/>
                <w:color w:val="auto"/>
              </w:rPr>
            </w:pPr>
          </w:p>
        </w:tc>
      </w:tr>
      <w:tr>
        <w:trPr>
          <w:trHeight w:val="142"/>
        </w:trPr>
        <w:tc>
          <w:tcPr>
            <w:tcW w:w="374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Denominator</w:t>
            </w:r>
          </w:p>
        </w:tc>
        <w:tc>
          <w:tcPr>
            <w:tcW w:w="300" w:type="dxa"/>
            <w:vAlign w:val="bottom"/>
            <w:tcBorders>
              <w:top w:val="single" w:sz="8" w:color="auto"/>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1,470,360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1,503,008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1,542,883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1,464,902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1,441,675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1,532,010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58.4%</w:t>
            </w:r>
          </w:p>
        </w:tc>
        <w:tc>
          <w:tcPr>
            <w:tcW w:w="120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60.3%</w:t>
            </w:r>
          </w:p>
        </w:tc>
        <w:tc>
          <w:tcPr>
            <w:tcW w:w="120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54.6%</w:t>
            </w:r>
          </w:p>
        </w:tc>
        <w:tc>
          <w:tcPr>
            <w:tcW w:w="120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56.2%</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55.7%</w:t>
            </w:r>
          </w:p>
        </w:tc>
        <w:tc>
          <w:tcPr>
            <w:tcW w:w="120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29"/>
        </w:trPr>
        <w:tc>
          <w:tcPr>
            <w:tcW w:w="4040" w:type="dxa"/>
            <w:vAlign w:val="bottom"/>
            <w:tcBorders>
              <w:top w:val="single" w:sz="8" w:color="CFF0FC"/>
            </w:tcBorders>
            <w:gridSpan w:val="2"/>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Average assets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Average assets</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150,641</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144,563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140,181</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(16)</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(23)</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FF0FC"/>
            </w:tcBorders>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146,041</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143,554</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139,958</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135,574</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131,836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115,972</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Average common equity</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Average total equity</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16,571</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16,327</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16,073</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15,953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15,720</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tcBorders>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15,321</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15,077</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14,963</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14,823</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14,703</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14,470</w:t>
            </w: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(16)</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(23)</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FF0FC"/>
            </w:tcBorders>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10,721</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10,474</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10,358</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10,216</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10,093</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9,857</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At end of quarter</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150,623</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150,481</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142,601</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138,627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139,537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124,578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(9)</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(14)</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(21)</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gridSpan w:val="2"/>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146,023</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145,879</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137,998</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134,021</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134,928</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119,966</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Total equity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16,720</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16,447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16,187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16,101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15,945</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15,816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4040" w:type="dxa"/>
            <w:vAlign w:val="bottom"/>
            <w:gridSpan w:val="2"/>
          </w:tcPr>
          <w:p>
            <w:pPr>
              <w:ind w:left="260"/>
              <w:spacing w:after="0" w:line="142" w:lineRule="exact"/>
              <w:rPr>
                <w:sz w:val="20"/>
                <w:szCs w:val="20"/>
                <w:color w:val="auto"/>
              </w:rPr>
            </w:pPr>
            <w:r>
              <w:rPr>
                <w:rFonts w:ascii="Arial" w:cs="Arial" w:eastAsia="Arial" w:hAnsi="Arial"/>
                <w:sz w:val="13"/>
                <w:szCs w:val="13"/>
                <w:color w:val="auto"/>
              </w:rPr>
              <w:t>Common equity</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15,470</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15,197</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14,937</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14,851</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14,695</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14,566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(9)</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(14)</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(21)</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gridSpan w:val="2"/>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10,870</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10,595</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10,334</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10,245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10,086</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9,954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22"/>
        </w:trPr>
        <w:tc>
          <w:tcPr>
            <w:tcW w:w="7580" w:type="dxa"/>
            <w:vAlign w:val="bottom"/>
            <w:gridSpan w:val="14"/>
          </w:tcPr>
          <w:p>
            <w:pPr>
              <w:spacing w:after="0"/>
              <w:rPr>
                <w:sz w:val="20"/>
                <w:szCs w:val="20"/>
                <w:color w:val="auto"/>
              </w:rPr>
            </w:pPr>
            <w:r>
              <w:rPr>
                <w:rFonts w:ascii="Arial" w:cs="Arial" w:eastAsia="Arial" w:hAnsi="Arial"/>
                <w:sz w:val="20"/>
                <w:szCs w:val="20"/>
                <w:color w:val="auto"/>
                <w:w w:val="99"/>
              </w:rPr>
              <w:t>AVERAGE BALANCE SHEETS AND ANNUALIZED TAXABLE-EQUIVALENT RATES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2021 Second Quarter</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2021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jc w:val="center"/>
              <w:ind w:left="480"/>
              <w:spacing w:after="0"/>
              <w:rPr>
                <w:sz w:val="20"/>
                <w:szCs w:val="20"/>
                <w:color w:val="auto"/>
              </w:rPr>
            </w:pPr>
            <w:r>
              <w:rPr>
                <w:rFonts w:ascii="Arial" w:cs="Arial" w:eastAsia="Arial" w:hAnsi="Arial"/>
                <w:sz w:val="14"/>
                <w:szCs w:val="14"/>
                <w:b w:val="1"/>
                <w:bCs w:val="1"/>
                <w:color w:val="auto"/>
                <w:w w:val="97"/>
              </w:rPr>
              <w:t>2020 Fourth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40" w:type="dxa"/>
            <w:vAlign w:val="bottom"/>
            <w:gridSpan w:val="3"/>
            <w:vMerge w:val="continue"/>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i w:val="1"/>
                <w:iCs w:val="1"/>
                <w:color w:val="auto"/>
              </w:rPr>
              <w:t>Average balance in millions; interest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27,055</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8"/>
              </w:rPr>
              <w:t>$ 219,686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27,723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240,961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247,847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37,419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371,050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37,609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391,094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37,707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400,176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150,704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154,219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149,218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189,254</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16,620</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190,038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16,485</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197,992</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930,694</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99,356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976,312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98,666</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995,233</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32,081</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8,711</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27,666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6,874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22,206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5,648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5,525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31,621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5,920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34,094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6,497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37,768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34,469</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7,195</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40,637</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136,951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974,090</w:t>
            </w: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134,355</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1,020,695</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131,916</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1,042,862</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(1,642)</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(1,744)</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(1,768)</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14,138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13,043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150,641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148,157</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144,563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380"/>
              <w:spacing w:after="0"/>
              <w:rPr>
                <w:sz w:val="20"/>
                <w:szCs w:val="20"/>
                <w:color w:val="auto"/>
              </w:rPr>
            </w:pPr>
            <w:r>
              <w:rPr>
                <w:rFonts w:ascii="Arial" w:cs="Arial" w:eastAsia="Arial" w:hAnsi="Arial"/>
                <w:sz w:val="16"/>
                <w:szCs w:val="16"/>
                <w:color w:val="auto"/>
              </w:rPr>
              <w:t>deposits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71,561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8,052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70,458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11,504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69,133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13,152</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74,873</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74,072</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30,080</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14,864</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3,851</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16,866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5,294</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19,528</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78,459</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28,018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78,786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35,567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79,430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49,610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53,444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50,860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46,904</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134,070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131,830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128,350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16,327</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16,213</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150,641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148,157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144,563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2.71</w:t>
            </w: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8"/>
              </w:rPr>
              <w:t>$ 946,072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985,128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993,252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AVERAGE BALANCE SHEETS AND ANNUALIZED TAXABLE-EQUIVALENT RATES (continued)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2020 Third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6"/>
                <w:szCs w:val="16"/>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2020 Second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180"/>
              <w:spacing w:after="0"/>
              <w:rPr>
                <w:sz w:val="20"/>
                <w:szCs w:val="20"/>
                <w:color w:val="auto"/>
              </w:rPr>
            </w:pPr>
            <w:r>
              <w:rPr>
                <w:rFonts w:ascii="Arial" w:cs="Arial" w:eastAsia="Arial" w:hAnsi="Arial"/>
                <w:sz w:val="16"/>
                <w:szCs w:val="16"/>
                <w:color w:val="auto"/>
              </w:rPr>
              <w:t>discount (a)</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28,333</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217,171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229,058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398,619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412,362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152,594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156,135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8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192,223</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15,518</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187,041</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8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98,210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960,607</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97,797</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984,596</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16,440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4,163</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16,454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4,179</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5,113</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Trading account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37,157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7,796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43,889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8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7,876</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38,594</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2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47,256</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8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127,689</w:t>
            </w: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1,005,180</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123,492</w:t>
            </w:r>
          </w:p>
        </w:tc>
        <w:tc>
          <w:tcPr>
            <w:tcW w:w="3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1,036,476</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(1,401)</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1,245</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8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13,110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4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140,181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136,446</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8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Savings and interest-checking deposits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65,848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22,403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62,927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26,454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19,883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8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8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71,520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37,163</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69,298</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46,498</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6"/>
                <w:szCs w:val="16"/>
                <w:color w:val="auto"/>
              </w:rPr>
              <w:t>Short-term borrowings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8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20,902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6,189</w:t>
            </w:r>
          </w:p>
        </w:tc>
        <w:tc>
          <w:tcPr>
            <w:tcW w:w="3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28,605</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77,081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58,066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75,550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75,105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8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44,786</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42,497</w:t>
            </w:r>
          </w:p>
        </w:tc>
        <w:tc>
          <w:tcPr>
            <w:tcW w:w="3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8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8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124,108</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120,493</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8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16,073</w:t>
            </w: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w:t>
            </w:r>
          </w:p>
        </w:tc>
        <w:tc>
          <w:tcPr>
            <w:tcW w:w="3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140,181</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136,446</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8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2.83</w:t>
            </w: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Net interest income/margin on earning assets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947,114</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961,371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9" w:name="page90"/>
    <w:bookmarkEnd w:id="89"/>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46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10" w:lineRule="exact"/>
        <w:rPr>
          <w:sz w:val="20"/>
          <w:szCs w:val="20"/>
          <w:color w:val="auto"/>
        </w:rPr>
      </w:pPr>
    </w:p>
    <w:p>
      <w:pPr>
        <w:jc w:val="both"/>
        <w:ind w:firstLine="476"/>
        <w:spacing w:after="0" w:line="249" w:lineRule="auto"/>
        <w:tabs>
          <w:tab w:leader="none" w:pos="786" w:val="left"/>
        </w:tabs>
        <w:numPr>
          <w:ilvl w:val="0"/>
          <w:numId w:val="29"/>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June 30, 2021.</w:t>
      </w:r>
    </w:p>
    <w:p>
      <w:pPr>
        <w:spacing w:after="0" w:line="212" w:lineRule="exact"/>
        <w:rPr>
          <w:rFonts w:ascii="Arial" w:cs="Arial" w:eastAsia="Arial" w:hAnsi="Arial"/>
          <w:sz w:val="21"/>
          <w:szCs w:val="21"/>
          <w:color w:val="auto"/>
        </w:rPr>
      </w:pPr>
    </w:p>
    <w:p>
      <w:pPr>
        <w:jc w:val="both"/>
        <w:ind w:firstLine="476"/>
        <w:spacing w:after="0" w:line="247" w:lineRule="auto"/>
        <w:tabs>
          <w:tab w:leader="none" w:pos="806" w:val="left"/>
        </w:tabs>
        <w:numPr>
          <w:ilvl w:val="0"/>
          <w:numId w:val="29"/>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2021 that have materially affected, or are reasonably likely to materially affect, M&amp;T’s internal control over financial reporting.</w:t>
      </w:r>
    </w:p>
    <w:p>
      <w:pPr>
        <w:spacing w:after="0" w:line="215"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In addition to the risk factors disclosed in response to Item 1A to Part I of M&amp;T’s Form 10-K for the year ended December 31, 2020, M&amp;T has identified certain supplemental risk factors relating to M&amp;T’s acquisition of People’s United Financial, Inc. (“People’s United”) pursuant to an agreement and plan of merger, dated February 21, 2021, by and among M&amp;T, Bridge Merger Corp., a direct, wholly owned subsidiary of M&amp;T, and People’s United (the “merger agreement” and, such transaction, the “merger”). These risk factors and other risks associated with the merger are more fully discussed in the joint proxy statement/prospectus in connection with the merger that was filed by M&amp;T with the Securities and Exchange Commission on April 23,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0" w:name="page91"/>
    <w:bookmarkEnd w:id="90"/>
    <w:p>
      <w:pPr>
        <w:ind w:left="580"/>
        <w:spacing w:after="0"/>
        <w:rPr>
          <w:sz w:val="20"/>
          <w:szCs w:val="20"/>
          <w:color w:val="auto"/>
        </w:rPr>
      </w:pPr>
      <w:r>
        <w:rPr>
          <w:rFonts w:ascii="Arial" w:cs="Arial" w:eastAsia="Arial" w:hAnsi="Arial"/>
          <w:sz w:val="21"/>
          <w:szCs w:val="21"/>
          <w:b w:val="1"/>
          <w:bCs w:val="1"/>
          <w:color w:val="auto"/>
        </w:rPr>
        <w:t>Risks Related to the Merger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is expected to incur significant costs related to the merger and integration.</w:t>
      </w:r>
    </w:p>
    <w:p>
      <w:pPr>
        <w:spacing w:after="0" w:line="110"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20"/>
          <w:szCs w:val="20"/>
          <w:color w:val="auto"/>
        </w:rPr>
        <w:t>M&amp;T has incurred and expects to incur significant, non-recurring costs in connection with negotiating the merger agreement and closing the merger. In addition, M&amp;T will incur integration costs following the completion of the merger as M&amp;T integrates the People’s United business, including facilities and systems consolidation costs and employment-related costs.</w:t>
      </w:r>
    </w:p>
    <w:p>
      <w:pPr>
        <w:spacing w:after="0" w:line="58" w:lineRule="exact"/>
        <w:rPr>
          <w:sz w:val="20"/>
          <w:szCs w:val="20"/>
          <w:color w:val="auto"/>
        </w:rPr>
      </w:pPr>
    </w:p>
    <w:p>
      <w:pPr>
        <w:jc w:val="both"/>
        <w:ind w:firstLine="562"/>
        <w:spacing w:after="0" w:line="262" w:lineRule="auto"/>
        <w:rPr>
          <w:sz w:val="20"/>
          <w:szCs w:val="20"/>
          <w:color w:val="auto"/>
        </w:rPr>
      </w:pPr>
      <w:r>
        <w:rPr>
          <w:rFonts w:ascii="Arial" w:cs="Arial" w:eastAsia="Arial" w:hAnsi="Arial"/>
          <w:sz w:val="20"/>
          <w:szCs w:val="20"/>
          <w:color w:val="auto"/>
        </w:rPr>
        <w:t>There can be no assurances that the expected benefits and efficiencies related to the integration of the businesses will be realized to offset these transaction and integration costs over time. M&amp;T may also incur additional costs to maintain employee morale and to retain key employees. M&amp;T will also incur significant legal, financial advisory, accounting, banking and consulting fees, fees relating to regulatory filings and notices, SEC filing fees, printing and mailing fees and other costs associated with the merger. Some of these costs are payable regardless of whether the merger is completed.</w:t>
      </w:r>
    </w:p>
    <w:p>
      <w:pPr>
        <w:spacing w:after="0" w:line="68"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b w:val="1"/>
          <w:bCs w:val="1"/>
          <w:i w:val="1"/>
          <w:iCs w:val="1"/>
          <w:color w:val="auto"/>
        </w:rPr>
        <w:t>Combining M&amp;T and People’s United may be more difficult, costly or time-consuming than expected, and M&amp;T may fail to realize the anticipated benefits of the merger.</w:t>
      </w:r>
    </w:p>
    <w:p>
      <w:pPr>
        <w:spacing w:after="0" w:line="6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The success of the merger will depend, in part, on the ability to realize the anticipated cost savings from combining the businesses of M&amp;T and People’s United. To realize the anticipated benefits and cost savings from the merger M&amp;T and People’s United must integrate and combine their businesses in a manner that permits cost savings to be realized, without adversely affecting revenues and future growth. If M&amp;T and People’s United are not able to successfully achieve these objectives, the anticipated benefits of the merger may not be realized fully or at all or may take longer to realize than expected. In addition, the actual cost savings of the merger could be less than anticipated, and integration may result in additional and unforeseen expenses.</w:t>
      </w:r>
    </w:p>
    <w:p>
      <w:pPr>
        <w:spacing w:after="0" w:line="53"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M&amp;T following the completion of the merger, which may adversely affect the value of M&amp;T’s common stock following the completion of the merger.</w:t>
      </w:r>
    </w:p>
    <w:p>
      <w:pPr>
        <w:spacing w:after="0" w:line="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M&amp;T and People’s United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merger. Integration efforts between the two companies may also divert management attention and resources. These integration matters could have an adverse effect on M&amp;T during this transition period and for an undetermined period after completion of the merger.</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M&amp;T may be unable to retain M&amp;T and/or People’s United personnel successfully after the merger is completed.</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9"/>
          <w:szCs w:val="19"/>
          <w:color w:val="auto"/>
        </w:rPr>
        <w:t>The success of the merger will depend in part on M&amp;T’s ability to retain the talents and dedication of key employees currently employed by M&amp;T and People’s United. It is possible that these employees may decide not to remain with M&amp;T or People’s United, as applicable, while the merger is pending or with M&amp;T after the merger is completed. If M&amp;T and People’s United are unable to retain key employees, including management, who are critical to the successful integration and future operations of the companies, M&amp;T and People’s United could face disruptions in their operations, loss of existing customers, loss of key information, expertise or know-how and unanticipated additional recruitment costs. In addition, following the merger, if key employees terminate their employment, M&amp;T’s business activities may be adversely affected, and management’s attention may be diverted from successfully integrating M&amp;T and People’s United to hiring suitable replacements, all of which may cause M&amp;T’s business to suffer. In addition, M&amp;T and People’s United may not be able to locate or retain suitable replacements for any key employees who leave either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1" w:name="page92"/>
    <w:bookmarkEnd w:id="91"/>
    <w:p>
      <w:pPr>
        <w:ind w:left="580"/>
        <w:spacing w:after="0"/>
        <w:rPr>
          <w:sz w:val="20"/>
          <w:szCs w:val="20"/>
          <w:color w:val="auto"/>
        </w:rPr>
      </w:pPr>
      <w:r>
        <w:rPr>
          <w:rFonts w:ascii="Arial" w:cs="Arial" w:eastAsia="Arial" w:hAnsi="Arial"/>
          <w:sz w:val="21"/>
          <w:szCs w:val="21"/>
          <w:b w:val="1"/>
          <w:bCs w:val="1"/>
          <w:i w:val="1"/>
          <w:iCs w:val="1"/>
          <w:color w:val="auto"/>
        </w:rPr>
        <w:t>The COVID-19 pandemic may delay and adversely affect the completion of the merger</w:t>
      </w:r>
      <w:r>
        <w:rPr>
          <w:rFonts w:ascii="Arial" w:cs="Arial" w:eastAsia="Arial" w:hAnsi="Arial"/>
          <w:sz w:val="21"/>
          <w:szCs w:val="21"/>
          <w:b w:val="1"/>
          <w:bCs w:val="1"/>
          <w:color w:val="auto"/>
        </w:rPr>
        <w:t>.</w:t>
      </w:r>
    </w:p>
    <w:p>
      <w:pPr>
        <w:spacing w:after="0" w:line="11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The Coronavirus Disease 2019 (“COVID-19”) pandemic has created economic and financial disruptions that have adversely affected, and are likely to continue to adversely affect, the business, financial condition, liquidity, capital and results of operations of M&amp;T and People’s United. If the effects of the COVID-19 pandemic cause a continued or extended decline in the economic environment and the financial results of M&amp;T or People’s United, or the business operations of M&amp;T or People’s United are further disrupted as a result of the COVID-19 pandemic, efforts to complete the merger and integrate the businesses of M&amp;T and People’s United may also be delayed and adversely affected. Additional time may be required to obtain the requisite regulatory approvals, and the Board of Governors of the Federal Reserve System (the “Federal Reserve Board”), the New York Department of Financial Services (“NYDFS”), the Connecticut Department of Banking (“CTDOB”) and/or other regulators may impose additional requirements on M&amp;T or People’s United that must be satisfied prior to completion of the merger, which could delay and adversely affect the completion of the merger.</w:t>
      </w:r>
    </w:p>
    <w:p>
      <w:pPr>
        <w:spacing w:after="0" w:line="75"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21"/>
          <w:szCs w:val="21"/>
          <w:b w:val="1"/>
          <w:bCs w:val="1"/>
          <w:i w:val="1"/>
          <w:iCs w:val="1"/>
          <w:color w:val="auto"/>
        </w:rPr>
        <w:t>Regulatory approvals may not be received, may take longer than expected, or may impose conditions that are not presently anticipated or that could have an adverse effect on M&amp;T following the merger.</w:t>
      </w:r>
    </w:p>
    <w:p>
      <w:pPr>
        <w:spacing w:after="0" w:line="6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Before the merger and the other transactions contemplated by the merger agreement may be completed, various approvals, consents and non-objections must be obtained from the Federal Reserve Board, the NYDFS, the CTDOB, and other regulatory authorities. In determining whether to grant these approvals, such regulatory authorities consider a variety of factors. These approvals could be delayed or not obtained at all, including due to: an adverse development in either party’s regulatory standing or in any other factors considered by regulators when granting such approvals, including factors not known at the present time and factors that may arise in the future; governmental, political or community group inquiries, investigations or opposition; or changes in legislation or the political environment generally. The Federal Reserve Board has stated that if material weaknesses are identified by examiners before a banking organization applies to engage in expansionary activity, the Federal Reserve Board will expect the banking organization to resolve all such weaknesses before applying for such expansionary activity. The Federal Reserve Board has also stated that if issues arise during the processing of an application for expansionary activity, it will expect the applicant banking organization to withdraw its application pending resolution of any supervisory concerns.</w:t>
      </w:r>
    </w:p>
    <w:p>
      <w:pPr>
        <w:spacing w:after="0" w:line="6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The approvals that are granted may impose terms and conditions, limitations, obligations or costs, or place restrictions on the conduct of M&amp;T’s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M&amp;T following the merger or otherwise reduce the anticipated benefits of the merger if the merger were consummated successfully within the expected timeframe. In addition, there can be no assurance that any such conditions, terms, obligations or restrictions will not result in the delay or abandonment of the merger. Additionally, the completion of the merger is conditioned on the absence of certain orders, injunctions or decrees by any court or regulatory agency of competent jurisdiction that would prohibit or make illegal the completion of any of the transactions contemplated by the merger agreement.</w:t>
      </w:r>
    </w:p>
    <w:p>
      <w:pPr>
        <w:spacing w:after="0" w:line="75"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21"/>
          <w:szCs w:val="21"/>
          <w:color w:val="auto"/>
        </w:rPr>
        <w:t>In addition, despite the parties’ commitments to use their reasonable best efforts to comply with conditions imposed by regulators, under the terms of the merger agreement, M&amp;T will not be required, and People’s United will not be permitted without M&amp;T’s prior written consent, to take actions or agree to conditions in connection with obtaining the foregoing permits, consents, approvals and authorizations of governmental entities that would reasonably be expected to have a material adverse effect on M&amp;T and its subsidiaries, taken as a whole, after giving effect to the merger.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Failure to complete the merger could negatively impact M&amp;T.</w:t>
      </w:r>
    </w:p>
    <w:p>
      <w:pPr>
        <w:spacing w:after="0" w:line="110"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color w:val="auto"/>
        </w:rPr>
        <w:t>If the merger is not completed for any reason, there may be various adverse consequences and M&amp;T may experience negative reactions from the financial markets and from its customers and employees. For example, M&amp;T’s business may have been impacted adversely by the failure to pursue other beneficial opportunities due to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20"/>
          <w:szCs w:val="20"/>
          <w:color w:val="auto"/>
        </w:rPr>
        <w:t>focus of management on the merger, without realizing any of the anticipated benefits of completing the merger. Additionally, if the merger agreement is terminated, the market price of M&amp;T common stock could decline to the extent that the current market price of M&amp;T common stock reflects a market assumption that the merger will be beneficial to M&amp;T and will be completed. M&amp;T could be subject to litigation related to any failure to complete the merger or to proceedings commenced against M&amp;T to perform its obligations under the merger agreement. If the merger agreement is terminated under certain circumstances, M&amp;T may be required to pay a termination fee of $280 million to People’s United.</w:t>
      </w:r>
    </w:p>
    <w:p>
      <w:pPr>
        <w:spacing w:after="0" w:line="71" w:lineRule="exact"/>
        <w:rPr>
          <w:sz w:val="20"/>
          <w:szCs w:val="20"/>
          <w:color w:val="auto"/>
        </w:rPr>
      </w:pPr>
    </w:p>
    <w:p>
      <w:pPr>
        <w:jc w:val="both"/>
        <w:ind w:firstLine="562"/>
        <w:spacing w:after="0" w:line="265" w:lineRule="auto"/>
        <w:rPr>
          <w:sz w:val="20"/>
          <w:szCs w:val="20"/>
          <w:color w:val="auto"/>
        </w:rPr>
      </w:pPr>
      <w:r>
        <w:rPr>
          <w:rFonts w:ascii="Arial" w:cs="Arial" w:eastAsia="Arial" w:hAnsi="Arial"/>
          <w:sz w:val="20"/>
          <w:szCs w:val="20"/>
          <w:color w:val="auto"/>
        </w:rPr>
        <w:t>Additionally, M&amp;T has incurred and will incur substantial expenses in connection with the negotiation and completion of the transactions contemplated by the merger agreement, as well as the costs and expenses of preparing, filing, printing and mailing the joint proxy statement/prospectus for the merger, and all filing and other fees paid in connection with the merger. If the merger is not completed, M&amp;T would have to pay these expenses without realizing the expected benefits of the merger.</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will be subject to business uncertainties and contractual restrictions while the merger is pending.</w:t>
      </w:r>
    </w:p>
    <w:p>
      <w:pPr>
        <w:spacing w:after="0" w:line="110"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Uncertainty about the effect of the merger on employees and customers may have an adverse effect on M&amp;T. These uncertainties may impair M&amp;T’s ability to attract, retain and motivate key personnel until the merger is completed, and could cause customers and others that deal with M&amp;T to seek to change existing business relationships with M&amp;T. In addition, subject to certain exceptions, M&amp;T has agreed to refrain from taking certain actions that may adversely affect its ability to consummate the merger on a timely basis without People United’s consent. These restrictions may prevent M&amp;T from pursuing attractive business opportunities that may arise prior to the completion of the merger.</w:t>
      </w:r>
    </w:p>
    <w:p>
      <w:pPr>
        <w:spacing w:after="0" w:line="8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b w:val="1"/>
          <w:bCs w:val="1"/>
          <w:i w:val="1"/>
          <w:iCs w:val="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which could prevent or delay the completion of the merger, result in the payment of damages or otherwise negatively impact the business and operations of M&amp;T.</w:t>
      </w:r>
    </w:p>
    <w:p>
      <w:pPr>
        <w:spacing w:after="0" w:line="7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21"/>
          <w:szCs w:val="2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Among other remedies, litigation that has been filed seeks, and additional litigation by shareholders of M&amp;T and/or stockholders of People’s United in the future may seek, damages and/or to enjoin the merger or the other transactions contemplated by the merger agreement. The outcome of any litigation is uncertain. If any plaintiff were successful in obtaining an injunction prohibiting M&amp;T or People’s United from completing the merger or any other transactions contemplated by the merger agreement, then such injunction may delay or prevent the effectiveness of the merger and could result in significant costs to M&amp;T, including costs in connection with the defense or settlement of any shareholder lawsuits filed in connection with the merger. Further, such lawsuits and the defense or settlement of any such lawsuits may have an adverse effect on the financial condition and results of operations of M&amp;T.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COVID-19 pandemic’s impact on M&amp;T’s business and operations following the completion of the merger is uncertain.</w:t>
      </w:r>
    </w:p>
    <w:p>
      <w:pPr>
        <w:spacing w:after="0" w:line="144" w:lineRule="exact"/>
        <w:rPr>
          <w:sz w:val="20"/>
          <w:szCs w:val="20"/>
          <w:color w:val="auto"/>
        </w:rPr>
      </w:pPr>
    </w:p>
    <w:p>
      <w:pPr>
        <w:jc w:val="both"/>
        <w:ind w:firstLine="562"/>
        <w:spacing w:after="0" w:line="246" w:lineRule="exact"/>
        <w:rPr>
          <w:sz w:val="20"/>
          <w:szCs w:val="20"/>
          <w:color w:val="auto"/>
        </w:rPr>
      </w:pPr>
      <w:r>
        <w:rPr>
          <w:rFonts w:ascii="Arial" w:cs="Arial" w:eastAsia="Arial" w:hAnsi="Arial"/>
          <w:sz w:val="19"/>
          <w:szCs w:val="19"/>
          <w:color w:val="auto"/>
        </w:rPr>
        <w:t>The extent to which the COVID-19 pandemic will negatively affect the business, financial condition, liquidity, capital and results of operations of M&amp;T following the completion of the merger will depend on future developments, which are highly uncertain and cannot be predicted, including the scope and duration of the COVID</w:t>
      </w:r>
      <w:r>
        <w:rPr>
          <w:rFonts w:ascii="MS PGothic" w:cs="MS PGothic" w:eastAsia="MS PGothic" w:hAnsi="MS PGothic"/>
          <w:sz w:val="19"/>
          <w:szCs w:val="19"/>
          <w:color w:val="auto"/>
        </w:rPr>
        <w:t>‑</w:t>
      </w:r>
      <w:r>
        <w:rPr>
          <w:rFonts w:ascii="Arial" w:cs="Arial" w:eastAsia="Arial" w:hAnsi="Arial"/>
          <w:sz w:val="19"/>
          <w:szCs w:val="19"/>
          <w:color w:val="auto"/>
        </w:rPr>
        <w:t>19 pandemic, the direct and indirect impact of the COVID-19 pandemic on employees, clients, counterparties and service providers, as well as other market participants, and actions taken by governmental authorities and other third parties in response to the COVID-19 pandemic. Given the ongoing and dynamic nature of the circumstances, it is difficult to predict the impact of the COVID-19 pandemic on M&amp;T’s business, and there is no guarantee that efforts by M&amp;T to address the adverse impacts of the COVID-19 pandemic will be effective.</w:t>
      </w:r>
    </w:p>
    <w:p>
      <w:pPr>
        <w:spacing w:after="0" w:line="88"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color w:val="auto"/>
        </w:rPr>
        <w:t>Even after the COVID-19 pandemic has subsided, M&amp;T may continue to experience adverse impacts to its business as a result of the COVID-19 pandemic’s global economic impact, including reduced availability of credit, adverse impacts on liquidity and the negative financial effects from any recession or depression that may occur.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93" w:name="page94"/>
    <w:bookmarkEnd w:id="93"/>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82"/>
        <w:spacing w:after="0"/>
        <w:tabs>
          <w:tab w:leader="none" w:pos="8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1"/>
        </w:numPr>
        <w:rPr>
          <w:rFonts w:ascii="Arial" w:cs="Arial" w:eastAsia="Arial" w:hAnsi="Arial"/>
          <w:sz w:val="21"/>
          <w:szCs w:val="21"/>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1"/>
              </w:rPr>
              <w:t>Issuer Purchases of Equity Securities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(or 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(b)Average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180" w:type="dxa"/>
            <w:vAlign w:val="bottom"/>
            <w:gridSpan w:val="3"/>
            <w:vMerge w:val="continue"/>
          </w:tcPr>
          <w:p>
            <w:pPr>
              <w:spacing w:after="0"/>
              <w:rPr>
                <w:sz w:val="14"/>
                <w:szCs w:val="14"/>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(or Unit)</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0"/>
        </w:trPr>
        <w:tc>
          <w:tcPr>
            <w:tcW w:w="42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April 1 - April 30, 2021</w:t>
            </w:r>
          </w:p>
        </w:tc>
        <w:tc>
          <w:tcPr>
            <w:tcW w:w="110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May 1 - May 31, 2021</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1 - June 30, 2021</w:t>
            </w:r>
          </w:p>
        </w:tc>
        <w:tc>
          <w:tcPr>
            <w:tcW w:w="110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00" w:hanging="492"/>
        <w:spacing w:after="0" w:line="254"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00" w:hanging="492"/>
        <w:spacing w:after="0"/>
        <w:tabs>
          <w:tab w:leader="none" w:pos="50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20, 2021, M&amp;T's Board of Directors authorized a new stock repurchase program to repurchase up to $800 million of common shares.</w:t>
      </w:r>
    </w:p>
    <w:p>
      <w:pPr>
        <w:spacing w:after="0" w:line="262"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64"/>
        </w:trPr>
        <w:tc>
          <w:tcPr>
            <w:tcW w:w="960" w:type="dxa"/>
            <w:vAlign w:val="bottom"/>
            <w:gridSpan w:val="3"/>
          </w:tcPr>
          <w:p>
            <w:pPr>
              <w:spacing w:after="0"/>
              <w:rPr>
                <w:sz w:val="20"/>
                <w:szCs w:val="20"/>
                <w:color w:val="auto"/>
              </w:rPr>
            </w:pPr>
            <w:r>
              <w:rPr>
                <w:rFonts w:ascii="Arial" w:cs="Arial" w:eastAsia="Arial" w:hAnsi="Arial"/>
                <w:sz w:val="21"/>
                <w:szCs w:val="21"/>
                <w:color w:val="auto"/>
              </w:rPr>
              <w:t>Item 6.</w:t>
            </w:r>
          </w:p>
        </w:tc>
        <w:tc>
          <w:tcPr>
            <w:tcW w:w="10280" w:type="dxa"/>
            <w:vAlign w:val="bottom"/>
          </w:tcPr>
          <w:p>
            <w:pPr>
              <w:ind w:left="60"/>
              <w:spacing w:after="0"/>
              <w:rPr>
                <w:sz w:val="20"/>
                <w:szCs w:val="20"/>
                <w:color w:val="auto"/>
              </w:rPr>
            </w:pPr>
            <w:r>
              <w:rPr>
                <w:rFonts w:ascii="Arial" w:cs="Arial" w:eastAsia="Arial" w:hAnsi="Arial"/>
                <w:sz w:val="21"/>
                <w:szCs w:val="21"/>
                <w:color w:val="auto"/>
              </w:rPr>
              <w:t>Exhibits.</w:t>
            </w:r>
          </w:p>
        </w:tc>
      </w:tr>
      <w:tr>
        <w:trPr>
          <w:trHeight w:val="35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760" w:type="dxa"/>
            <w:vAlign w:val="bottom"/>
            <w:gridSpan w:val="2"/>
          </w:tcPr>
          <w:p>
            <w:pPr>
              <w:ind w:left="4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8"/>
        </w:trPr>
        <w:tc>
          <w:tcPr>
            <w:tcW w:w="120" w:type="dxa"/>
            <w:vAlign w:val="bottom"/>
          </w:tcPr>
          <w:p>
            <w:pPr>
              <w:spacing w:after="0"/>
              <w:rPr>
                <w:sz w:val="24"/>
                <w:szCs w:val="24"/>
                <w:color w:val="auto"/>
              </w:rPr>
            </w:pPr>
          </w:p>
        </w:tc>
        <w:tc>
          <w:tcPr>
            <w:tcW w:w="840" w:type="dxa"/>
            <w:vAlign w:val="bottom"/>
            <w:gridSpan w:val="2"/>
          </w:tcPr>
          <w:p>
            <w:pPr>
              <w:jc w:val="center"/>
              <w:ind w:right="17"/>
              <w:spacing w:after="0"/>
              <w:rPr>
                <w:sz w:val="20"/>
                <w:szCs w:val="20"/>
                <w:color w:val="auto"/>
              </w:rPr>
            </w:pPr>
            <w:r>
              <w:rPr>
                <w:rFonts w:ascii="Arial" w:cs="Arial" w:eastAsia="Arial" w:hAnsi="Arial"/>
                <w:sz w:val="21"/>
                <w:szCs w:val="21"/>
                <w:color w:val="auto"/>
                <w:w w:val="95"/>
              </w:rPr>
              <w:t>Exhibit</w:t>
            </w:r>
          </w:p>
        </w:tc>
        <w:tc>
          <w:tcPr>
            <w:tcW w:w="10280" w:type="dxa"/>
            <w:vAlign w:val="bottom"/>
          </w:tcPr>
          <w:p>
            <w:pPr>
              <w:spacing w:after="0"/>
              <w:rPr>
                <w:sz w:val="24"/>
                <w:szCs w:val="24"/>
                <w:color w:val="auto"/>
              </w:rPr>
            </w:pPr>
          </w:p>
        </w:tc>
      </w:tr>
      <w:tr>
        <w:trPr>
          <w:trHeight w:val="256"/>
        </w:trPr>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21"/>
                <w:szCs w:val="21"/>
                <w:color w:val="auto"/>
                <w:w w:val="97"/>
              </w:rPr>
              <w:t>No.</w:t>
            </w:r>
          </w:p>
        </w:tc>
        <w:tc>
          <w:tcPr>
            <w:tcW w:w="10280" w:type="dxa"/>
            <w:vAlign w:val="bottom"/>
          </w:tcPr>
          <w:p>
            <w:pPr>
              <w:spacing w:after="0"/>
              <w:rPr>
                <w:sz w:val="22"/>
                <w:szCs w:val="22"/>
                <w:color w:val="auto"/>
              </w:rPr>
            </w:pPr>
          </w:p>
        </w:tc>
      </w:tr>
      <w:tr>
        <w:trPr>
          <w:trHeight w:val="439"/>
        </w:trPr>
        <w:tc>
          <w:tcPr>
            <w:tcW w:w="480" w:type="dxa"/>
            <w:vAlign w:val="bottom"/>
            <w:gridSpan w:val="2"/>
          </w:tcPr>
          <w:p>
            <w:pPr>
              <w:ind w:left="120"/>
              <w:spacing w:after="0"/>
              <w:rPr>
                <w:rFonts w:ascii="Arial" w:cs="Arial" w:eastAsia="Arial" w:hAnsi="Arial"/>
                <w:sz w:val="21"/>
                <w:szCs w:val="21"/>
                <w:color w:val="0000EE"/>
                <w:w w:val="83"/>
              </w:rPr>
            </w:pPr>
            <w:hyperlink w:anchor="page97">
              <w:r>
                <w:rPr>
                  <w:rFonts w:ascii="Arial" w:cs="Arial" w:eastAsia="Arial" w:hAnsi="Arial"/>
                  <w:sz w:val="21"/>
                  <w:szCs w:val="21"/>
                  <w:color w:val="0000EE"/>
                  <w:w w:val="83"/>
                </w:rPr>
                <w:t>10.</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8"/>
              </w:rPr>
              <w:t>M&amp;T Bank Corporation Corporation Form of Directors’ Restricted Stock Unit Award Agreement.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99">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100">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2"/>
          </w:tcPr>
          <w:p>
            <w:pPr>
              <w:ind w:left="120"/>
              <w:spacing w:after="0"/>
              <w:rPr>
                <w:rFonts w:ascii="Arial" w:cs="Arial" w:eastAsia="Arial" w:hAnsi="Arial"/>
                <w:sz w:val="21"/>
                <w:szCs w:val="21"/>
                <w:color w:val="0000EE"/>
                <w:w w:val="83"/>
              </w:rPr>
            </w:pPr>
            <w:hyperlink w:anchor="page101">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Certification of Chief Executive Officer under 18 U.S.C. §1350 pursuant to Section 906 of the Sarbanes-Oxley Act of</w:t>
            </w:r>
          </w:p>
        </w:tc>
      </w:tr>
      <w:tr>
        <w:trPr>
          <w:trHeight w:val="272"/>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38"/>
        </w:trPr>
        <w:tc>
          <w:tcPr>
            <w:tcW w:w="480" w:type="dxa"/>
            <w:vAlign w:val="bottom"/>
            <w:gridSpan w:val="2"/>
          </w:tcPr>
          <w:p>
            <w:pPr>
              <w:ind w:left="120"/>
              <w:spacing w:after="0"/>
              <w:rPr>
                <w:rFonts w:ascii="Arial" w:cs="Arial" w:eastAsia="Arial" w:hAnsi="Arial"/>
                <w:sz w:val="21"/>
                <w:szCs w:val="21"/>
                <w:color w:val="0000EE"/>
                <w:w w:val="83"/>
              </w:rPr>
            </w:pPr>
            <w:hyperlink w:anchor="page102">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4"/>
              </w:rPr>
              <w:t>Certification of Chief Financial Officer under 18 U.S.C. §1350 pursuant to Section 906 of the Sarbanes-Oxley Act of</w:t>
            </w:r>
          </w:p>
        </w:tc>
      </w:tr>
      <w:tr>
        <w:trPr>
          <w:trHeight w:val="272"/>
        </w:trPr>
        <w:tc>
          <w:tcPr>
            <w:tcW w:w="120" w:type="dxa"/>
            <w:vAlign w:val="bottom"/>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101.INS</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Instance Document.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101.SCH</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Schema.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101.CAL</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Calculation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101.DEF</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Definition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101.LAB</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Label Linkbase. Filed herewith.</w:t>
            </w:r>
          </w:p>
        </w:tc>
      </w:tr>
      <w:tr>
        <w:trPr>
          <w:trHeight w:val="486"/>
        </w:trPr>
        <w:tc>
          <w:tcPr>
            <w:tcW w:w="960" w:type="dxa"/>
            <w:vAlign w:val="bottom"/>
            <w:gridSpan w:val="3"/>
          </w:tcPr>
          <w:p>
            <w:pPr>
              <w:spacing w:after="0"/>
              <w:rPr>
                <w:sz w:val="20"/>
                <w:szCs w:val="20"/>
                <w:color w:val="auto"/>
              </w:rPr>
            </w:pPr>
            <w:r>
              <w:rPr>
                <w:rFonts w:ascii="Arial" w:cs="Arial" w:eastAsia="Arial" w:hAnsi="Arial"/>
                <w:sz w:val="21"/>
                <w:szCs w:val="21"/>
                <w:color w:val="auto"/>
              </w:rPr>
              <w:t>101.PRE</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Presentation Linkbase. Filed herewith.</w:t>
            </w:r>
          </w:p>
        </w:tc>
      </w:tr>
    </w:tbl>
    <w:p>
      <w:pPr>
        <w:spacing w:after="0" w:line="222" w:lineRule="exact"/>
        <w:rPr>
          <w:sz w:val="20"/>
          <w:szCs w:val="20"/>
          <w:color w:val="auto"/>
        </w:rPr>
      </w:pPr>
    </w:p>
    <w:p>
      <w:pPr>
        <w:ind w:left="1140" w:right="1700" w:hanging="1132"/>
        <w:spacing w:after="0" w:line="264" w:lineRule="auto"/>
        <w:tabs>
          <w:tab w:leader="none" w:pos="11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June 30, 2021 has been formatted in Inline XBRL.</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5540" w:hanging="111"/>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Arial" w:cs="Arial" w:eastAsia="Arial" w:hAnsi="Arial"/>
          <w:sz w:val="20"/>
          <w:szCs w:val="20"/>
          <w:color w:val="auto"/>
        </w:rPr>
        <w:t>Date: August 5,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10160</wp:posOffset>
            </wp:positionV>
            <wp:extent cx="26574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Executive Vice President</w:t>
      </w:r>
    </w:p>
    <w:p>
      <w:pPr>
        <w:ind w:left="7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220"/>
          </w:cols>
          <w:pgMar w:left="320" w:top="342" w:right="359" w:bottom="1440" w:gutter="0" w:footer="0" w:header="0"/>
        </w:sectPr>
      </w:pPr>
    </w:p>
    <w:bookmarkStart w:id="96" w:name="page97"/>
    <w:bookmarkEnd w:id="96"/>
    <w:p>
      <w:pPr>
        <w:jc w:val="center"/>
        <w:ind w:right="-159"/>
        <w:spacing w:after="0"/>
        <w:rPr>
          <w:sz w:val="20"/>
          <w:szCs w:val="20"/>
          <w:color w:val="auto"/>
        </w:rPr>
      </w:pPr>
      <w:r>
        <w:rPr>
          <w:rFonts w:ascii="Arial" w:cs="Arial" w:eastAsia="Arial" w:hAnsi="Arial"/>
          <w:sz w:val="18"/>
          <w:szCs w:val="18"/>
          <w:color w:val="auto"/>
        </w:rPr>
        <w:t>M&amp;T BANK CORPORATION</w:t>
      </w:r>
    </w:p>
    <w:p>
      <w:pPr>
        <w:jc w:val="center"/>
        <w:ind w:right="-139"/>
        <w:spacing w:after="0"/>
        <w:rPr>
          <w:sz w:val="20"/>
          <w:szCs w:val="20"/>
          <w:color w:val="auto"/>
        </w:rPr>
      </w:pPr>
      <w:r>
        <w:rPr>
          <w:rFonts w:ascii="Arial" w:cs="Arial" w:eastAsia="Arial" w:hAnsi="Arial"/>
          <w:sz w:val="18"/>
          <w:szCs w:val="18"/>
          <w:color w:val="auto"/>
        </w:rPr>
        <w:t>2019 EQUITY INCENTIVE COMPENSATION PLAN</w:t>
      </w:r>
    </w:p>
    <w:p>
      <w:pPr>
        <w:spacing w:after="0" w:line="198" w:lineRule="exact"/>
        <w:rPr>
          <w:sz w:val="20"/>
          <w:szCs w:val="20"/>
          <w:color w:val="auto"/>
        </w:rPr>
      </w:pPr>
    </w:p>
    <w:p>
      <w:pPr>
        <w:ind w:left="4560"/>
        <w:spacing w:after="0"/>
        <w:tabs>
          <w:tab w:leader="none" w:pos="526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DIRECTORS’ RESTRICTED STOCK UNIT AWARD AGREEMENT</w:t>
      </w:r>
    </w:p>
    <w:p>
      <w:pPr>
        <w:spacing w:after="0" w:line="200" w:lineRule="exact"/>
        <w:rPr>
          <w:sz w:val="20"/>
          <w:szCs w:val="20"/>
          <w:color w:val="auto"/>
        </w:rPr>
      </w:pPr>
    </w:p>
    <w:p>
      <w:pPr>
        <w:spacing w:after="0" w:line="22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M&amp;T Bank Corporation (the “Company”) hereby grants to the Grantee the number of Restricted Stock Units provided below (the “Restricted Stock Unit Award”). The Restricted Stock Unit Award is made pursuant to the M&amp;T Bank Corporation 2019 Equity Incentive Compensation Plan (the “Plan”) and is subject to the terms and conditions of the Plan and this Directors’ Restricted Stock Unit Award Agreement (the “Agreement”). Capitalized terms used in the Agreement without definition have the meanings given to them in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u w:val="single" w:color="auto"/>
          <w:color w:val="auto"/>
        </w:rPr>
        <w:t>Vesting.</w:t>
      </w:r>
      <w:r>
        <w:rPr>
          <w:sz w:val="20"/>
          <w:szCs w:val="20"/>
          <w:color w:val="auto"/>
        </w:rPr>
        <w:tab/>
      </w:r>
      <w:r>
        <w:rPr>
          <w:rFonts w:ascii="Arial" w:cs="Arial" w:eastAsia="Arial" w:hAnsi="Arial"/>
          <w:sz w:val="17"/>
          <w:szCs w:val="17"/>
          <w:color w:val="auto"/>
        </w:rPr>
        <w:t>The Restricted Stock Units are fully vested and nonforfeitable on the Date of Grant.</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No later than December 31 following the Date of Grant, each Restricted Stock Unit shall be settled and the Company shall transfer to the Grantee one share of Common Stock for each Restricted Stock Unit, subject to tax withholding requirements, if any, in accordance with Article 14 of the Plan. The Grantee hereby agrees to sign such other powers and take such other actions as the Company may reasonably request to accomplish the settlement and transfer.</w:t>
      </w:r>
    </w:p>
    <w:p>
      <w:pPr>
        <w:spacing w:after="0" w:line="205" w:lineRule="exact"/>
        <w:rPr>
          <w:sz w:val="20"/>
          <w:szCs w:val="20"/>
          <w:color w:val="auto"/>
        </w:rPr>
      </w:pPr>
    </w:p>
    <w:p>
      <w:pPr>
        <w:ind w:right="540"/>
        <w:spacing w:after="0"/>
        <w:rPr>
          <w:sz w:val="20"/>
          <w:szCs w:val="20"/>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Grantee hereby acknowledges that the Common Stock issued with respect to a Restricted Stock Unit upon its settlement may be held in book entry form on the books of Registrar and Transfer Company (or another institution specified by the Company).</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xml:space="preserve"> The Grantee acknowledges and agrees that, with respect to the Restricted Stock Units, he or she has no voting rights with respect to the Company unless and until such Restricted Stock Units are settled in Common Stock. Upon and following the settlement of Restricted Stock Units and the transfer of Common Stock, the Grantee shall be the record owner of the Common Stock issued to him or her, unless and until such Common Stock is sold or otherwise disposed of, and, as record owner, shall be entitled to all rights of a stockholder of the Company holding such Common Stock, including, without limitation, voting rights, if any, with respect to such Common Stock.</w:t>
      </w:r>
    </w:p>
    <w:p>
      <w:pPr>
        <w:spacing w:after="0" w:line="205" w:lineRule="exact"/>
        <w:rPr>
          <w:sz w:val="20"/>
          <w:szCs w:val="20"/>
          <w:color w:val="auto"/>
        </w:rPr>
      </w:pPr>
    </w:p>
    <w:p>
      <w:pPr>
        <w:jc w:val="both"/>
        <w:ind w:right="140"/>
        <w:spacing w:after="0"/>
        <w:rPr>
          <w:sz w:val="20"/>
          <w:szCs w:val="20"/>
          <w:color w:val="auto"/>
        </w:rPr>
      </w:pPr>
      <w:r>
        <w:rPr>
          <w:rFonts w:ascii="Arial" w:cs="Arial" w:eastAsia="Arial" w:hAnsi="Arial"/>
          <w:sz w:val="18"/>
          <w:szCs w:val="18"/>
          <w:u w:val="single" w:color="auto"/>
          <w:color w:val="auto"/>
        </w:rPr>
        <w:t>No Employment</w:t>
      </w:r>
      <w:r>
        <w:rPr>
          <w:rFonts w:ascii="Arial" w:cs="Arial" w:eastAsia="Arial" w:hAnsi="Arial"/>
          <w:sz w:val="18"/>
          <w:szCs w:val="18"/>
          <w:color w:val="auto"/>
        </w:rPr>
        <w:t>. Neither the Restricted Stock Unit Award evidenced by the Agreement nor any term or provision of the Agreement or Plan shall constitute, or be evidence of, any understanding, express or implied, on the part of the Company or any of its Affiliates to employ the Grantee for any period.</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xml:space="preserve"> Restricted Stock Units may not be sold, transferred, pledged, assigned, or otherwise alienated or hypothecated other than by will or by the laws of descent and distribution. The Agreement shall bind and inure to the benefit of successors and assigns of the Company.</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u w:val="single" w:color="auto"/>
          <w:color w:val="auto"/>
        </w:rPr>
        <w:t>Share Trading Policies.</w:t>
      </w:r>
      <w:r>
        <w:rPr>
          <w:rFonts w:ascii="Arial" w:cs="Arial" w:eastAsia="Arial" w:hAnsi="Arial"/>
          <w:sz w:val="18"/>
          <w:szCs w:val="18"/>
          <w:color w:val="auto"/>
        </w:rPr>
        <w:t xml:space="preserve"> Any shares of Common Stock transferred with respect to the settlement of a Restricted Stock Unit shall be subject to any applicable share trading polices and other policies that may be implemented from time to time by the Company’s Board of Directors (the “Board”), or a committee thereof, and that are communicated to the Grantee by the Company prior to or upon the settlement of the Restricted Stock Unit Award.</w:t>
      </w:r>
    </w:p>
    <w:p>
      <w:pPr>
        <w:spacing w:after="0" w:line="20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Plan is incorporated herein by reference, but the terms of the Plan shall not be considered an enlargement of any benefits under the Agreement. The Agreement and Plan constitute the entire agreement and understanding of the parties with respect to the Restricted Stock Unit Award. In addition, the Restricted Stock Unit Award is subject to any rules and regulations promulgated by the Board or a committee thereof.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the Agreement shall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and governed by the laws of the State of New York without giving effect to the principles of conflicts of laws.</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The Restricted Stock Unit Award is intended to comply with the requirements of Section 409A of the Code or an exemption or exclusion therefrom and shall in all respects be administered in accordance with Section 409A of the Code. Notwithstanding any provision to the contrary herein, payments made with respect to this Restricted Stock Unit Award may only be made in a manner and upon an event permitted by Section 409A of the Code. To the extent that any provision of the Agreement would cause a conflict with the requirements of Section 409A of the Code, or would cause the administration of this Restricted Stock Unit Award to fail to satisfy the requirements of Section 409A of the Code, such provision shall be deemed null and void to the extent permitted by applicable law. In no event shall a Grantee, directly or indirectly, designate the calendar year of payment. Any payment that is to be made within a specified time period under the Agreement may be made at such other date as may be permitted by Section 409A with respect to such payment.</w:t>
      </w:r>
    </w:p>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the Agreement are for convenience only and are not intended to define or limit the construction of the provisions hereof.</w:t>
      </w:r>
    </w:p>
    <w:p>
      <w:pPr>
        <w:spacing w:after="0" w:line="200" w:lineRule="exact"/>
        <w:rPr>
          <w:sz w:val="20"/>
          <w:szCs w:val="20"/>
          <w:color w:val="auto"/>
        </w:rPr>
      </w:pP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M&amp;T BANK CORPORATION</w:t>
      </w: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232323"/>
        </w:rPr>
        <w:t>By:_____________________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100"/>
          </w:cols>
          <w:pgMar w:left="320" w:top="140" w:right="4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9525</wp:posOffset>
            </wp:positionV>
            <wp:extent cx="25285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240"/>
          </w:cols>
          <w:pgMar w:left="32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2021</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45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240"/>
          </w:cols>
          <w:pgMar w:left="320" w:top="85" w:right="339" w:bottom="1440" w:gutter="0" w:footer="0" w:header="0"/>
        </w:sectPr>
      </w:pPr>
    </w:p>
    <w:bookmarkStart w:id="100" w:name="page101"/>
    <w:bookmarkEnd w:id="100"/>
    <w:p>
      <w:pPr>
        <w:ind w:left="1000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jc w:val="both"/>
        <w:ind w:left="1880" w:right="1860" w:hanging="941"/>
        <w:spacing w:after="0" w:line="262" w:lineRule="auto"/>
        <w:tabs>
          <w:tab w:leader="none" w:pos="18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June 30,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August 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101" w:name="page102"/>
    <w:bookmarkEnd w:id="101"/>
    <w:p>
      <w:pPr>
        <w:ind w:left="1000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880" w:right="1860" w:hanging="941"/>
        <w:spacing w:after="0" w:line="262" w:lineRule="auto"/>
        <w:tabs>
          <w:tab w:leader="none" w:pos="18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June 30,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August 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lvl w:ilvl="1">
      <w:lvlJc w:val="left"/>
      <w:lvlText w:val="-"/>
      <w:numFmt w:val="bullet"/>
      <w:start w:val="1"/>
    </w:lvl>
  </w:abstractNum>
  <w:abstractNum w:abstractNumId="7">
    <w:nsid w:val="4353D0CD"/>
    <w:multiLevelType w:val="hybridMultilevel"/>
    <w:lvl w:ilvl="0">
      <w:lvlJc w:val="left"/>
      <w:lvlText w:val="(%1)"/>
      <w:numFmt w:val="lowerLetter"/>
      <w:start w:val="1"/>
    </w:lvl>
    <w:lvl w:ilvl="1">
      <w:lvlJc w:val="left"/>
      <w:lvlText w:val="-"/>
      <w:numFmt w:val="bullet"/>
      <w:start w:val="1"/>
    </w:lvl>
  </w:abstractNum>
  <w:abstractNum w:abstractNumId="8">
    <w:nsid w:val="B03E0C6"/>
    <w:multiLevelType w:val="hybridMultilevel"/>
    <w:lvl w:ilvl="0">
      <w:lvlJc w:val="left"/>
      <w:lvlText w:val="(%1)"/>
      <w:numFmt w:val="lowerLetter"/>
      <w:start w:val="1"/>
    </w:lvl>
    <w:lvl w:ilvl="1">
      <w:lvlJc w:val="left"/>
      <w:lvlText w:val="(%2)"/>
      <w:numFmt w:val="lowerLetter"/>
      <w:start w:val="2"/>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lvl w:ilvl="1">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decimal"/>
      <w:start w:val="3"/>
    </w:lvl>
    <w:lvl w:ilvl="1">
      <w:lvlJc w:val="left"/>
      <w:lvlText w:val="-"/>
      <w:numFmt w:val="bullet"/>
      <w:start w:val="1"/>
    </w:lvl>
  </w:abstractNum>
  <w:abstractNum w:abstractNumId="13">
    <w:nsid w:val="836C40E"/>
    <w:multiLevelType w:val="hybridMultilevel"/>
    <w:lvl w:ilvl="0">
      <w:lvlJc w:val="left"/>
      <w:lvlText w:val="%1."/>
      <w:numFmt w:val="decimal"/>
      <w:start w:val="12"/>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decimal"/>
      <w:start w:val="12"/>
    </w:lvl>
  </w:abstractNum>
  <w:abstractNum w:abstractNumId="17">
    <w:nsid w:val="1E7FF521"/>
    <w:multiLevelType w:val="hybridMultilevel"/>
    <w:lvl w:ilvl="0">
      <w:lvlJc w:val="left"/>
      <w:lvlText w:val="(%1)"/>
      <w:numFmt w:val="lowerLetter"/>
      <w:start w:val="1"/>
    </w:lvl>
    <w:lvl w:ilvl="1">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lvl w:ilvl="1">
      <w:lvlJc w:val="left"/>
      <w:lvlText w:val="-"/>
      <w:numFmt w:val="bullet"/>
      <w:start w:val="1"/>
    </w:lvl>
  </w:abstractNum>
  <w:abstractNum w:abstractNumId="21">
    <w:nsid w:val="22221A70"/>
    <w:multiLevelType w:val="hybridMultilevel"/>
    <w:lvl w:ilvl="0">
      <w:lvlJc w:val="left"/>
      <w:lvlText w:val="(%1)"/>
      <w:numFmt w:val="lowerLetter"/>
      <w:start w:val="1"/>
    </w:lvl>
    <w:lvl w:ilvl="1">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Letter"/>
      <w:start w:val="1"/>
    </w:lvl>
    <w:lvl w:ilvl="1">
      <w:lvlJc w:val="left"/>
      <w:lvlText w:val="-"/>
      <w:numFmt w:val="bullet"/>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3"/>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04"/>
    </w:lvl>
    <w:lvl w:ilvl="1">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2021-08-05T15:15:40Z</dcterms:created>
  <dcterms:modified xsi:type="dcterms:W3CDTF">2021-08-05T15:15:40Z</dcterms:modified>
</cp:coreProperties>
</file>