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pPr>
      <w:r>
        <w:rPr>
          <w:rFonts w:ascii="Times New Roman;serif" w:hAnsi="Times New Roman;serif"/>
          <w:b/>
          <w:color w:val="000000"/>
          <w:sz w:val="20"/>
        </w:rPr>
        <w:t>___________________________________</w:t>
      </w:r>
      <w:r>
        <w:rPr>
          <w:color w:val="000000"/>
        </w:rPr>
        <w:t xml:space="preserve"> </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28,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M&amp;T BANK CORPORATION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tbl>
      <w:tblPr>
        <w:tblW w:w="8503" w:type="dxa"/>
        <w:jc w:val="center"/>
        <w:tblInd w:w="0" w:type="dxa"/>
        <w:tblLayout w:type="fixed"/>
        <w:tblCellMar>
          <w:top w:w="28" w:type="dxa"/>
          <w:left w:w="28" w:type="dxa"/>
          <w:bottom w:w="28" w:type="dxa"/>
          <w:right w:w="28" w:type="dxa"/>
        </w:tblCellMar>
      </w:tblPr>
      <w:tblGrid>
        <w:gridCol w:w="1157"/>
        <w:gridCol w:w="1016"/>
        <w:gridCol w:w="1022"/>
        <w:gridCol w:w="673"/>
        <w:gridCol w:w="673"/>
        <w:gridCol w:w="677"/>
        <w:gridCol w:w="961"/>
        <w:gridCol w:w="961"/>
        <w:gridCol w:w="1363"/>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New York</w:t>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 or other jurisdiction of incorporation)</w:t>
            </w:r>
          </w:p>
        </w:tc>
      </w:tr>
      <w:tr>
        <w:trPr/>
        <w:tc>
          <w:tcPr>
            <w:tcW w:w="31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1-9861</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16-0968385</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(I.R.S. Employer Identification Number)</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One M&amp;T Plaza</w:t>
            </w:r>
            <w:r>
              <w:rPr>
                <w:rFonts w:ascii="Helvetica;sans-serif" w:hAnsi="Helvetica;sans-serif"/>
                <w:b/>
                <w:color w:val="000000"/>
                <w:sz w:val="20"/>
              </w:rPr>
              <w:t xml:space="preserve">, </w:t>
            </w:r>
            <w:r>
              <w:rPr>
                <w:rFonts w:ascii="Times New Roman;serif" w:hAnsi="Times New Roman;serif"/>
                <w:b/>
                <w:color w:val="000000"/>
                <w:sz w:val="20"/>
              </w:rPr>
              <w:t>Buffalo, New York</w:t>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14203</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(Zip Code)</w:t>
            </w:r>
          </w:p>
        </w:tc>
      </w:tr>
      <w:tr>
        <w:trPr/>
        <w:tc>
          <w:tcPr>
            <w:tcW w:w="85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(716) 635-4000</w:t>
            </w:r>
          </w:p>
        </w:tc>
      </w:tr>
    </w:tbl>
    <w:p>
      <w:pPr>
        <w:pStyle w:val="TextBody"/>
        <w:bidi w:val="0"/>
        <w:spacing w:lineRule="auto" w:line="300" w:before="0" w:after="6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7885" w:type="dxa"/>
        <w:jc w:val="left"/>
        <w:tblInd w:w="0" w:type="dxa"/>
        <w:tblLayout w:type="fixed"/>
        <w:tblCellMar>
          <w:top w:w="28" w:type="dxa"/>
          <w:left w:w="28" w:type="dxa"/>
          <w:bottom w:w="28" w:type="dxa"/>
          <w:right w:w="28" w:type="dxa"/>
        </w:tblCellMar>
      </w:tblPr>
      <w:tblGrid>
        <w:gridCol w:w="1111"/>
        <w:gridCol w:w="974"/>
        <w:gridCol w:w="974"/>
        <w:gridCol w:w="454"/>
        <w:gridCol w:w="454"/>
        <w:gridCol w:w="454"/>
        <w:gridCol w:w="1015"/>
        <w:gridCol w:w="1015"/>
        <w:gridCol w:w="1434"/>
      </w:tblGrid>
      <w:tr>
        <w:trPr/>
        <w:tc>
          <w:tcPr>
            <w:tcW w:w="111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r>
      <w:tr>
        <w:trPr/>
        <w:tc>
          <w:tcPr>
            <w:tcW w:w="788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4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Common Stock, $.50 par value</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Perpetual Fixed-to-Floating Rate</w:t>
            </w:r>
          </w:p>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Non-Cumulative Preferred Stock, Series H</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MTBPrH</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Perpetual Fixed Rate Non-Cumulative</w:t>
            </w:r>
          </w:p>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Preferred Stock, Series J</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MTBPrJ</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Perpetual Fixed Rate Non-Cumulative </w:t>
              <w:br/>
              <w:t>Preferred Stock, Series K</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MTBPrK</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Perpetual Fixed Rate Non-Cumulative </w:t>
              <w:br/>
              <w:t>Preferred Stock, Series L</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MTBPrL</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for the third quarter of 2026, M&amp;T Bank Corporation ("M&amp;T") will make certain changes and reclassifications to Other income categories presented in its Consolidated Statement of Income. These changes, a description of which follows, will have no impact on M&amp;T's total Other income, Income before taxes, Net income or earnings per common share.</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Trust and investment services income will be primarily comprised of Trust income and Brokerage services income which were previously reported as separate Other income categories.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There will be no changes to Mortgage banking revenues.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Service charges on deposit accounts will exclude debit card interchange revenues.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Card revenues will be primarily comprised of credit card interchange and merchant discount revenue previously included in Other revenues from operations and debit card interchange revenues previously included in Service charges on deposit accounts.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Letter of credit and other credit-related fees were previously included in Other revenues from operations.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Capital markets and advisory revenues will include a former category, Trading account and other non-hedging derivative gains, as well as loan syndication, underwriting and advisory fees previously included in Other revenues from operations.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There will be no changes to Gain (loss) on bank investment securities.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Other revenues from operations will continue to include bank owned life insurance revenue, equipment operating lease income, distributions from M&amp;T's investment in Bayview Lending Group LLC ("BLG") and other fees and revenues.</w:t>
      </w:r>
    </w:p>
    <w:p>
      <w:pPr>
        <w:pStyle w:val="TextBody"/>
        <w:bidi w:val="0"/>
        <w:spacing w:before="0" w:after="0"/>
        <w:ind w:left="0" w:right="0" w:hanging="360"/>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Also effective for the third quarter of 2026, M&amp;T will begin separately presenting loans held for sale from loans held for investment in its Consolidated Balance Sheet and its Average Balance Sheet and Taxable-equivalent Rates disclosures. Accordingly, annualized taxable-equivalent rates for each impacted loan category and certain loan-based credit quality ratios will exclude loans held for sale.</w:t>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28, 2026, M&amp;T is providing unaudited supplemental historical financial information that conforms the historical financial statement presentation to the new financial statement presentation. </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in Item 7.01 of this Form 8-K, including Exhibit 99.1 attached hereto, is being furnished and shall not be deemed to be “filed” for purposes of Section 18 of the Exchange Act, or otherwise subject to the liability of such section, nor shall it be deemed incorporated by reference in any filing of M&amp;T under the Securities Act of 1933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2"/>
        <w:jc w:val="left"/>
        <w:rPr/>
      </w:pPr>
      <w:r>
        <w:rPr/>
      </w:r>
    </w:p>
    <w:tbl>
      <w:tblPr>
        <w:tblW w:w="7873"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7"/>
        <w:gridCol w:w="1927"/>
        <w:gridCol w:w="2747"/>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r>
      <w:tr>
        <w:trPr/>
        <w:tc>
          <w:tcPr>
            <w:tcW w:w="9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991historicalfinancialin.htm">
              <w:r>
                <w:rPr>
                  <w:rStyle w:val="InternetLink"/>
                  <w:rFonts w:ascii="Times New Roman;serif" w:hAnsi="Times New Roman;serif"/>
                  <w:b w:val="false"/>
                  <w:color w:val="0000FF"/>
                  <w:sz w:val="20"/>
                  <w:u w:val="single"/>
                </w:rPr>
                <w:t>Unaudited Supplemental Historical Financial Information</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7234" w:type="dxa"/>
        <w:jc w:val="right"/>
        <w:tblInd w:w="0" w:type="dxa"/>
        <w:tblLayout w:type="fixed"/>
        <w:tblCellMar>
          <w:top w:w="28" w:type="dxa"/>
          <w:left w:w="28" w:type="dxa"/>
          <w:bottom w:w="28" w:type="dxa"/>
          <w:right w:w="28" w:type="dxa"/>
        </w:tblCellMar>
      </w:tblPr>
      <w:tblGrid>
        <w:gridCol w:w="200"/>
        <w:gridCol w:w="177"/>
        <w:gridCol w:w="178"/>
        <w:gridCol w:w="574"/>
        <w:gridCol w:w="574"/>
        <w:gridCol w:w="576"/>
        <w:gridCol w:w="109"/>
        <w:gridCol w:w="109"/>
        <w:gridCol w:w="109"/>
        <w:gridCol w:w="109"/>
        <w:gridCol w:w="109"/>
        <w:gridCol w:w="109"/>
        <w:gridCol w:w="499"/>
        <w:gridCol w:w="499"/>
        <w:gridCol w:w="499"/>
        <w:gridCol w:w="817"/>
        <w:gridCol w:w="817"/>
        <w:gridCol w:w="11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M&amp;T BANK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September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Daryl N. Bible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Daryl N. Bible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Senior Executive Vice President </w:t>
            </w:r>
          </w:p>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and Chief Financial Officer</w:t>
            </w:r>
          </w:p>
        </w:tc>
      </w:tr>
    </w:tbl>
    <w:p>
      <w:pPr>
        <w:pStyle w:val="TextBody"/>
        <w:bidi w:val="0"/>
        <w:spacing w:before="0" w:after="1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for the third quarter of 2026, M&amp;T Bank Corporation will make certain changes and reclassifications to the presentation of its Consolidated Statement of Income, its Consolidated Balance Sheet and its Average Balance Sheet and Taxable-equivalent Rates disclosures. The following unaudited supplemental historical financial information reflects these changes and reclassifications, which have been applied retrospectively to all periods presented. This information is being provided for illustrative purposes only. </w:t>
      </w:r>
    </w:p>
    <w:p>
      <w:pPr>
        <w:pStyle w:val="TextBody"/>
        <w:bidi w:val="0"/>
        <w:spacing w:before="0" w:after="120"/>
        <w:jc w:val="left"/>
        <w:rPr/>
      </w:pPr>
      <w:r>
        <w:rPr/>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Unaudited Supplemental Historical Consolidated Statement of Income Information</w:t>
      </w:r>
    </w:p>
    <w:tbl>
      <w:tblPr>
        <w:tblW w:w="10205" w:type="dxa"/>
        <w:jc w:val="left"/>
        <w:tblInd w:w="0" w:type="dxa"/>
        <w:tblLayout w:type="fixed"/>
        <w:tblCellMar>
          <w:top w:w="28" w:type="dxa"/>
          <w:left w:w="28" w:type="dxa"/>
          <w:bottom w:w="28" w:type="dxa"/>
          <w:right w:w="28" w:type="dxa"/>
        </w:tblCellMar>
      </w:tblPr>
      <w:tblGrid>
        <w:gridCol w:w="1131"/>
        <w:gridCol w:w="894"/>
        <w:gridCol w:w="896"/>
        <w:gridCol w:w="196"/>
        <w:gridCol w:w="556"/>
        <w:gridCol w:w="109"/>
        <w:gridCol w:w="109"/>
        <w:gridCol w:w="109"/>
        <w:gridCol w:w="109"/>
        <w:gridCol w:w="196"/>
        <w:gridCol w:w="556"/>
        <w:gridCol w:w="109"/>
        <w:gridCol w:w="109"/>
        <w:gridCol w:w="109"/>
        <w:gridCol w:w="109"/>
        <w:gridCol w:w="241"/>
        <w:gridCol w:w="687"/>
        <w:gridCol w:w="135"/>
        <w:gridCol w:w="109"/>
        <w:gridCol w:w="109"/>
        <w:gridCol w:w="109"/>
        <w:gridCol w:w="248"/>
        <w:gridCol w:w="706"/>
        <w:gridCol w:w="139"/>
        <w:gridCol w:w="109"/>
        <w:gridCol w:w="109"/>
        <w:gridCol w:w="109"/>
        <w:gridCol w:w="196"/>
        <w:gridCol w:w="556"/>
        <w:gridCol w:w="109"/>
        <w:gridCol w:w="109"/>
        <w:gridCol w:w="109"/>
        <w:gridCol w:w="109"/>
        <w:gridCol w:w="196"/>
        <w:gridCol w:w="556"/>
        <w:gridCol w:w="158"/>
      </w:tblGrid>
      <w:tr>
        <w:trPr/>
        <w:tc>
          <w:tcPr>
            <w:tcW w:w="113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r>
      <w:tr>
        <w:trPr/>
        <w:tc>
          <w:tcPr>
            <w:tcW w:w="2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r>
      <w:tr>
        <w:trPr/>
        <w:tc>
          <w:tcPr>
            <w:tcW w:w="2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92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2,637 </w:t>
            </w:r>
          </w:p>
        </w:tc>
        <w:tc>
          <w:tcPr>
            <w:tcW w:w="13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2,680 </w:t>
            </w:r>
          </w:p>
        </w:tc>
        <w:tc>
          <w:tcPr>
            <w:tcW w:w="13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2,560 </w:t>
            </w:r>
          </w:p>
        </w:tc>
        <w:tc>
          <w:tcPr>
            <w:tcW w:w="158"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3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1,761 </w:t>
            </w:r>
          </w:p>
        </w:tc>
        <w:tc>
          <w:tcPr>
            <w:tcW w:w="13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1,695 </w:t>
            </w:r>
          </w:p>
        </w:tc>
        <w:tc>
          <w:tcPr>
            <w:tcW w:w="158"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after provision for credit losses</w:t>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1,654 </w:t>
            </w:r>
          </w:p>
        </w:tc>
        <w:tc>
          <w:tcPr>
            <w:tcW w:w="13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1,636 </w:t>
            </w:r>
          </w:p>
        </w:tc>
        <w:tc>
          <w:tcPr>
            <w:tcW w:w="13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1,565 </w:t>
            </w:r>
          </w:p>
        </w:tc>
        <w:tc>
          <w:tcPr>
            <w:tcW w:w="158"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and investment services income</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3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5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banking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charges on deposit accounts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3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Card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Letter of credit and credit-related fees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3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markets and advisory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bank investment securities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from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w:t>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696 </w:t>
            </w:r>
          </w:p>
        </w:tc>
        <w:tc>
          <w:tcPr>
            <w:tcW w:w="13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3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58"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employee benefits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809 </w:t>
            </w:r>
          </w:p>
        </w:tc>
        <w:tc>
          <w:tcPr>
            <w:tcW w:w="1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13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5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Outside data processing and software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and net occupancy</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3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5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and other services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FDIC assessments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3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Advertising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core deposit and other intangible assets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costs of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w:t>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1,379 </w:t>
            </w:r>
          </w:p>
        </w:tc>
        <w:tc>
          <w:tcPr>
            <w:tcW w:w="13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1,363 </w:t>
            </w:r>
          </w:p>
        </w:tc>
        <w:tc>
          <w:tcPr>
            <w:tcW w:w="13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1,415 </w:t>
            </w:r>
          </w:p>
        </w:tc>
        <w:tc>
          <w:tcPr>
            <w:tcW w:w="158"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3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5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Unaudited Supplemental Historical Consolidated Statement of Income Information</w:t>
      </w:r>
    </w:p>
    <w:tbl>
      <w:tblPr>
        <w:tblW w:w="10205" w:type="dxa"/>
        <w:jc w:val="left"/>
        <w:tblInd w:w="0" w:type="dxa"/>
        <w:tblLayout w:type="fixed"/>
        <w:tblCellMar>
          <w:top w:w="28" w:type="dxa"/>
          <w:left w:w="28" w:type="dxa"/>
          <w:bottom w:w="28" w:type="dxa"/>
          <w:right w:w="28" w:type="dxa"/>
        </w:tblCellMar>
      </w:tblPr>
      <w:tblGrid>
        <w:gridCol w:w="1277"/>
        <w:gridCol w:w="1073"/>
        <w:gridCol w:w="1076"/>
        <w:gridCol w:w="196"/>
        <w:gridCol w:w="556"/>
        <w:gridCol w:w="109"/>
        <w:gridCol w:w="109"/>
        <w:gridCol w:w="109"/>
        <w:gridCol w:w="109"/>
        <w:gridCol w:w="196"/>
        <w:gridCol w:w="556"/>
        <w:gridCol w:w="109"/>
        <w:gridCol w:w="109"/>
        <w:gridCol w:w="109"/>
        <w:gridCol w:w="109"/>
        <w:gridCol w:w="341"/>
        <w:gridCol w:w="903"/>
        <w:gridCol w:w="174"/>
        <w:gridCol w:w="109"/>
        <w:gridCol w:w="109"/>
        <w:gridCol w:w="109"/>
        <w:gridCol w:w="235"/>
        <w:gridCol w:w="775"/>
        <w:gridCol w:w="130"/>
        <w:gridCol w:w="109"/>
        <w:gridCol w:w="109"/>
        <w:gridCol w:w="109"/>
        <w:gridCol w:w="233"/>
        <w:gridCol w:w="769"/>
        <w:gridCol w:w="189"/>
      </w:tblGrid>
      <w:tr>
        <w:trPr/>
        <w:tc>
          <w:tcPr>
            <w:tcW w:w="127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 Ended</w:t>
            </w:r>
          </w:p>
        </w:tc>
      </w:tr>
      <w:tr>
        <w:trPr/>
        <w:tc>
          <w:tcPr>
            <w:tcW w:w="3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December 31,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December 31, </w:t>
            </w:r>
          </w:p>
        </w:tc>
      </w:tr>
      <w:tr>
        <w:trPr/>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342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7,849 </w:t>
            </w:r>
          </w:p>
        </w:tc>
        <w:tc>
          <w:tcPr>
            <w:tcW w:w="17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10,486 </w:t>
            </w:r>
          </w:p>
        </w:tc>
        <w:tc>
          <w:tcPr>
            <w:tcW w:w="13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11,026 </w:t>
            </w:r>
          </w:p>
        </w:tc>
        <w:tc>
          <w:tcPr>
            <w:tcW w:w="18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5,169 </w:t>
            </w:r>
          </w:p>
        </w:tc>
        <w:tc>
          <w:tcPr>
            <w:tcW w:w="17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6,948 </w:t>
            </w:r>
          </w:p>
        </w:tc>
        <w:tc>
          <w:tcPr>
            <w:tcW w:w="13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6,852 </w:t>
            </w:r>
          </w:p>
        </w:tc>
        <w:tc>
          <w:tcPr>
            <w:tcW w:w="18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after provision for credit losses</w:t>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4,789 </w:t>
            </w:r>
          </w:p>
        </w:tc>
        <w:tc>
          <w:tcPr>
            <w:tcW w:w="17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6,443 </w:t>
            </w:r>
          </w:p>
        </w:tc>
        <w:tc>
          <w:tcPr>
            <w:tcW w:w="13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6,242 </w:t>
            </w:r>
          </w:p>
        </w:tc>
        <w:tc>
          <w:tcPr>
            <w:tcW w:w="18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and investment services income</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863 </w:t>
            </w:r>
          </w:p>
        </w:tc>
        <w:tc>
          <w:tcPr>
            <w:tcW w:w="13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8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banking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charges on deposit accounts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3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8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Card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Letter of credit and credit-related fees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3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8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markets and advisory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bank investment securities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8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from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w:t>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2,046 </w:t>
            </w:r>
          </w:p>
        </w:tc>
        <w:tc>
          <w:tcPr>
            <w:tcW w:w="17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2,742 </w:t>
            </w:r>
          </w:p>
        </w:tc>
        <w:tc>
          <w:tcPr>
            <w:tcW w:w="13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2,427 </w:t>
            </w:r>
          </w:p>
        </w:tc>
        <w:tc>
          <w:tcPr>
            <w:tcW w:w="18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employee benefits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2,533 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3,342 </w:t>
            </w:r>
          </w:p>
        </w:tc>
        <w:tc>
          <w:tcPr>
            <w:tcW w:w="13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3,162 </w:t>
            </w:r>
          </w:p>
        </w:tc>
        <w:tc>
          <w:tcPr>
            <w:tcW w:w="18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Outside data processing and software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and net occupancy</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3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8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and other services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FDIC assessments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3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8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Advertising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core deposit and other intangible assets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3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8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costs of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w:t>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4,114 </w:t>
            </w:r>
          </w:p>
        </w:tc>
        <w:tc>
          <w:tcPr>
            <w:tcW w:w="17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5,493 </w:t>
            </w:r>
          </w:p>
        </w:tc>
        <w:tc>
          <w:tcPr>
            <w:tcW w:w="13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5,359 </w:t>
            </w:r>
          </w:p>
        </w:tc>
        <w:tc>
          <w:tcPr>
            <w:tcW w:w="18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3,310 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841 </w:t>
            </w:r>
          </w:p>
        </w:tc>
        <w:tc>
          <w:tcPr>
            <w:tcW w:w="13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8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2,588 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Unaudited Supplemental Historical Other Revenues from Operations</w:t>
      </w:r>
    </w:p>
    <w:tbl>
      <w:tblPr>
        <w:tblW w:w="10205" w:type="dxa"/>
        <w:jc w:val="left"/>
        <w:tblInd w:w="0" w:type="dxa"/>
        <w:tblLayout w:type="fixed"/>
        <w:tblCellMar>
          <w:top w:w="28" w:type="dxa"/>
          <w:left w:w="28" w:type="dxa"/>
          <w:bottom w:w="28" w:type="dxa"/>
          <w:right w:w="28" w:type="dxa"/>
        </w:tblCellMar>
      </w:tblPr>
      <w:tblGrid>
        <w:gridCol w:w="1402"/>
        <w:gridCol w:w="1013"/>
        <w:gridCol w:w="1017"/>
        <w:gridCol w:w="205"/>
        <w:gridCol w:w="347"/>
        <w:gridCol w:w="114"/>
        <w:gridCol w:w="109"/>
        <w:gridCol w:w="109"/>
        <w:gridCol w:w="109"/>
        <w:gridCol w:w="246"/>
        <w:gridCol w:w="417"/>
        <w:gridCol w:w="138"/>
        <w:gridCol w:w="109"/>
        <w:gridCol w:w="109"/>
        <w:gridCol w:w="109"/>
        <w:gridCol w:w="325"/>
        <w:gridCol w:w="550"/>
        <w:gridCol w:w="181"/>
        <w:gridCol w:w="109"/>
        <w:gridCol w:w="109"/>
        <w:gridCol w:w="109"/>
        <w:gridCol w:w="293"/>
        <w:gridCol w:w="631"/>
        <w:gridCol w:w="164"/>
        <w:gridCol w:w="109"/>
        <w:gridCol w:w="109"/>
        <w:gridCol w:w="109"/>
        <w:gridCol w:w="205"/>
        <w:gridCol w:w="347"/>
        <w:gridCol w:w="114"/>
        <w:gridCol w:w="109"/>
        <w:gridCol w:w="109"/>
        <w:gridCol w:w="109"/>
        <w:gridCol w:w="243"/>
        <w:gridCol w:w="411"/>
        <w:gridCol w:w="207"/>
      </w:tblGrid>
      <w:tr>
        <w:trPr/>
        <w:tc>
          <w:tcPr>
            <w:tcW w:w="140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r>
      <w:tr>
        <w:trPr/>
        <w:tc>
          <w:tcPr>
            <w:tcW w:w="34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43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Bank owned life insurance revenue</w:t>
            </w:r>
          </w:p>
        </w:tc>
        <w:tc>
          <w:tcPr>
            <w:tcW w:w="205"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1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8"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1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07"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operating lease income</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BLG income</w:t>
            </w:r>
          </w:p>
        </w:tc>
        <w:tc>
          <w:tcPr>
            <w:tcW w:w="5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3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Earnout payment related to 2023 sale of Collective Investment Trust business</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out-of-footprint loan portfolio</w:t>
            </w:r>
          </w:p>
        </w:tc>
        <w:tc>
          <w:tcPr>
            <w:tcW w:w="5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institutional services subsidiary</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5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3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8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6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0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revenues from operations</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42"/>
        <w:gridCol w:w="1191"/>
        <w:gridCol w:w="1196"/>
        <w:gridCol w:w="196"/>
        <w:gridCol w:w="421"/>
        <w:gridCol w:w="109"/>
        <w:gridCol w:w="109"/>
        <w:gridCol w:w="109"/>
        <w:gridCol w:w="109"/>
        <w:gridCol w:w="196"/>
        <w:gridCol w:w="421"/>
        <w:gridCol w:w="109"/>
        <w:gridCol w:w="109"/>
        <w:gridCol w:w="109"/>
        <w:gridCol w:w="109"/>
        <w:gridCol w:w="405"/>
        <w:gridCol w:w="754"/>
        <w:gridCol w:w="182"/>
        <w:gridCol w:w="109"/>
        <w:gridCol w:w="109"/>
        <w:gridCol w:w="109"/>
        <w:gridCol w:w="286"/>
        <w:gridCol w:w="616"/>
        <w:gridCol w:w="160"/>
        <w:gridCol w:w="109"/>
        <w:gridCol w:w="109"/>
        <w:gridCol w:w="109"/>
        <w:gridCol w:w="280"/>
        <w:gridCol w:w="605"/>
        <w:gridCol w:w="228"/>
      </w:tblGrid>
      <w:tr>
        <w:trPr/>
        <w:tc>
          <w:tcPr>
            <w:tcW w:w="154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 Ended</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39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Bank owned life insurance revenue</w:t>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82"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6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5"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28"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operating lease income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BLG income</w:t>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8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2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Earnout payment related to 2023 sale of Collective Investment Trust business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out-of-footprint loan portfolio</w:t>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8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institutional services subsidiary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8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6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2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revenues from operations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Unaudited Supplemental Historical Consolidated Balance Sheet Information</w:t>
      </w:r>
    </w:p>
    <w:tbl>
      <w:tblPr>
        <w:tblW w:w="12904" w:type="dxa"/>
        <w:jc w:val="left"/>
        <w:tblInd w:w="0" w:type="dxa"/>
        <w:tblLayout w:type="fixed"/>
        <w:tblCellMar>
          <w:top w:w="28" w:type="dxa"/>
          <w:left w:w="28" w:type="dxa"/>
          <w:bottom w:w="28" w:type="dxa"/>
          <w:right w:w="28" w:type="dxa"/>
        </w:tblCellMar>
      </w:tblPr>
      <w:tblGrid>
        <w:gridCol w:w="1128"/>
        <w:gridCol w:w="354"/>
        <w:gridCol w:w="25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112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31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at banks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38,621 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36,649 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35,568 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35,137 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34,051 </w:t>
            </w:r>
          </w:p>
        </w:tc>
        <w:tc>
          <w:tcPr>
            <w:tcW w:w="31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30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commercial</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24,233 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22,986 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23,768 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26,454 </w:t>
            </w:r>
          </w:p>
        </w:tc>
        <w:tc>
          <w:tcPr>
            <w:tcW w:w="31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residential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26,321 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26,461 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26,379 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24,827 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24,170 </w:t>
            </w:r>
          </w:p>
        </w:tc>
        <w:tc>
          <w:tcPr>
            <w:tcW w:w="31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137,635 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136,345 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135,015 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loan losses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w:t>
            </w:r>
          </w:p>
        </w:tc>
        <w:tc>
          <w:tcPr>
            <w:tcW w:w="31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31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deposit and other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13,919 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13,469 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12,977 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11,487 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11,316 </w:t>
            </w:r>
          </w:p>
        </w:tc>
        <w:tc>
          <w:tcPr>
            <w:tcW w:w="31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208,105 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46,509 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49,051 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46,020 </w:t>
            </w:r>
          </w:p>
        </w:tc>
        <w:tc>
          <w:tcPr>
            <w:tcW w:w="31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168,885 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163,741 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166,909 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163,426 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164,453 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165,409 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161,095 </w:t>
            </w:r>
          </w:p>
        </w:tc>
        <w:tc>
          <w:tcPr>
            <w:tcW w:w="31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10,496 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12,605 </w:t>
            </w:r>
          </w:p>
        </w:tc>
        <w:tc>
          <w:tcPr>
            <w:tcW w:w="31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191,315 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186,764 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184,333 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182,549 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183,059 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181,330 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179,078 </w:t>
            </w:r>
          </w:p>
        </w:tc>
        <w:tc>
          <w:tcPr>
            <w:tcW w:w="31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31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27,946 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27,972 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29,177 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28,728 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28,525 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28,991 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29,027 </w:t>
            </w:r>
          </w:p>
        </w:tc>
        <w:tc>
          <w:tcPr>
            <w:tcW w:w="31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208,105 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RATIOS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loan losses to total loans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to total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Previously reported amounts have been adjusted to conform to the current presentation.</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Unaudited Supplemental Historical Average Balance Sheet and Taxable-equivalent Rates Information</w:t>
      </w:r>
    </w:p>
    <w:tbl>
      <w:tblPr>
        <w:tblW w:w="14761" w:type="dxa"/>
        <w:jc w:val="left"/>
        <w:tblInd w:w="0" w:type="dxa"/>
        <w:tblLayout w:type="fixed"/>
        <w:tblCellMar>
          <w:top w:w="28" w:type="dxa"/>
          <w:left w:w="28" w:type="dxa"/>
          <w:bottom w:w="28" w:type="dxa"/>
          <w:right w:w="28" w:type="dxa"/>
        </w:tblCellMar>
      </w:tblPr>
      <w:tblGrid>
        <w:gridCol w:w="749"/>
        <w:gridCol w:w="659"/>
        <w:gridCol w:w="648"/>
        <w:gridCol w:w="181"/>
        <w:gridCol w:w="616"/>
        <w:gridCol w:w="109"/>
        <w:gridCol w:w="109"/>
        <w:gridCol w:w="109"/>
        <w:gridCol w:w="109"/>
        <w:gridCol w:w="202"/>
        <w:gridCol w:w="204"/>
        <w:gridCol w:w="211"/>
        <w:gridCol w:w="109"/>
        <w:gridCol w:w="109"/>
        <w:gridCol w:w="109"/>
        <w:gridCol w:w="181"/>
        <w:gridCol w:w="616"/>
        <w:gridCol w:w="109"/>
        <w:gridCol w:w="109"/>
        <w:gridCol w:w="109"/>
        <w:gridCol w:w="109"/>
        <w:gridCol w:w="195"/>
        <w:gridCol w:w="196"/>
        <w:gridCol w:w="211"/>
        <w:gridCol w:w="109"/>
        <w:gridCol w:w="109"/>
        <w:gridCol w:w="109"/>
        <w:gridCol w:w="181"/>
        <w:gridCol w:w="616"/>
        <w:gridCol w:w="109"/>
        <w:gridCol w:w="109"/>
        <w:gridCol w:w="109"/>
        <w:gridCol w:w="109"/>
        <w:gridCol w:w="195"/>
        <w:gridCol w:w="196"/>
        <w:gridCol w:w="211"/>
        <w:gridCol w:w="109"/>
        <w:gridCol w:w="109"/>
        <w:gridCol w:w="109"/>
        <w:gridCol w:w="181"/>
        <w:gridCol w:w="616"/>
        <w:gridCol w:w="109"/>
        <w:gridCol w:w="109"/>
        <w:gridCol w:w="109"/>
        <w:gridCol w:w="109"/>
        <w:gridCol w:w="195"/>
        <w:gridCol w:w="196"/>
        <w:gridCol w:w="211"/>
        <w:gridCol w:w="109"/>
        <w:gridCol w:w="109"/>
        <w:gridCol w:w="109"/>
        <w:gridCol w:w="181"/>
        <w:gridCol w:w="616"/>
        <w:gridCol w:w="109"/>
        <w:gridCol w:w="109"/>
        <w:gridCol w:w="109"/>
        <w:gridCol w:w="109"/>
        <w:gridCol w:w="195"/>
        <w:gridCol w:w="196"/>
        <w:gridCol w:w="211"/>
        <w:gridCol w:w="109"/>
        <w:gridCol w:w="109"/>
        <w:gridCol w:w="109"/>
        <w:gridCol w:w="181"/>
        <w:gridCol w:w="616"/>
        <w:gridCol w:w="109"/>
        <w:gridCol w:w="327"/>
        <w:gridCol w:w="391"/>
        <w:gridCol w:w="256"/>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5" w:type="dxa"/>
            <w:gridSpan w:val="6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March 31,</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(Dollars 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ASSETS</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Interest-bearing deposits at banks</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15,061 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16,231 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17,964 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17,739 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19,698 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19,695 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4.48 </w:t>
            </w:r>
          </w:p>
        </w:tc>
        <w:tc>
          <w:tcPr>
            <w:tcW w:w="25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Investment securities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Loans held for sale</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5.69 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and industrial</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65,883 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63,622 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62,190 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61,687 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6.45 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60,991 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61,018 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Real estate - commercial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 estate - residential</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24,827 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24,468 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24,368 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24,122 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23,493 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23,003 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Consumer</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loans </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140,650 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5.89 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137,421 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136,542 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135,890 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6.15 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134,311 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134,339 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6.05 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Other </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earning assets </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195,216 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192,594 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192,366 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190,920 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190,535 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189,116 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Core deposit and other intangible assets</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assets</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216,532 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213,828 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212,891 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211,053 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210,261 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208,321 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6"/>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LIABILITIES AND SHAREHOLDERS' EQUITY</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Interest-bearing deposits: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Savings and interest-checking deposits </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105,752 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106,570 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107,257 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104,630 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103,934 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101,536 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2.20 </w:t>
            </w:r>
          </w:p>
        </w:tc>
        <w:tc>
          <w:tcPr>
            <w:tcW w:w="25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Time deposits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interest-bearing deposits </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119,560 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1.95 </w:t>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119,629 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1.97 </w:t>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120,756 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2.17 </w:t>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118,520 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118,105 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2.39 </w:t>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115,643 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2.37 </w:t>
            </w:r>
          </w:p>
        </w:tc>
        <w:tc>
          <w:tcPr>
            <w:tcW w:w="25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Short-term borrowings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Long-term borrowings </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12,778 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5.33 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11,064 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12,555 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5.56 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12,789 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10,936 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11,285 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interest-bearing liabilities </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Noninterest-bearing deposits</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43,964 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44,547 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44,184 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44,056 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45,153 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45,436 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Other liabilities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liabilities</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188,593 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185,180 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183,921 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182,470 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181,595 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179,323 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Shareholders' equity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liabilities and shareholders' equity</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216,532 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213,828 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212,891 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211,053 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210,261 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208,321 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interest spread </w:t>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Contribution of interest-free funds </w:t>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interest margin </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TextBody"/>
        <w:bidi w:val="0"/>
        <w:spacing w:before="0" w:after="0"/>
        <w:jc w:val="left"/>
        <w:rPr/>
      </w:pPr>
      <w:r>
        <w:rPr/>
      </w:r>
    </w:p>
    <w:p>
      <w:pPr>
        <w:pStyle w:val="TextBody"/>
        <w:bidi w:val="0"/>
        <w:spacing w:before="40" w:after="283"/>
        <w:ind w:left="0" w:right="0" w:hanging="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Unaudited Supplemental Historical Average Balance Sheet and Taxable-equivalent Rates Information</w:t>
      </w:r>
    </w:p>
    <w:tbl>
      <w:tblPr>
        <w:tblW w:w="12599" w:type="dxa"/>
        <w:jc w:val="left"/>
        <w:tblInd w:w="0" w:type="dxa"/>
        <w:tblLayout w:type="fixed"/>
        <w:tblCellMar>
          <w:top w:w="28" w:type="dxa"/>
          <w:left w:w="28" w:type="dxa"/>
          <w:bottom w:w="28" w:type="dxa"/>
          <w:right w:w="28" w:type="dxa"/>
        </w:tblCellMar>
      </w:tblPr>
      <w:tblGrid>
        <w:gridCol w:w="749"/>
        <w:gridCol w:w="659"/>
        <w:gridCol w:w="648"/>
        <w:gridCol w:w="181"/>
        <w:gridCol w:w="616"/>
        <w:gridCol w:w="109"/>
        <w:gridCol w:w="109"/>
        <w:gridCol w:w="109"/>
        <w:gridCol w:w="109"/>
        <w:gridCol w:w="202"/>
        <w:gridCol w:w="204"/>
        <w:gridCol w:w="211"/>
        <w:gridCol w:w="109"/>
        <w:gridCol w:w="109"/>
        <w:gridCol w:w="109"/>
        <w:gridCol w:w="181"/>
        <w:gridCol w:w="616"/>
        <w:gridCol w:w="109"/>
        <w:gridCol w:w="109"/>
        <w:gridCol w:w="109"/>
        <w:gridCol w:w="109"/>
        <w:gridCol w:w="195"/>
        <w:gridCol w:w="196"/>
        <w:gridCol w:w="211"/>
        <w:gridCol w:w="109"/>
        <w:gridCol w:w="109"/>
        <w:gridCol w:w="109"/>
        <w:gridCol w:w="181"/>
        <w:gridCol w:w="616"/>
        <w:gridCol w:w="109"/>
        <w:gridCol w:w="109"/>
        <w:gridCol w:w="109"/>
        <w:gridCol w:w="109"/>
        <w:gridCol w:w="195"/>
        <w:gridCol w:w="196"/>
        <w:gridCol w:w="211"/>
        <w:gridCol w:w="109"/>
        <w:gridCol w:w="109"/>
        <w:gridCol w:w="109"/>
        <w:gridCol w:w="181"/>
        <w:gridCol w:w="616"/>
        <w:gridCol w:w="109"/>
        <w:gridCol w:w="109"/>
        <w:gridCol w:w="109"/>
        <w:gridCol w:w="109"/>
        <w:gridCol w:w="195"/>
        <w:gridCol w:w="196"/>
        <w:gridCol w:w="211"/>
        <w:gridCol w:w="109"/>
        <w:gridCol w:w="109"/>
        <w:gridCol w:w="109"/>
        <w:gridCol w:w="181"/>
        <w:gridCol w:w="616"/>
        <w:gridCol w:w="109"/>
        <w:gridCol w:w="109"/>
        <w:gridCol w:w="109"/>
        <w:gridCol w:w="109"/>
        <w:gridCol w:w="195"/>
        <w:gridCol w:w="196"/>
        <w:gridCol w:w="256"/>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Year Ended</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December 31,</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2024</w:t>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(Dollars 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ASSETS</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Interest-bearing deposits at banks</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19,697 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4.48 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19,037 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18,767 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27,244 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5.33 </w:t>
            </w:r>
          </w:p>
        </w:tc>
        <w:tc>
          <w:tcPr>
            <w:tcW w:w="25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securities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Loans held for sale</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7.38 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6.05 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and industrial</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64,759 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61,004 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61,234 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61,475 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58,821 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6.89 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 estate - commercial</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 estate - residential</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24,648 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4.59 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23,249 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23,543 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22,855 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Consumer</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loans </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139,045 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134,322 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134,848 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135,275 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134,080 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6.31 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Other </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earning assets</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193,911 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189,829 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190,197 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190,744 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192,818 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5.74 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Core deposit and other intangible assets</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assets</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215,186 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209,296 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209,889 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210,645 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211,220 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LIABILITIES AND SHAREHOLDERS' EQUITY</w:t>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Interest-bearing deposits: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Savings and interest-checking deposits </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106,159 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102,741 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103,378 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104,356 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97,788 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2.57 </w:t>
            </w:r>
          </w:p>
        </w:tc>
        <w:tc>
          <w:tcPr>
            <w:tcW w:w="25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Time deposits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interest-bearing deposits </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119,594 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1.96 </w:t>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116,881 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2.38 </w:t>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117,434 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2.37 </w:t>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118,271 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2.32 </w:t>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115,914 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2.84 </w:t>
            </w:r>
          </w:p>
        </w:tc>
        <w:tc>
          <w:tcPr>
            <w:tcW w:w="25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Short-term borrowings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Long-term borrowings </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11,926 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11,109 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11,675 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11,897 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11,083 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interest-bearing liabilities </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Noninterest-bearing deposits</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44,254 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45,294 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44,877 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44,702 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47,260 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Other liabilities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liabilities</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186,895 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180,465 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181,141 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181,841 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183,168 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Shareholders' equity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liabilities and shareholders' equity</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215,186 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209,296 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209,889 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210,645 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211,220 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interest spread</w:t>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Contribution of interest-free funds </w:t>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interest margin </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2965</Words>
  <Characters>15711</Characters>
  <CharactersWithSpaces>18183</CharactersWithSpaces>
  <Paragraphs>1609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