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333-274646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May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1034415</wp:posOffset>
            </wp:positionH>
            <wp:positionV relativeFrom="paragraph">
              <wp:posOffset>160020</wp:posOffset>
            </wp:positionV>
            <wp:extent cx="4928870" cy="659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28870" cy="659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8260" w:type="dxa"/>
            <w:vAlign w:val="bottom"/>
            <w:gridSpan w:val="3"/>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9"/>
              </w:rPr>
              <w:t>M&amp;T Bank Corporation</w:t>
            </w:r>
          </w:p>
        </w:tc>
      </w:tr>
      <w:tr>
        <w:trPr>
          <w:trHeight w:val="216"/>
        </w:trPr>
        <w:tc>
          <w:tcPr>
            <w:tcW w:w="2620" w:type="dxa"/>
            <w:vAlign w:val="bottom"/>
          </w:tcPr>
          <w:p>
            <w:pPr>
              <w:spacing w:after="0"/>
              <w:rPr>
                <w:sz w:val="18"/>
                <w:szCs w:val="18"/>
                <w:color w:val="auto"/>
              </w:rPr>
            </w:pPr>
          </w:p>
        </w:tc>
        <w:tc>
          <w:tcPr>
            <w:tcW w:w="8260" w:type="dxa"/>
            <w:vAlign w:val="bottom"/>
            <w:gridSpan w:val="3"/>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9"/>
              </w:rPr>
              <w:t>30,000,000 Depositary Shares, Each Representing a 1/400th Interest</w:t>
            </w:r>
          </w:p>
        </w:tc>
      </w:tr>
      <w:tr>
        <w:trPr>
          <w:trHeight w:val="238"/>
        </w:trPr>
        <w:tc>
          <w:tcPr>
            <w:tcW w:w="2620" w:type="dxa"/>
            <w:vAlign w:val="bottom"/>
          </w:tcPr>
          <w:p>
            <w:pPr>
              <w:spacing w:after="0"/>
              <w:rPr>
                <w:sz w:val="20"/>
                <w:szCs w:val="20"/>
                <w:color w:val="auto"/>
              </w:rPr>
            </w:pPr>
          </w:p>
        </w:tc>
        <w:tc>
          <w:tcPr>
            <w:tcW w:w="8260" w:type="dxa"/>
            <w:vAlign w:val="bottom"/>
            <w:gridSpan w:val="3"/>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9"/>
              </w:rPr>
              <w:t>in a Share of Perpetual 7.500% Non-Cumulative Preferred Stock, Series J</w:t>
            </w:r>
          </w:p>
        </w:tc>
      </w:tr>
      <w:tr>
        <w:trPr>
          <w:trHeight w:val="392"/>
        </w:trPr>
        <w:tc>
          <w:tcPr>
            <w:tcW w:w="26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120" w:type="dxa"/>
            <w:vAlign w:val="bottom"/>
            <w:gridSpan w:val="2"/>
          </w:tcPr>
          <w:p>
            <w:pPr>
              <w:jc w:val="center"/>
              <w:ind w:right="4640"/>
              <w:spacing w:after="0"/>
              <w:rPr>
                <w:sz w:val="20"/>
                <w:szCs w:val="20"/>
                <w:color w:val="auto"/>
              </w:rPr>
            </w:pPr>
            <w:r>
              <w:rPr>
                <w:rFonts w:ascii="Times New Roman" w:cs="Times New Roman" w:eastAsia="Times New Roman" w:hAnsi="Times New Roman"/>
                <w:sz w:val="18"/>
                <w:szCs w:val="18"/>
                <w:b w:val="1"/>
                <w:bCs w:val="1"/>
                <w:color w:val="auto"/>
                <w:w w:val="98"/>
              </w:rPr>
              <w:t>Pricing Term Sheet</w:t>
            </w:r>
          </w:p>
        </w:tc>
      </w:tr>
      <w:tr>
        <w:trPr>
          <w:trHeight w:val="20"/>
        </w:trPr>
        <w:tc>
          <w:tcPr>
            <w:tcW w:w="2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479"/>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82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M&amp;T Bank Corporation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w:t>
            </w:r>
          </w:p>
        </w:tc>
      </w:tr>
      <w:tr>
        <w:trPr>
          <w:trHeight w:val="30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Expected Ratings</w:t>
            </w:r>
          </w:p>
        </w:tc>
        <w:tc>
          <w:tcPr>
            <w:tcW w:w="2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(Moody’s/S&amp;P/Fitch/DBRS)*:</w:t>
            </w:r>
          </w:p>
        </w:tc>
        <w:tc>
          <w:tcPr>
            <w:tcW w:w="82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Baa3/BB+/BBB-/BBB (high)</w:t>
            </w:r>
          </w:p>
        </w:tc>
      </w:tr>
      <w:tr>
        <w:trPr>
          <w:trHeight w:val="317"/>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Securities:</w:t>
            </w:r>
          </w:p>
        </w:tc>
        <w:tc>
          <w:tcPr>
            <w:tcW w:w="82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Depositary shares (the “</w:t>
            </w:r>
            <w:r>
              <w:rPr>
                <w:rFonts w:ascii="Times New Roman" w:cs="Times New Roman" w:eastAsia="Times New Roman" w:hAnsi="Times New Roman"/>
                <w:sz w:val="18"/>
                <w:szCs w:val="18"/>
                <w:i w:val="1"/>
                <w:iCs w:val="1"/>
                <w:color w:val="auto"/>
              </w:rPr>
              <w:t>Depositary Shares</w:t>
            </w:r>
            <w:r>
              <w:rPr>
                <w:rFonts w:ascii="Times New Roman" w:cs="Times New Roman" w:eastAsia="Times New Roman" w:hAnsi="Times New Roman"/>
                <w:sz w:val="18"/>
                <w:szCs w:val="18"/>
                <w:color w:val="auto"/>
              </w:rPr>
              <w:t>”), each representing a 1/400th interest in a share of the</w:t>
            </w:r>
          </w:p>
        </w:tc>
      </w:tr>
      <w:tr>
        <w:trPr>
          <w:trHeight w:val="236"/>
        </w:trPr>
        <w:tc>
          <w:tcPr>
            <w:tcW w:w="2620" w:type="dxa"/>
            <w:vAlign w:val="bottom"/>
          </w:tcPr>
          <w:p>
            <w:pPr>
              <w:spacing w:after="0"/>
              <w:rPr>
                <w:sz w:val="20"/>
                <w:szCs w:val="20"/>
                <w:color w:val="auto"/>
              </w:rPr>
            </w:pPr>
          </w:p>
        </w:tc>
        <w:tc>
          <w:tcPr>
            <w:tcW w:w="82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Issuer’s Perpetual 7.500% Non-Cumulative Preferred Stock, Series J (the “</w:t>
            </w:r>
            <w:r>
              <w:rPr>
                <w:rFonts w:ascii="Times New Roman" w:cs="Times New Roman" w:eastAsia="Times New Roman" w:hAnsi="Times New Roman"/>
                <w:sz w:val="18"/>
                <w:szCs w:val="18"/>
                <w:i w:val="1"/>
                <w:iCs w:val="1"/>
                <w:color w:val="auto"/>
              </w:rPr>
              <w:t>Preferred Shares</w:t>
            </w:r>
            <w:r>
              <w:rPr>
                <w:rFonts w:ascii="Times New Roman" w:cs="Times New Roman" w:eastAsia="Times New Roman" w:hAnsi="Times New Roman"/>
                <w:sz w:val="18"/>
                <w:szCs w:val="18"/>
                <w:color w:val="auto"/>
              </w:rPr>
              <w:t>”)</w:t>
            </w:r>
          </w:p>
        </w:tc>
      </w:tr>
      <w:tr>
        <w:trPr>
          <w:trHeight w:val="32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Liquidation Preference:</w:t>
            </w:r>
          </w:p>
        </w:tc>
        <w:tc>
          <w:tcPr>
            <w:tcW w:w="82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$10,000 liquidation preference per Preferred Share (equivalent to $25 per Depositary Share)</w:t>
            </w:r>
          </w:p>
        </w:tc>
      </w:tr>
      <w:tr>
        <w:trPr>
          <w:trHeight w:val="32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Number of Depositary Shares:</w:t>
            </w:r>
          </w:p>
        </w:tc>
        <w:tc>
          <w:tcPr>
            <w:tcW w:w="82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30,000,000 (corresponding to 75,000 Preferred Shares)</w:t>
            </w:r>
          </w:p>
        </w:tc>
      </w:tr>
      <w:tr>
        <w:trPr>
          <w:trHeight w:val="32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Aggregate Offering Size:</w:t>
            </w:r>
          </w:p>
        </w:tc>
        <w:tc>
          <w:tcPr>
            <w:tcW w:w="21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$750,000,000</w:t>
            </w:r>
          </w:p>
        </w:tc>
        <w:tc>
          <w:tcPr>
            <w:tcW w:w="148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32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82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$25 per Depositary Share</w:t>
            </w:r>
          </w:p>
        </w:tc>
      </w:tr>
      <w:tr>
        <w:trPr>
          <w:trHeight w:val="30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82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w w:val="99"/>
              </w:rPr>
              <w:t>1.000% per Depositary Share sold to institutional investors and 3.150% per Depositary Share sold to</w:t>
            </w:r>
          </w:p>
        </w:tc>
      </w:tr>
      <w:tr>
        <w:trPr>
          <w:trHeight w:val="234"/>
        </w:trPr>
        <w:tc>
          <w:tcPr>
            <w:tcW w:w="2620" w:type="dxa"/>
            <w:vAlign w:val="bottom"/>
          </w:tcPr>
          <w:p>
            <w:pPr>
              <w:spacing w:after="0"/>
              <w:rPr>
                <w:sz w:val="20"/>
                <w:szCs w:val="20"/>
                <w:color w:val="auto"/>
              </w:rPr>
            </w:pPr>
          </w:p>
        </w:tc>
        <w:tc>
          <w:tcPr>
            <w:tcW w:w="82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retail investors</w:t>
            </w:r>
          </w:p>
        </w:tc>
      </w:tr>
      <w:tr>
        <w:trPr>
          <w:trHeight w:val="32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Proceeds to Issuer before Expenses:</w:t>
            </w:r>
          </w:p>
        </w:tc>
        <w:tc>
          <w:tcPr>
            <w:tcW w:w="82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$734,217,125 total</w:t>
            </w:r>
          </w:p>
        </w:tc>
      </w:tr>
      <w:tr>
        <w:trPr>
          <w:trHeight w:val="32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82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May 6, 2024</w:t>
            </w:r>
          </w:p>
        </w:tc>
      </w:tr>
      <w:tr>
        <w:trPr>
          <w:trHeight w:val="32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82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May 13, 2024 (T+5)**</w:t>
            </w:r>
          </w:p>
        </w:tc>
      </w:tr>
      <w:tr>
        <w:trPr>
          <w:trHeight w:val="32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2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Perpetual</w:t>
            </w:r>
          </w:p>
        </w:tc>
      </w:tr>
    </w:tbl>
    <w:p>
      <w:pPr>
        <w:sectPr>
          <w:pgSz w:w="11900" w:h="16838" w:orient="portrait"/>
          <w:cols w:equalWidth="0" w:num="1">
            <w:col w:w="11020"/>
          </w:cols>
          <w:pgMar w:left="44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Dividend Payment Dates: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Quarterly in arrears on March 15, June 15, September 15 and December 15 of each year, commencing on September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-391160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2920" w:space="720"/>
            <w:col w:w="7360"/>
          </w:cols>
          <w:pgMar w:left="440" w:top="270" w:right="4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Dividend Rate (Non-Cumulative):</w:t>
      </w:r>
    </w:p>
    <w:p>
      <w:pPr>
        <w:spacing w:after="0" w:line="20" w:lineRule="exact"/>
        <w:rPr>
          <w:sz w:val="20"/>
          <w:szCs w:val="20"/>
          <w:color w:val="auto"/>
        </w:rPr>
      </w:pPr>
      <w:r>
        <w:rPr>
          <w:sz w:val="20"/>
          <w:szCs w:val="20"/>
          <w:color w:val="auto"/>
        </w:rPr>
        <w:br w:type="column"/>
      </w:r>
    </w:p>
    <w:p>
      <w:pPr>
        <w:ind w:right="560"/>
        <w:spacing w:after="0" w:line="282" w:lineRule="auto"/>
        <w:rPr>
          <w:sz w:val="20"/>
          <w:szCs w:val="20"/>
          <w:color w:val="auto"/>
        </w:rPr>
      </w:pPr>
      <w:r>
        <w:rPr>
          <w:rFonts w:ascii="Times New Roman" w:cs="Times New Roman" w:eastAsia="Times New Roman" w:hAnsi="Times New Roman"/>
          <w:sz w:val="18"/>
          <w:szCs w:val="18"/>
          <w:color w:val="auto"/>
        </w:rPr>
        <w:t>7.500% per annum on the stated amount of $10,000 per Preferred Share (equivalent to $25 per Depositary Share).</w:t>
      </w:r>
    </w:p>
    <w:p>
      <w:pPr>
        <w:spacing w:after="0" w:line="54" w:lineRule="exact"/>
        <w:rPr>
          <w:sz w:val="20"/>
          <w:szCs w:val="20"/>
          <w:color w:val="auto"/>
        </w:rPr>
      </w:pPr>
    </w:p>
    <w:p>
      <w:pPr>
        <w:sectPr>
          <w:pgSz w:w="11900" w:h="16838" w:orient="portrait"/>
          <w:cols w:equalWidth="0" w:num="2">
            <w:col w:w="2920" w:space="720"/>
            <w:col w:w="736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Day Count Convention: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30/360</w:t>
      </w:r>
    </w:p>
    <w:p>
      <w:pPr>
        <w:spacing w:after="0" w:line="129" w:lineRule="exact"/>
        <w:rPr>
          <w:sz w:val="20"/>
          <w:szCs w:val="20"/>
          <w:color w:val="auto"/>
        </w:rPr>
      </w:pPr>
    </w:p>
    <w:p>
      <w:pPr>
        <w:sectPr>
          <w:pgSz w:w="11900" w:h="16838" w:orient="portrait"/>
          <w:cols w:equalWidth="0" w:num="2">
            <w:col w:w="2920" w:space="720"/>
            <w:col w:w="736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Optional Redemption:</w:t>
      </w:r>
    </w:p>
    <w:p>
      <w:pPr>
        <w:spacing w:after="0" w:line="20" w:lineRule="exact"/>
        <w:rPr>
          <w:sz w:val="20"/>
          <w:szCs w:val="20"/>
          <w:color w:val="auto"/>
        </w:rPr>
      </w:pPr>
      <w:r>
        <w:rPr>
          <w:sz w:val="20"/>
          <w:szCs w:val="20"/>
          <w:color w:val="auto"/>
        </w:rPr>
        <w:br w:type="column"/>
      </w:r>
    </w:p>
    <w:p>
      <w:pPr>
        <w:ind w:right="40"/>
        <w:spacing w:after="0" w:line="258" w:lineRule="auto"/>
        <w:rPr>
          <w:sz w:val="20"/>
          <w:szCs w:val="20"/>
          <w:color w:val="auto"/>
        </w:rPr>
      </w:pPr>
      <w:r>
        <w:rPr>
          <w:rFonts w:ascii="Times New Roman" w:cs="Times New Roman" w:eastAsia="Times New Roman" w:hAnsi="Times New Roman"/>
          <w:sz w:val="18"/>
          <w:szCs w:val="18"/>
          <w:color w:val="auto"/>
        </w:rPr>
        <w:t>At the Issuer’s option, (i) in whole or in part, from time to time, on June 15, 2029 and any subsequent dividend payment date or (ii) in whole but not in part at any time within 90 days after a regulatory capital treatment event (as defined in the preliminary prospectus supplement), in each case, at a redemption price equal to $10,000 per Preferred Share (equivalent to $25 per Depositary Share), plus any declared and unpaid dividends.</w:t>
      </w:r>
    </w:p>
    <w:p>
      <w:pPr>
        <w:spacing w:after="0" w:line="75" w:lineRule="exact"/>
        <w:rPr>
          <w:sz w:val="20"/>
          <w:szCs w:val="20"/>
          <w:color w:val="auto"/>
        </w:rPr>
      </w:pPr>
    </w:p>
    <w:p>
      <w:pPr>
        <w:sectPr>
          <w:pgSz w:w="11900" w:h="16838" w:orient="portrait"/>
          <w:cols w:equalWidth="0" w:num="2">
            <w:col w:w="2920" w:space="720"/>
            <w:col w:w="736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Issuer intends to apply for listing of the depositary shares on the New York Stock Exchange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NYSE</w:t>
      </w:r>
      <w:r>
        <w:rPr>
          <w:rFonts w:ascii="Times New Roman" w:cs="Times New Roman" w:eastAsia="Times New Roman" w:hAnsi="Times New Roman"/>
          <w:sz w:val="17"/>
          <w:szCs w:val="17"/>
          <w:color w:val="auto"/>
        </w:rPr>
        <w:t>”) under the symbol “MTBPrJ.” If the application is approved, trading of the depositary shares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NYSE is expected to commence within a 30-day period after the initial delivery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shares.</w:t>
      </w:r>
    </w:p>
    <w:p>
      <w:pPr>
        <w:spacing w:after="0" w:line="99" w:lineRule="exact"/>
        <w:rPr>
          <w:sz w:val="20"/>
          <w:szCs w:val="20"/>
          <w:color w:val="auto"/>
        </w:rPr>
      </w:pPr>
    </w:p>
    <w:p>
      <w:pPr>
        <w:sectPr>
          <w:pgSz w:w="11900" w:h="16838" w:orient="portrait"/>
          <w:cols w:equalWidth="0" w:num="2">
            <w:col w:w="2920" w:space="720"/>
            <w:col w:w="736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CUSIP / 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55261F 864 / US55261F8648</w:t>
      </w:r>
    </w:p>
    <w:p>
      <w:pPr>
        <w:spacing w:after="0" w:line="129" w:lineRule="exact"/>
        <w:rPr>
          <w:sz w:val="20"/>
          <w:szCs w:val="20"/>
          <w:color w:val="auto"/>
        </w:rPr>
      </w:pPr>
    </w:p>
    <w:p>
      <w:pPr>
        <w:sectPr>
          <w:pgSz w:w="11900" w:h="16838" w:orient="portrait"/>
          <w:cols w:equalWidth="0" w:num="2">
            <w:col w:w="2920" w:space="720"/>
            <w:col w:w="736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M&amp;T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Wells Fargo Securities, LLC</w:t>
      </w:r>
    </w:p>
    <w:p>
      <w:pPr>
        <w:spacing w:after="0" w:line="110" w:lineRule="exact"/>
        <w:rPr>
          <w:sz w:val="20"/>
          <w:szCs w:val="20"/>
          <w:color w:val="auto"/>
        </w:rPr>
      </w:pPr>
    </w:p>
    <w:p>
      <w:pPr>
        <w:sectPr>
          <w:pgSz w:w="11900" w:h="16838" w:orient="portrait"/>
          <w:cols w:equalWidth="0" w:num="2">
            <w:col w:w="2920" w:space="720"/>
            <w:col w:w="736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Keefe, Bruyette &amp; Woods,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Samuel A. Ramirez &amp; Company,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153" w:lineRule="exact"/>
        <w:rPr>
          <w:sz w:val="20"/>
          <w:szCs w:val="20"/>
          <w:color w:val="auto"/>
        </w:rPr>
      </w:pPr>
    </w:p>
    <w:p>
      <w:pPr>
        <w:sectPr>
          <w:pgSz w:w="11900" w:h="16838" w:orient="portrait"/>
          <w:cols w:equalWidth="0" w:num="2">
            <w:col w:w="2920" w:space="720"/>
            <w:col w:w="7360"/>
          </w:cols>
          <w:pgMar w:left="440" w:top="270" w:right="45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000"/>
          </w:cols>
          <w:pgMar w:left="440" w:top="270" w:right="459" w:bottom="1440" w:gutter="0" w:footer="0" w:header="0"/>
          <w:type w:val="continuous"/>
        </w:sectPr>
      </w:pPr>
    </w:p>
    <w:bookmarkStart w:id="2" w:name="page3"/>
    <w:bookmarkEnd w:id="2"/>
    <w:p>
      <w:pPr>
        <w:ind w:left="4" w:right="40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Depositary Shares are not deposits or other obligations of a bank and are not insured or guaranteed by the Federal Deposit Insurance Corporation or any other governmental agency.</w:t>
      </w:r>
    </w:p>
    <w:p>
      <w:pPr>
        <w:spacing w:after="0" w:line="64" w:lineRule="exact"/>
        <w:rPr>
          <w:sz w:val="20"/>
          <w:szCs w:val="20"/>
          <w:color w:val="auto"/>
        </w:rPr>
      </w:pPr>
    </w:p>
    <w:p>
      <w:pPr>
        <w:ind w:left="424" w:right="140" w:hanging="424"/>
        <w:spacing w:after="0" w:line="276" w:lineRule="auto"/>
        <w:tabs>
          <w:tab w:leader="none" w:pos="424"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security ratings above are not a recommendation to buy, sell or hold the Securities. The ratings may be subject to revision or withdrawal at any time by Moody’s, S&amp;P Global Ratings and Fitch. Each of the security ratings above should be evaluated independently of any other security</w:t>
      </w:r>
    </w:p>
    <w:p>
      <w:pPr>
        <w:spacing w:after="0" w:line="1"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rating.</w:t>
      </w:r>
    </w:p>
    <w:p>
      <w:pPr>
        <w:spacing w:after="0" w:line="9" w:lineRule="exact"/>
        <w:rPr>
          <w:sz w:val="20"/>
          <w:szCs w:val="20"/>
          <w:color w:val="auto"/>
        </w:rPr>
      </w:pPr>
    </w:p>
    <w:p>
      <w:pPr>
        <w:ind w:left="424" w:right="200" w:hanging="424"/>
        <w:spacing w:after="0" w:line="273" w:lineRule="auto"/>
        <w:tabs>
          <w:tab w:leader="none" w:pos="42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Rule 15c6-1 of the Securities Exchange Act of 1934, as amended, trades in the secondary market generally are required to settle in two business days, unless the parties to the trade expressly agree otherwise. Accordingly, purchasers who wish to trade the Depositary Shares on the date of pricing or the next two succeeding business days will be required, by virtue of the fact that the Depositary Shares initially will settle in T+5, to specify an alternate settlement cycle at the time of any such trade to prevent a failed settlement and should consult their own advisors.</w:t>
      </w:r>
    </w:p>
    <w:p>
      <w:pPr>
        <w:spacing w:after="0" w:line="168"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base prospectus), with the SEC for the offering to which this communication relates. Before you invest, you should read the preliminary prospectus supplement and accompanying base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or emailing Morgan Stanley &amp; Co. LLC toll-free at (866) 718-1649 or prospectus@morganstanley.com, BofA Securities, Inc. toll-free at (800) 294-1322 or dg.prospectus_requests@bofa.com, J.P. Morgan Securities LLC toll-free at (212) 834-4533, RBC Capital Markets, LLC toll-free at (866) 375-6829, UBS Securities LLC toll-free at (888) 827-7275, and Wells Fargo Securities, LLC toll-free at (800) 645-3751.</w:t>
      </w:r>
    </w:p>
    <w:p>
      <w:pPr>
        <w:spacing w:after="0" w:line="185" w:lineRule="exact"/>
        <w:rPr>
          <w:sz w:val="20"/>
          <w:szCs w:val="20"/>
          <w:color w:val="auto"/>
        </w:rPr>
      </w:pPr>
    </w:p>
    <w:p>
      <w:pPr>
        <w:ind w:left="4" w:right="180"/>
        <w:spacing w:after="0" w:line="286" w:lineRule="auto"/>
        <w:rPr>
          <w:sz w:val="20"/>
          <w:szCs w:val="20"/>
          <w:color w:val="auto"/>
        </w:rPr>
      </w:pPr>
      <w:r>
        <w:rPr>
          <w:rFonts w:ascii="Times New Roman" w:cs="Times New Roman" w:eastAsia="Times New Roman" w:hAnsi="Times New Roman"/>
          <w:sz w:val="18"/>
          <w:szCs w:val="18"/>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0984"/>
      </w:cols>
      <w:pgMar w:left="436"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2024-05-07T05:16:38Z</dcterms:created>
  <dcterms:modified xsi:type="dcterms:W3CDTF">2024-05-07T05:16:38Z</dcterms:modified>
</cp:coreProperties>
</file>