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8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8"/>
        </w:trPr>
        <w:tc>
          <w:tcPr>
            <w:tcW w:w="26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20" w:type="dxa"/>
            <w:vAlign w:val="bottom"/>
          </w:tcPr>
          <w:p>
            <w:pPr>
              <w:jc w:val="center"/>
              <w:ind w:left="46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5820" w:type="dxa"/>
            <w:vAlign w:val="bottom"/>
          </w:tcPr>
          <w:p>
            <w:pPr>
              <w:spacing w:after="0"/>
              <w:rPr>
                <w:sz w:val="24"/>
                <w:szCs w:val="24"/>
                <w:color w:val="auto"/>
              </w:rPr>
            </w:pPr>
          </w:p>
        </w:tc>
      </w:tr>
      <w:tr>
        <w:trPr>
          <w:trHeight w:val="214"/>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82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7"/>
        </w:trPr>
        <w:tc>
          <w:tcPr>
            <w:tcW w:w="2680" w:type="dxa"/>
            <w:vAlign w:val="bottom"/>
          </w:tcPr>
          <w:p>
            <w:pPr>
              <w:spacing w:after="0"/>
              <w:rPr>
                <w:sz w:val="22"/>
                <w:szCs w:val="22"/>
                <w:color w:val="auto"/>
              </w:rPr>
            </w:pPr>
          </w:p>
        </w:tc>
        <w:tc>
          <w:tcPr>
            <w:tcW w:w="5820" w:type="dxa"/>
            <w:vAlign w:val="bottom"/>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3"/>
        </w:trPr>
        <w:tc>
          <w:tcPr>
            <w:tcW w:w="2680" w:type="dxa"/>
            <w:vAlign w:val="bottom"/>
          </w:tcPr>
          <w:p>
            <w:pPr>
              <w:spacing w:after="0"/>
              <w:rPr>
                <w:sz w:val="22"/>
                <w:szCs w:val="22"/>
                <w:color w:val="auto"/>
              </w:rPr>
            </w:pPr>
          </w:p>
        </w:tc>
        <w:tc>
          <w:tcPr>
            <w:tcW w:w="5820" w:type="dxa"/>
            <w:vAlign w:val="bottom"/>
          </w:tcPr>
          <w:p>
            <w:pPr>
              <w:jc w:val="right"/>
              <w:ind w:right="3300"/>
              <w:spacing w:after="0"/>
              <w:rPr>
                <w:sz w:val="20"/>
                <w:szCs w:val="20"/>
                <w:color w:val="auto"/>
              </w:rPr>
            </w:pPr>
            <w:r>
              <w:rPr>
                <w:rFonts w:ascii="Times New Roman" w:cs="Times New Roman" w:eastAsia="Times New Roman" w:hAnsi="Times New Roman"/>
                <w:sz w:val="18"/>
                <w:szCs w:val="18"/>
                <w:b w:val="1"/>
                <w:bCs w:val="1"/>
                <w:color w:val="auto"/>
              </w:rPr>
              <w:t>(716) 635-4000</w:t>
            </w:r>
          </w:p>
        </w:tc>
      </w:tr>
    </w:tbl>
    <w:p>
      <w:pPr>
        <w:spacing w:after="0" w:line="29" w:lineRule="exact"/>
        <w:rPr>
          <w:sz w:val="24"/>
          <w:szCs w:val="24"/>
          <w:color w:val="auto"/>
        </w:rPr>
      </w:pPr>
    </w:p>
    <w:p>
      <w:pPr>
        <w:sectPr>
          <w:pgSz w:w="11900" w:h="16838" w:orient="portrait"/>
          <w:cols w:equalWidth="0" w:num="1">
            <w:col w:w="11240"/>
          </w:cols>
          <w:pgMar w:left="320" w:top="587" w:right="339" w:bottom="1440" w:gutter="0" w:footer="0" w:header="0"/>
        </w:sectPr>
      </w:pPr>
    </w:p>
    <w:p>
      <w:pPr>
        <w:spacing w:after="0" w:line="257"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6" w:lineRule="exact"/>
        <w:rPr>
          <w:sz w:val="24"/>
          <w:szCs w:val="24"/>
          <w:color w:val="auto"/>
        </w:rPr>
      </w:pPr>
    </w:p>
    <w:p>
      <w:pPr>
        <w:jc w:val="center"/>
        <w:ind w:left="1020"/>
        <w:spacing w:after="0" w:line="233" w:lineRule="auto"/>
        <w:rPr>
          <w:sz w:val="20"/>
          <w:szCs w:val="20"/>
          <w:color w:val="auto"/>
        </w:rPr>
      </w:pPr>
      <w:r>
        <w:rPr>
          <w:rFonts w:ascii="Times New Roman" w:cs="Times New Roman" w:eastAsia="Times New Roman" w:hAnsi="Times New Roman"/>
          <w:sz w:val="14"/>
          <w:szCs w:val="14"/>
          <w:color w:val="auto"/>
        </w:rPr>
        <w:t>Common Stock, $.50 par value Perpetual Fixed-to-Floating Rate Non-Cumulative Preferred Stock, Series 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1240" w:type="dxa"/>
            <w:vAlign w:val="bottom"/>
          </w:tcPr>
          <w:p>
            <w:pPr>
              <w:spacing w:after="0"/>
              <w:rPr>
                <w:sz w:val="19"/>
                <w:szCs w:val="19"/>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12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MTB</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c>
          <w:tcPr>
            <w:tcW w:w="20" w:type="dxa"/>
            <w:vAlign w:val="bottom"/>
          </w:tcPr>
          <w:p>
            <w:pPr>
              <w:spacing w:after="0"/>
              <w:rPr>
                <w:sz w:val="15"/>
                <w:szCs w:val="15"/>
                <w:color w:val="auto"/>
              </w:rPr>
            </w:pPr>
          </w:p>
        </w:tc>
      </w:tr>
      <w:tr>
        <w:trPr>
          <w:trHeight w:val="193"/>
        </w:trPr>
        <w:tc>
          <w:tcPr>
            <w:tcW w:w="1240" w:type="dxa"/>
            <w:vAlign w:val="bottom"/>
          </w:tcPr>
          <w:p>
            <w:pPr>
              <w:spacing w:after="0"/>
              <w:rPr>
                <w:sz w:val="16"/>
                <w:szCs w:val="16"/>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color w:val="auto"/>
              </w:rPr>
              <w:t>MTBPrH</w:t>
            </w:r>
          </w:p>
        </w:tc>
        <w:tc>
          <w:tcPr>
            <w:tcW w:w="140" w:type="dxa"/>
            <w:vAlign w:val="bottom"/>
          </w:tcPr>
          <w:p>
            <w:pPr>
              <w:spacing w:after="0"/>
              <w:rPr>
                <w:sz w:val="16"/>
                <w:szCs w:val="16"/>
                <w:color w:val="auto"/>
              </w:rPr>
            </w:pPr>
          </w:p>
        </w:tc>
        <w:tc>
          <w:tcPr>
            <w:tcW w:w="2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151765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0" w:lineRule="exact"/>
        <w:rPr>
          <w:sz w:val="24"/>
          <w:szCs w:val="24"/>
          <w:color w:val="auto"/>
        </w:rPr>
      </w:pPr>
    </w:p>
    <w:p>
      <w:pPr>
        <w:sectPr>
          <w:pgSz w:w="11900" w:h="16838" w:orient="portrait"/>
          <w:cols w:equalWidth="0" w:num="2">
            <w:col w:w="3480" w:space="380"/>
            <w:col w:w="7380"/>
          </w:cols>
          <w:pgMar w:left="320" w:top="587" w:right="339" w:bottom="1440" w:gutter="0" w:footer="0" w:header="0"/>
          <w:type w:val="continuous"/>
        </w:sectPr>
      </w:pPr>
    </w:p>
    <w:p>
      <w:pPr>
        <w:spacing w:after="0" w:line="63"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6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tabs>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April 29, 2022: 179,417,450 shares.</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M&amp;T BANK CORPORATION</w:t>
            </w:r>
          </w:p>
        </w:tc>
        <w:tc>
          <w:tcPr>
            <w:tcW w:w="41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12"/>
          </w:tcPr>
          <w:p>
            <w:pPr>
              <w:jc w:val="center"/>
              <w:ind w:right="4780"/>
              <w:spacing w:after="0"/>
              <w:rPr>
                <w:sz w:val="20"/>
                <w:szCs w:val="20"/>
                <w:color w:val="auto"/>
              </w:rPr>
            </w:pPr>
            <w:r>
              <w:rPr>
                <w:rFonts w:ascii="Times New Roman" w:cs="Times New Roman" w:eastAsia="Times New Roman" w:hAnsi="Times New Roman"/>
                <w:sz w:val="18"/>
                <w:szCs w:val="18"/>
                <w:color w:val="auto"/>
                <w:w w:val="99"/>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2022</w:t>
            </w:r>
          </w:p>
        </w:tc>
        <w:tc>
          <w:tcPr>
            <w:tcW w:w="35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
        </w:trPr>
        <w:tc>
          <w:tcPr>
            <w:tcW w:w="2800" w:type="dxa"/>
            <w:vAlign w:val="bottom"/>
            <w:tcBorders>
              <w:top w:val="single" w:sz="8" w:color="auto"/>
              <w:bottom w:val="single" w:sz="8" w:color="auto"/>
            </w:tcBorders>
            <w:gridSpan w:val="10"/>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06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10"/>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06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BALANCE SHEET – March 31, 2022 and December 31, 2021</w:t>
            </w:r>
          </w:p>
        </w:tc>
        <w:tc>
          <w:tcPr>
            <w:tcW w:w="36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CONSOLIDATED STATEMENT OF INCOME – Three months ended March 31, 2022 and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CONSOLIDATED STATEMENT OF COMPREHENSIVE INCOME – Three months ended March 31, 2022 and 2021</w:t>
            </w:r>
          </w:p>
        </w:tc>
        <w:tc>
          <w:tcPr>
            <w:tcW w:w="10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CONSOLIDATED STATEMENT OF CASH FLOWS – Three months ended March 31, 2022 and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CONSOLIDATED STATEMENT OF CHANGES IN SHAREHOLDERS' EQUITY – Three months ended March 31, 2022 and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NOTES TO FINANCIAL STATEMENTS</w:t>
            </w:r>
          </w:p>
        </w:tc>
        <w:tc>
          <w:tcPr>
            <w:tcW w:w="65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40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5"/>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7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18"/>
        </w:trPr>
        <w:tc>
          <w:tcPr>
            <w:tcW w:w="2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842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4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Risk Factors</w:t>
            </w:r>
            <w:r>
              <w:rPr>
                <w:rFonts w:ascii="Times New Roman" w:cs="Times New Roman" w:eastAsia="Times New Roman" w:hAnsi="Times New Roman"/>
                <w:sz w:val="18"/>
                <w:szCs w:val="18"/>
                <w:color w:val="00000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24"/>
                <w:szCs w:val="24"/>
                <w:color w:val="auto"/>
              </w:rPr>
            </w:pPr>
          </w:p>
        </w:tc>
        <w:tc>
          <w:tcPr>
            <w:tcW w:w="72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790"/>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gridSpan w:val="19"/>
          </w:tcPr>
          <w:p>
            <w:pPr>
              <w:jc w:val="center"/>
              <w:ind w:left="3810"/>
              <w:spacing w:after="0"/>
              <w:rPr>
                <w:sz w:val="20"/>
                <w:szCs w:val="20"/>
                <w:color w:val="auto"/>
              </w:rPr>
            </w:pPr>
            <w:r>
              <w:rPr>
                <w:rFonts w:ascii="Times New Roman" w:cs="Times New Roman" w:eastAsia="Times New Roman" w:hAnsi="Times New Roman"/>
                <w:sz w:val="18"/>
                <w:szCs w:val="18"/>
                <w:color w:val="auto"/>
                <w:w w:val="99"/>
              </w:rPr>
              <w:t>- 2 -</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Cash and due from banks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1,411,460</w:t>
            </w: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1,337,577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36,025,382</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41,872,304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Trading account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197,558</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468,031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Investment securities (includes pledged securities that can be sold or repledged of</w:t>
            </w: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$85,493 at March 31, 2022; $96,128 at December 31, 2021)</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Available for sale (cost: $5,783,697 at March 31, 2022;</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$3,849,347 at December 31, 2021)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5,705,199</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3,955,804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Held to maturity (fair value: $3,042,709 at March 31, 2022;</w:t>
            </w: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$2,771,290 at December 31, 2021)</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3,180,626</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2,734,674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Equity and other securities (cost: $467,884 at March 31, 2022;</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5"/>
                <w:szCs w:val="15"/>
                <w:color w:val="auto"/>
              </w:rPr>
              <w:t>$461,516 at December 31, 2021)</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471,007</w:t>
            </w:r>
          </w:p>
        </w:tc>
        <w:tc>
          <w:tcPr>
            <w:tcW w:w="3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465,382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6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securities</w:t>
            </w: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9,356,832</w:t>
            </w:r>
          </w:p>
        </w:tc>
        <w:tc>
          <w:tcPr>
            <w:tcW w:w="3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7,155,860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Loans and leases</w:t>
            </w:r>
          </w:p>
        </w:tc>
        <w:tc>
          <w:tcPr>
            <w:tcW w:w="1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92,004,751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93,136,678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Unearned discount</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(196,359)</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(224,226)</w:t>
            </w:r>
          </w:p>
        </w:tc>
        <w:tc>
          <w:tcPr>
            <w:tcW w:w="0" w:type="dxa"/>
            <w:vAlign w:val="bottom"/>
          </w:tcPr>
          <w:p>
            <w:pPr>
              <w:spacing w:after="0"/>
              <w:rPr>
                <w:sz w:val="1"/>
                <w:szCs w:val="1"/>
                <w:color w:val="auto"/>
              </w:rPr>
            </w:pPr>
          </w:p>
        </w:tc>
      </w:tr>
      <w:tr>
        <w:trPr>
          <w:trHeight w:val="169"/>
        </w:trPr>
        <w:tc>
          <w:tcPr>
            <w:tcW w:w="836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 of unearned discount</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91,808,392</w:t>
            </w: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92,912,452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(1,472,359)</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(1,469,226)</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CFF0FC"/>
            </w:tcBorders>
          </w:tcPr>
          <w:p>
            <w:pPr>
              <w:ind w:left="380"/>
              <w:spacing w:after="0" w:line="169" w:lineRule="exact"/>
              <w:rPr>
                <w:sz w:val="20"/>
                <w:szCs w:val="20"/>
                <w:color w:val="auto"/>
              </w:rPr>
            </w:pPr>
            <w:r>
              <w:rPr>
                <w:rFonts w:ascii="Times New Roman" w:cs="Times New Roman" w:eastAsia="Times New Roman" w:hAnsi="Times New Roman"/>
                <w:sz w:val="15"/>
                <w:szCs w:val="15"/>
                <w:color w:val="auto"/>
              </w:rPr>
              <w:t>Loans and leases, net</w:t>
            </w: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90,336,033</w:t>
            </w:r>
          </w:p>
        </w:tc>
        <w:tc>
          <w:tcPr>
            <w:tcW w:w="3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91,443,226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Premises and equipment</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1,134,718</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1,144,765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2,742</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6,805,715</w:t>
            </w:r>
          </w:p>
        </w:tc>
        <w:tc>
          <w:tcPr>
            <w:tcW w:w="3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7,088,287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60" w:type="dxa"/>
            <w:vAlign w:val="bottom"/>
            <w:tcBorders>
              <w:bottom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149,863,552</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155,107,160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58,520,366</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60,131,480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65,273,150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68,603,966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2,525,197</w:t>
            </w:r>
          </w:p>
        </w:tc>
        <w:tc>
          <w:tcPr>
            <w:tcW w:w="3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2,807,963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deposits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126,318,713</w:t>
            </w:r>
          </w:p>
        </w:tc>
        <w:tc>
          <w:tcPr>
            <w:tcW w:w="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131,543,409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Short-term borrowings</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50,307</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47,046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2,174,925</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2,127,931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borrowings</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3,443,587</w:t>
            </w:r>
          </w:p>
        </w:tc>
        <w:tc>
          <w:tcPr>
            <w:tcW w:w="3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3,485,369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131,987,532</w:t>
            </w:r>
          </w:p>
        </w:tc>
        <w:tc>
          <w:tcPr>
            <w:tcW w:w="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137,203,755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3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Preferred stock, $1.00 par, 1,000,000 shares authorized;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 share: 350,000</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shares at March 31, 2022 and December 31, 2021; Liquidation preference of</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$10,000 per share: 140,000 shares at March 31, 2022 and December 31, 2021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1,750,000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159,741,898 shares issued at March 31, 2022 and December 31, 2021</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Common stock issuable, 13,864 shares at March 31, 2022;</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15,769 shares at December 31, 2021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6,611,659</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6,635,000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14,830,671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14,646,448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(377,385)</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(127,578)</w:t>
            </w:r>
          </w:p>
        </w:tc>
        <w:tc>
          <w:tcPr>
            <w:tcW w:w="0" w:type="dxa"/>
            <w:vAlign w:val="bottom"/>
          </w:tcPr>
          <w:p>
            <w:pPr>
              <w:spacing w:after="0"/>
              <w:rPr>
                <w:sz w:val="1"/>
                <w:szCs w:val="1"/>
                <w:color w:val="auto"/>
              </w:rPr>
            </w:pPr>
          </w:p>
        </w:tc>
      </w:tr>
      <w:tr>
        <w:trPr>
          <w:trHeight w:val="158"/>
        </w:trPr>
        <w:tc>
          <w:tcPr>
            <w:tcW w:w="83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Treasury stock — common, at cost — 30,675,930 shares at March 31, 2022;</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31,052,845 shares at December 31, 2021</w:t>
            </w:r>
          </w:p>
        </w:tc>
        <w:tc>
          <w:tcPr>
            <w:tcW w:w="160" w:type="dxa"/>
            <w:vAlign w:val="bottom"/>
          </w:tcPr>
          <w:p>
            <w:pPr>
              <w:spacing w:after="0"/>
              <w:rPr>
                <w:sz w:val="15"/>
                <w:szCs w:val="15"/>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(5,019,870)</w:t>
            </w:r>
          </w:p>
        </w:tc>
        <w:tc>
          <w:tcPr>
            <w:tcW w:w="1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(5,081,548)</w:t>
            </w:r>
          </w:p>
        </w:tc>
        <w:tc>
          <w:tcPr>
            <w:tcW w:w="0" w:type="dxa"/>
            <w:vAlign w:val="bottom"/>
          </w:tcPr>
          <w:p>
            <w:pPr>
              <w:spacing w:after="0"/>
              <w:rPr>
                <w:sz w:val="1"/>
                <w:szCs w:val="1"/>
                <w:color w:val="auto"/>
              </w:rPr>
            </w:pPr>
          </w:p>
        </w:tc>
      </w:tr>
      <w:tr>
        <w:trPr>
          <w:trHeight w:val="169"/>
        </w:trPr>
        <w:tc>
          <w:tcPr>
            <w:tcW w:w="8360" w:type="dxa"/>
            <w:vAlign w:val="bottom"/>
            <w:tcBorders>
              <w:top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17,876,020</w:t>
            </w:r>
          </w:p>
        </w:tc>
        <w:tc>
          <w:tcPr>
            <w:tcW w:w="3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17,903,405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6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149,863,552</w:t>
            </w:r>
          </w:p>
        </w:tc>
        <w:tc>
          <w:tcPr>
            <w:tcW w:w="3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155,107,160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r>
        <w:rPr>
          <w:rFonts w:ascii="Times New Roman" w:cs="Times New Roman" w:eastAsia="Times New Roman" w:hAnsi="Times New Roman"/>
          <w:sz w:val="10"/>
          <w:szCs w:val="10"/>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26"/>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 except per share)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Loans and leases, including fees</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870,600</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972,582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Investment securities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Fully taxable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39,132</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Exempt from federal taxes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Deposits at banks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18,280</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interest income</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928,256</w:t>
            </w:r>
          </w:p>
        </w:tc>
        <w:tc>
          <w:tcPr>
            <w:tcW w:w="3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1,016,962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Savings and interest-checking deposits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6,747</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Deposits at Cayman Islands office</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Short-term borrowings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borrowings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15,937</w:t>
            </w:r>
          </w:p>
        </w:tc>
        <w:tc>
          <w:tcPr>
            <w:tcW w:w="3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interest expense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24,082</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Net interest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904,174</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981,395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(25,000)</w:t>
            </w:r>
          </w:p>
        </w:tc>
        <w:tc>
          <w:tcPr>
            <w:tcW w:w="0" w:type="dxa"/>
            <w:vAlign w:val="bottom"/>
          </w:tcPr>
          <w:p>
            <w:pPr>
              <w:spacing w:after="0"/>
              <w:rPr>
                <w:sz w:val="1"/>
                <w:szCs w:val="1"/>
                <w:color w:val="auto"/>
              </w:rPr>
            </w:pPr>
          </w:p>
        </w:tc>
      </w:tr>
      <w:tr>
        <w:trPr>
          <w:trHeight w:val="209"/>
        </w:trPr>
        <w:tc>
          <w:tcPr>
            <w:tcW w:w="8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894,174</w:t>
            </w:r>
          </w:p>
        </w:tc>
        <w:tc>
          <w:tcPr>
            <w:tcW w:w="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1,006,395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Mortgage banking revenues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109,148</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Trust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169,213</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Brokerage services income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Trading account and foreign exchange gains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5,369</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Loss on bank investment securities</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(12,282)</w:t>
            </w: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revenues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136,203</w:t>
            </w:r>
          </w:p>
        </w:tc>
        <w:tc>
          <w:tcPr>
            <w:tcW w:w="3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other income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540,887</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Other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Equipment and net occupancy</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85,812</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Outside data processing and software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FDIC assessments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15,576</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Printing, postage and supplies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10,150</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core deposit and other intangible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costs of operations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173,684</w:t>
            </w:r>
          </w:p>
        </w:tc>
        <w:tc>
          <w:tcPr>
            <w:tcW w:w="3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other expense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959,741</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919,444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475,320</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592,549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113,146</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Net income</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362,174</w:t>
            </w:r>
          </w:p>
        </w:tc>
        <w:tc>
          <w:tcPr>
            <w:tcW w:w="3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447,249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shareholders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339,589</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339,590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share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36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128,945</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128,537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6"/>
        </w:trPr>
        <w:tc>
          <w:tcPr>
            <w:tcW w:w="6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362,174</w:t>
            </w:r>
          </w:p>
        </w:tc>
        <w:tc>
          <w:tcPr>
            <w:tcW w:w="4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447,249</w:t>
            </w:r>
          </w:p>
        </w:tc>
        <w:tc>
          <w:tcPr>
            <w:tcW w:w="120" w:type="dxa"/>
            <w:vAlign w:val="bottom"/>
            <w:shd w:val="clear" w:color="auto" w:fill="CFF0FC"/>
          </w:tcPr>
          <w:p>
            <w:pPr>
              <w:spacing w:after="0"/>
              <w:rPr>
                <w:sz w:val="19"/>
                <w:szCs w:val="19"/>
                <w:color w:val="auto"/>
              </w:rPr>
            </w:pPr>
          </w:p>
        </w:tc>
      </w:tr>
      <w:tr>
        <w:trPr>
          <w:trHeight w:val="211"/>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and</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investment securities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(136,367)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(22,406)</w:t>
            </w:r>
          </w:p>
        </w:tc>
      </w:tr>
      <w:tr>
        <w:trPr>
          <w:trHeight w:val="230"/>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(114,061)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(66,777)</w:t>
            </w:r>
          </w:p>
        </w:tc>
      </w:tr>
      <w:tr>
        <w:trPr>
          <w:trHeight w:val="229"/>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FF0FC"/>
          </w:tcPr>
          <w:p>
            <w:pPr>
              <w:spacing w:after="0"/>
              <w:rPr>
                <w:sz w:val="19"/>
                <w:szCs w:val="19"/>
                <w:color w:val="auto"/>
              </w:rPr>
            </w:pPr>
          </w:p>
        </w:tc>
      </w:tr>
      <w:tr>
        <w:trPr>
          <w:trHeight w:val="229"/>
        </w:trPr>
        <w:tc>
          <w:tcPr>
            <w:tcW w:w="6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2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20" w:type="dxa"/>
            <w:vAlign w:val="bottom"/>
            <w:tcBorders>
              <w:bottom w:val="single" w:sz="8" w:color="CFF0FC"/>
            </w:tcBorders>
          </w:tcPr>
          <w:p>
            <w:pPr>
              <w:spacing w:after="0"/>
              <w:rPr>
                <w:sz w:val="19"/>
                <w:szCs w:val="19"/>
                <w:color w:val="auto"/>
              </w:rPr>
            </w:pPr>
          </w:p>
        </w:tc>
      </w:tr>
      <w:tr>
        <w:trPr>
          <w:trHeight w:val="223"/>
        </w:trPr>
        <w:tc>
          <w:tcPr>
            <w:tcW w:w="6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(249,807)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(75,446)</w:t>
            </w:r>
          </w:p>
        </w:tc>
        <w:tc>
          <w:tcPr>
            <w:tcW w:w="120" w:type="dxa"/>
            <w:vAlign w:val="bottom"/>
            <w:shd w:val="clear" w:color="auto" w:fill="CFF0FC"/>
          </w:tcPr>
          <w:p>
            <w:pPr>
              <w:spacing w:after="0"/>
              <w:rPr>
                <w:sz w:val="19"/>
                <w:szCs w:val="19"/>
                <w:color w:val="auto"/>
              </w:rPr>
            </w:pPr>
          </w:p>
        </w:tc>
      </w:tr>
      <w:tr>
        <w:trPr>
          <w:trHeight w:val="223"/>
        </w:trPr>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112,367</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371,803</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5"/>
        </w:trPr>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362,174</w:t>
            </w:r>
          </w:p>
        </w:tc>
        <w:tc>
          <w:tcPr>
            <w:tcW w:w="2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447,249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56,739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Asset write-downs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(4,768)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(2,106)</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15,748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(36,893)</w:t>
            </w:r>
          </w:p>
        </w:tc>
        <w:tc>
          <w:tcPr>
            <w:tcW w:w="0" w:type="dxa"/>
            <w:vAlign w:val="bottom"/>
          </w:tcPr>
          <w:p>
            <w:pPr>
              <w:spacing w:after="0"/>
              <w:rPr>
                <w:sz w:val="1"/>
                <w:szCs w:val="1"/>
                <w:color w:val="auto"/>
              </w:rPr>
            </w:pPr>
          </w:p>
        </w:tc>
      </w:tr>
      <w:tr>
        <w:trPr>
          <w:trHeight w:val="162"/>
        </w:trPr>
        <w:tc>
          <w:tcPr>
            <w:tcW w:w="8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(99,163)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(27,301)</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434,520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158,878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3"/>
                <w:szCs w:val="13"/>
                <w:color w:val="auto"/>
              </w:rPr>
              <w:t>Net change in trading account assets and liabilities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489,545</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359,559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1,295,770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994,737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Available for sale</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422,171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Held to maturity</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120,032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Available for sale</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(2,156,662)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(1,002)</w:t>
            </w:r>
          </w:p>
        </w:tc>
        <w:tc>
          <w:tcPr>
            <w:tcW w:w="0" w:type="dxa"/>
            <w:vAlign w:val="bottom"/>
          </w:tcPr>
          <w:p>
            <w:pPr>
              <w:spacing w:after="0"/>
              <w:rPr>
                <w:sz w:val="1"/>
                <w:szCs w:val="1"/>
                <w:color w:val="auto"/>
              </w:rPr>
            </w:pPr>
          </w:p>
        </w:tc>
      </w:tr>
      <w:tr>
        <w:trPr>
          <w:trHeight w:val="162"/>
        </w:trPr>
        <w:tc>
          <w:tcPr>
            <w:tcW w:w="8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Held to maturity</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(566,119)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(201,234)</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(10,966)</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(8,801)</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loans and leases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637,624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(988,654)</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decrease in interest-bearing deposits at banks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5,846,922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(7,743,417)</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 net</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(27,910)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(31,016)</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decrease in loan servicing advances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342,947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(374,614)</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(215,201)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(179,350)</w:t>
            </w:r>
          </w:p>
        </w:tc>
        <w:tc>
          <w:tcPr>
            <w:tcW w:w="0" w:type="dxa"/>
            <w:vAlign w:val="bottom"/>
          </w:tcPr>
          <w:p>
            <w:pPr>
              <w:spacing w:after="0"/>
              <w:rPr>
                <w:sz w:val="1"/>
                <w:szCs w:val="1"/>
                <w:color w:val="auto"/>
              </w:rPr>
            </w:pPr>
          </w:p>
        </w:tc>
      </w:tr>
      <w:tr>
        <w:trPr>
          <w:trHeight w:val="20"/>
        </w:trPr>
        <w:tc>
          <w:tcPr>
            <w:tcW w:w="822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cash provided (used) by investing activities</w:t>
            </w: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4,195,580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(8,931,747)</w:t>
            </w:r>
          </w:p>
        </w:tc>
        <w:tc>
          <w:tcPr>
            <w:tcW w:w="0" w:type="dxa"/>
            <w:vAlign w:val="bottom"/>
          </w:tcPr>
          <w:p>
            <w:pPr>
              <w:spacing w:after="0"/>
              <w:rPr>
                <w:sz w:val="1"/>
                <w:szCs w:val="1"/>
                <w:color w:val="auto"/>
              </w:rPr>
            </w:pPr>
          </w:p>
        </w:tc>
      </w:tr>
      <w:tr>
        <w:trPr>
          <w:trHeight w:val="155"/>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(5,224,696)</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8,670,627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(49)</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(852,945)</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 common</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(156,657)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(142,044)</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 preferred</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(30,718)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(21,288)</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(8,608)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(9,569)</w:t>
            </w:r>
          </w:p>
        </w:tc>
        <w:tc>
          <w:tcPr>
            <w:tcW w:w="0" w:type="dxa"/>
            <w:vAlign w:val="bottom"/>
          </w:tcPr>
          <w:p>
            <w:pPr>
              <w:spacing w:after="0"/>
              <w:rPr>
                <w:sz w:val="1"/>
                <w:szCs w:val="1"/>
                <w:color w:val="auto"/>
              </w:rPr>
            </w:pPr>
          </w:p>
        </w:tc>
      </w:tr>
      <w:tr>
        <w:trPr>
          <w:trHeight w:val="20"/>
        </w:trPr>
        <w:tc>
          <w:tcPr>
            <w:tcW w:w="822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cash provided (used) by financing activities</w:t>
            </w: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(5,417,467)</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7,644,256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73,883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(292,754)</w:t>
            </w: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1,337,577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1,552,743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1,411,460</w:t>
            </w:r>
          </w:p>
        </w:tc>
        <w:tc>
          <w:tcPr>
            <w:tcW w:w="22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1,259,989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2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0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978,682</w:t>
            </w:r>
          </w:p>
        </w:tc>
        <w:tc>
          <w:tcPr>
            <w:tcW w:w="2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971,142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40,683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2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16,468</w:t>
            </w:r>
          </w:p>
        </w:tc>
        <w:tc>
          <w:tcPr>
            <w:tcW w:w="2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2022</w:t>
            </w:r>
          </w:p>
        </w:tc>
        <w:tc>
          <w:tcPr>
            <w:tcW w:w="15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14,646,448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(127,578)</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(5,081,548)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$ 17,903,405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362,174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(249,807)</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112,367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(21,765)</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(21,765)</w:t>
            </w: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(23,341)</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61,678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$1.20 per share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(155,856)</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(155,856)</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March 31, 2022</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6,611,659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14,830,671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(377,385)</w:t>
            </w: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 (5,019,870)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$ 17,876,020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2021</w:t>
            </w:r>
          </w:p>
        </w:tc>
        <w:tc>
          <w:tcPr>
            <w:tcW w:w="1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 January 1, 2021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6,617,404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13,444,428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(63,032)</w:t>
            </w: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 (5,142,732)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$ 16,187,283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447,249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(75,446)</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(17,050)</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(17,050)</w:t>
            </w: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(6,254)</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53,639</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cash dividends —</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$1.10 per share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(142,526)</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(142,526)</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Balance — March 31,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6,611,150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13,731,893</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(138,478)</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(5,089,093)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$ 16,446,508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5430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5" w:lineRule="exact"/>
        <w:rPr>
          <w:sz w:val="20"/>
          <w:szCs w:val="20"/>
          <w:color w:val="auto"/>
        </w:rPr>
      </w:pPr>
    </w:p>
    <w:p>
      <w:pPr>
        <w:ind w:left="540" w:hanging="357"/>
        <w:spacing w:after="0"/>
        <w:tabs>
          <w:tab w:leader="none" w:pos="54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For the three-months ended March 31, 2022, dividends per preferred share were: Preferred Series E - $16.125; Preferred Series F - $128.125; Preferred Series G - $125.00; and Preferred Series I -</w:t>
      </w:r>
    </w:p>
    <w:p>
      <w:pPr>
        <w:spacing w:after="0" w:line="15" w:lineRule="exact"/>
        <w:rPr>
          <w:rFonts w:ascii="Times New Roman" w:cs="Times New Roman" w:eastAsia="Times New Roman" w:hAnsi="Times New Roman"/>
          <w:sz w:val="13"/>
          <w:szCs w:val="13"/>
          <w:i w:val="1"/>
          <w:iCs w:val="1"/>
          <w:color w:val="auto"/>
        </w:rPr>
      </w:pPr>
    </w:p>
    <w:p>
      <w:pPr>
        <w:ind w:left="540"/>
        <w:spacing w:after="0"/>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$94.306. Dividends per preferred share for the three-months ended March 31, 2021 were: Preferred Series E - $16.125; Preferred Series F - $128.125; Preferred Series G - $125.00.</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2021 (“2021 Annual Report”). The financial statements contain all adjustments which are, in the opinion of management, necessary for a fair statement of the Company’s financial position, results of operations and cash flows for the interim periods presented.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Acquisition</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On March 4, 2022, M&amp;T received Federal Reserve approval to acquire People’s United Financial, Inc. ("People’s United"), and on April 1, 2022 closed the acquisition. Pursuant to the terms of the merger agreement dated February 22, 2021, People’s United shareholders received consideration valued at .118 of an M&amp;T common share in exchange for each common share of People’s United. Additionally, People’s United outstanding preferred stock was converted into new shares of Series H preferred stock of M&amp;T. The purchase price totaled approximately $8.4 billion (with the price based on M&amp;T’s closing price of $164.66 per share as of April 1, 2022). M&amp;T issued 50,325,004 common shares in completing the transaction.</w:t>
      </w:r>
    </w:p>
    <w:p>
      <w:pPr>
        <w:spacing w:after="0" w:line="75" w:lineRule="exact"/>
        <w:rPr>
          <w:sz w:val="20"/>
          <w:szCs w:val="20"/>
          <w:color w:val="auto"/>
        </w:rPr>
      </w:pPr>
    </w:p>
    <w:p>
      <w:pPr>
        <w:ind w:right="320" w:firstLine="749"/>
        <w:spacing w:after="0" w:line="255" w:lineRule="auto"/>
        <w:rPr>
          <w:sz w:val="20"/>
          <w:szCs w:val="20"/>
          <w:color w:val="auto"/>
        </w:rPr>
      </w:pPr>
      <w:r>
        <w:rPr>
          <w:rFonts w:ascii="Times New Roman" w:cs="Times New Roman" w:eastAsia="Times New Roman" w:hAnsi="Times New Roman"/>
          <w:sz w:val="21"/>
          <w:szCs w:val="21"/>
          <w:color w:val="auto"/>
        </w:rPr>
        <w:t>As of March 31, 2022 People’s United reported total assets of approximately $63.0 billion, including $36.3 billion of loans and $11.6 billion of investment securities, approximately $55.5 billion of liabilities, including $53.0 billion of deposits and approximately $7.5 billion of shareholders’ equity, including $244 million of preferred stock.</w:t>
      </w:r>
    </w:p>
    <w:p>
      <w:pPr>
        <w:spacing w:after="0" w:line="6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In connection with the acquisition, the Company incurred merger-related expenses consisting predominantly of professional services, including legal expenses and technology-related activities to prepare for planned integration efforts that totaled approximately $17 million for the three months ended March 31, 2022. Merger-related expenses of $10 million were incurred in the first quarter of 2021, consisting predominantly of professional services for investment banking, legal and other services.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3. Investment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2,838,987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2,789,717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2,820,570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2,795,177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120,305</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5,783,697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94,800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5,705,199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2,980,528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3,180,626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153,056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3,042,709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1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8,964,323</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247,856</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8,747,908</w:t>
            </w:r>
          </w:p>
        </w:tc>
        <w:tc>
          <w:tcPr>
            <w:tcW w:w="8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78,042</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389,842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389,842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1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471,007</w:t>
            </w:r>
          </w:p>
        </w:tc>
        <w:tc>
          <w:tcPr>
            <w:tcW w:w="8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682,267</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3,042,771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124,309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3,849,347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2,667,328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2,708,173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1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2,734,674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2,771,290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6,584,021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175,048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6,727,094</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and other securities:</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 at cost</w:t>
            </w: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387,742</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461,516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465,382</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20" w:type="dxa"/>
            <w:vAlign w:val="bottom"/>
          </w:tcPr>
          <w:p>
            <w:pPr>
              <w:spacing w:after="0"/>
              <w:rPr>
                <w:sz w:val="24"/>
                <w:szCs w:val="24"/>
                <w:color w:val="auto"/>
              </w:rPr>
            </w:pPr>
          </w:p>
        </w:tc>
        <w:tc>
          <w:tcPr>
            <w:tcW w:w="20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- 9 -</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quarters ended March 31, 2022 and 2021. Unrealized losses on equity securities were $1 million and $12 million during the three months ended March 31, 2022 and 2021, respectively.</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March 31, 2022, the amortized cost and estimated fair value of debt securities by contractual maturity were as follows:</w:t>
      </w: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4"/>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2,895,828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2,846,337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2,963,127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2,910,022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2,820,570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2,795,177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5,783,697</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5,705,199</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3,174,926</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3,037,033</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3,180,626</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3,042,709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A summary of investment securities that as of March 31, 2022 and December 31, 2021 had been in a continuous unrealized loss position for less than twelve months and those that had been in a continuous unrealized loss position for twelve months or longer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12 Months or More</w:t>
            </w:r>
          </w:p>
        </w:tc>
      </w:tr>
      <w:tr>
        <w:trPr>
          <w:trHeight w:val="131"/>
        </w:trPr>
        <w:tc>
          <w:tcPr>
            <w:tcW w:w="5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r>
      <w:tr>
        <w:trPr>
          <w:trHeight w:val="173"/>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55"/>
        </w:trPr>
        <w:tc>
          <w:tcPr>
            <w:tcW w:w="5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2,341,892</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49,970</w:t>
            </w:r>
          </w:p>
        </w:tc>
        <w:tc>
          <w:tcPr>
            <w:tcW w:w="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2,099,805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39,425</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67,888</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4,449,054</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89,464</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87,780</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shd w:val="clear" w:color="auto" w:fill="CFF0FC"/>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2,639,956</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141,419</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2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Pr>
          <w:p>
            <w:pPr>
              <w:spacing w:after="0"/>
              <w:rPr>
                <w:sz w:val="19"/>
                <w:szCs w:val="19"/>
                <w:color w:val="auto"/>
              </w:rPr>
            </w:pPr>
          </w:p>
        </w:tc>
      </w:tr>
      <w:tr>
        <w:trPr>
          <w:trHeight w:val="223"/>
        </w:trPr>
        <w:tc>
          <w:tcPr>
            <w:tcW w:w="5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2,642,970</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141,443</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7,092,024</w:t>
            </w:r>
          </w:p>
        </w:tc>
        <w:tc>
          <w:tcPr>
            <w:tcW w:w="3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230,907</w:t>
            </w:r>
          </w:p>
        </w:tc>
        <w:tc>
          <w:tcPr>
            <w:tcW w:w="3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127,494</w:t>
            </w:r>
          </w:p>
        </w:tc>
        <w:tc>
          <w:tcPr>
            <w:tcW w:w="3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tcBorders>
              <w:bottom w:val="single" w:sz="8" w:color="CFF0FC"/>
            </w:tcBorders>
          </w:tcPr>
          <w:p>
            <w:pPr>
              <w:spacing w:after="0"/>
              <w:rPr>
                <w:sz w:val="22"/>
                <w:szCs w:val="22"/>
                <w:color w:val="auto"/>
              </w:rPr>
            </w:pPr>
          </w:p>
        </w:tc>
      </w:tr>
      <w:tr>
        <w:trPr>
          <w:trHeight w:val="210"/>
        </w:trPr>
        <w:tc>
          <w:tcPr>
            <w:tcW w:w="5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598,566</w:t>
            </w:r>
          </w:p>
        </w:tc>
        <w:tc>
          <w:tcPr>
            <w:tcW w:w="3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2"/>
                <w:szCs w:val="22"/>
                <w:color w:val="auto"/>
              </w:rPr>
            </w:pPr>
          </w:p>
        </w:tc>
      </w:tr>
      <w:tr>
        <w:trPr>
          <w:trHeight w:val="25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6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36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612,437</w:t>
            </w:r>
          </w:p>
        </w:tc>
        <w:tc>
          <w:tcPr>
            <w:tcW w:w="3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3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87,243</w:t>
            </w:r>
          </w:p>
        </w:tc>
        <w:tc>
          <w:tcPr>
            <w:tcW w:w="3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Borders>
              <w:bottom w:val="single" w:sz="8" w:color="CFF0FC"/>
            </w:tcBorders>
          </w:tcPr>
          <w:p>
            <w:pPr>
              <w:spacing w:after="0"/>
              <w:rPr>
                <w:sz w:val="21"/>
                <w:szCs w:val="21"/>
                <w:color w:val="auto"/>
              </w:rPr>
            </w:pPr>
          </w:p>
        </w:tc>
      </w:tr>
      <w:tr>
        <w:trPr>
          <w:trHeight w:val="25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1,372,236</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r>
      <w:tr>
        <w:trPr>
          <w:trHeight w:val="257"/>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Privately issued</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1,375,279</w:t>
            </w:r>
          </w:p>
        </w:tc>
        <w:tc>
          <w:tcPr>
            <w:tcW w:w="3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3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Borders>
              <w:bottom w:val="single" w:sz="8" w:color="CFF0FC"/>
            </w:tcBorders>
          </w:tcPr>
          <w:p>
            <w:pPr>
              <w:spacing w:after="0"/>
              <w:rPr>
                <w:sz w:val="21"/>
                <w:szCs w:val="21"/>
                <w:color w:val="auto"/>
              </w:rPr>
            </w:pPr>
          </w:p>
        </w:tc>
      </w:tr>
      <w:tr>
        <w:trPr>
          <w:trHeight w:val="25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1,987,716</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132,186</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owned 1,217 individual debt securities with aggregate gross unrealized losses of $248 million at March 31, 2022. Based on a review of each of the securities in the investment securities portfolio at March 31, 2022, the Company concluded that it expected to recover the amortized cost basis of its investment. As of March 31, 2022, the Company does not intend to sell nor is it anticipated that it would be required to sell any of its impaired investment securities at a loss. At March 31, 2022, the Company has not identified events or changes in circumstances which may have a significant adverse effect on the fair value of the $390 million of cost method equity securities.</w:t>
      </w:r>
    </w:p>
    <w:p>
      <w:pPr>
        <w:spacing w:after="0" w:line="75"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21"/>
          <w:szCs w:val="21"/>
          <w:color w:val="auto"/>
        </w:rPr>
        <w:t>The Company estimated no material allowance for credit losses for its investment securities classified as held-to-maturity at March 31, 2022 or December 31, 2021, as the substantial majority of such investment securities are obligations backed by the U.S. government or its agencies.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March 31, 2022 and December 31, 2021 follows:</w:t>
      </w:r>
    </w:p>
    <w:p>
      <w:pPr>
        <w:spacing w:after="0" w:line="2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Accruing</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Loans Past</w:t>
      </w:r>
    </w:p>
    <w:tbl>
      <w:tblPr>
        <w:tblLayout w:type="fixed"/>
        <w:tblInd w:w="0" w:type="dxa"/>
        <w:tblCellMar>
          <w:top w:w="0" w:type="dxa"/>
          <w:left w:w="0" w:type="dxa"/>
          <w:bottom w:w="0" w:type="dxa"/>
          <w:right w:w="0" w:type="dxa"/>
        </w:tblCellMar>
      </w:tblPr>
      <w:tr>
        <w:trPr>
          <w:trHeight w:val="145"/>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Due 90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Days or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23,140,917</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70,716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9,238</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275,146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23,496,017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24,237,034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250,362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76,413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1,157,686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25,721,495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1,381,331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2,916</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1,385,087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7,283,522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112,599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50,855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7,446,976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13,126,694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249,731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687,397</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341,671</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14,405,493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1,050,328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123,512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3,407,958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71,489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8,156,368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31,546</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8,221,007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4,688,513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35,350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4,755,570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1,631,907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44,060</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1,689,975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88,104,572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792,838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776,751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2,134,231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91,808,392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23,101,810</w:t>
            </w:r>
          </w:p>
        </w:tc>
        <w:tc>
          <w:tcPr>
            <w:tcW w:w="6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142,208</w:t>
            </w:r>
          </w:p>
        </w:tc>
        <w:tc>
          <w:tcPr>
            <w:tcW w:w="4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221,022</w:t>
            </w:r>
          </w:p>
        </w:tc>
        <w:tc>
          <w:tcPr>
            <w:tcW w:w="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23,473,324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24,712,643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319,099</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1,069,280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26,132,755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7,722,049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111,405</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7,850,629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13,294,872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1,124,520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122,888</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1,264,074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3,476,617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70,488</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7,985,173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4,604,772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34,037</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4,678,873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1,620,147</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1,679,961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89,043,040</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845,930</w:t>
            </w: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963,399</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2,060,083</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92,912,452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At March 31, 2022 and December 31, 2021, the Company had $445 million and $1.2 billion, respectively, of outstanding loan balances, consisting predominantly of residential real estate loans, for which COVID-19 related payment deferrals were granted. Those loans met the criteria described in note 1 of Notes to Financial Statements in the 2021 Annual Report and, accordingly, are not considered past due or otherwise in default of loan terms as of the date presented. Included in those loan balances were $323 million and $974 million of government-guaranteed loans at March 31, 2022 and December 31, 2021, respectively. Payment deferrals are generally scheduled to expire in 2022 and/or are in the process of formal modification of repayment terms for previously deferred payments.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$238 million and $474 million at March 31, 2022 and December 31, 2021, respectively. Commercial real estate loans held for sale were $216 million at March 31, 2022 and $425 million at December 31,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Credit quality indicators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5"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March 31, 2022 to the various classes of the Company’s commercial loans and commercial real estate loans by origination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Loans by Origination Year</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8"/>
                <w:szCs w:val="18"/>
                <w:color w:val="auto"/>
              </w:rPr>
            </w:pPr>
          </w:p>
        </w:tc>
        <w:tc>
          <w:tcPr>
            <w:tcW w:w="7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8"/>
                <w:szCs w:val="18"/>
                <w:color w:val="auto"/>
              </w:rPr>
            </w:pPr>
          </w:p>
        </w:tc>
        <w:tc>
          <w:tcPr>
            <w:tcW w:w="76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2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Commercial, financial, leasing, etc.:</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Loan grades: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1,055,017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4,113,672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1,587,360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1,244,516</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804,066</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1,672,521</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11,620,841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22,119,325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2,158</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160,026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85,975</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112,346</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54,793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239,338</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431,138</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15,772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1,101,546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23,377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16,306</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25,381</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62,888</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108,064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6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commercial,</w:t>
            </w: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financial, leasing,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1,057,405</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4,306,140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1,696,712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1,373,168</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884,240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1,974,747</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12,160,043</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23,496,017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Real estate:</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Commercial: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841,183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2,820,491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2,575,823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3,515,526</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2,680,777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6,945,820</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802,747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20,182,367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303,277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435,302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760,867</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1,020,066</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1,824,893</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37,037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4,381,442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170,600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193,832</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118,467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631,956</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31,496</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1,157,686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6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commercial real</w:t>
            </w: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841,183</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3,135,103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3,181,725</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4,470,225</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3,819,310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9,402,669</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871,280</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25,721,495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Residential builder and developer:</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148,495</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693,998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72,171</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65,188</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48,524</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13,301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203,455</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1,245,132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6,430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109,729</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13,360</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2,909</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Total residential builder</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and developer</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148,495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697,846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78,601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177,826</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61,884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207,064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7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Other commercial construction: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51,528</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1,105,470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1,763,832</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1,898,002</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573,711</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347,883</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30,026</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5,770,452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32,357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77,290</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673,544</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517,987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322,078</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1,625,669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10,634</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3,392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32,254</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6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other commercial</w:t>
            </w: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construction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51,849</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1,137,827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1,841,228</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2,582,180</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1,095,090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702,215</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36,587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7,446,976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right="20" w:firstLine="510"/>
        <w:spacing w:after="0" w:line="250"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March 31, 2022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39"/>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Revolving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 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3"/>
                <w:szCs w:val="13"/>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3"/>
                <w:szCs w:val="13"/>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2018</w:t>
            </w:r>
          </w:p>
        </w:tc>
        <w:tc>
          <w:tcPr>
            <w:tcW w:w="22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Prior</w:t>
            </w: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1,166,092</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2,822,922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1,657,789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992,754</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403,896</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6,044,813</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38,428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13,126,694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5,952</w:t>
            </w: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201,254</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28,249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60,476</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25,426</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545,010</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5,764</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14,866</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307,228</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341,671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residential</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1,169,228</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2,876,128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1,743,887</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1,034,082</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442,361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7,098,305</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41,502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14,405,493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1,050,328</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1,050,328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16,546</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123,512</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Total residential - limited</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1,190,386</w:t>
            </w:r>
          </w:p>
        </w:tc>
        <w:tc>
          <w:tcPr>
            <w:tcW w:w="22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1,190,386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documentation</w:t>
            </w:r>
          </w:p>
        </w:tc>
        <w:tc>
          <w:tcPr>
            <w:tcW w:w="3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36,016</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2,249,108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1,117,492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61,257</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Total home equity lines and loans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2,254,454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1,194,179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Recreational finance: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703,845</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2,719,675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1,938,655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1,175,424</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602,683</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1,016,086</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8,156,368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31,546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recreational finance</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703,933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2,728,040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1,952,572</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1,188,261</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611,776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1,036,425</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8,221,007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567,597</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2,052,558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981,264</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575,505</w:t>
            </w: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289,345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222,244</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4,688,513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5,022</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10,320</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Total automobile</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567,885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2,064,282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992,272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590,528</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301,538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239,065</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56,511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85,462</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61,479</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26,925</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1,158,065</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1,631,907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30-89 days past due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Accruing loans past due 90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days or more</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Nonaccrual</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40,552</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60,236</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224,736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86,034</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36,708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1,198,617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1,689,975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loans and leases at</w:t>
            </w:r>
          </w:p>
        </w:tc>
        <w:tc>
          <w:tcPr>
            <w:tcW w:w="3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9"/>
              </w:rPr>
              <w:t>4,600,284</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17,170,499</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11,573,793</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11,481,256</w:t>
            </w:r>
          </w:p>
        </w:tc>
        <w:tc>
          <w:tcPr>
            <w:tcW w:w="8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7,237,064</w:t>
            </w:r>
          </w:p>
        </w:tc>
        <w:tc>
          <w:tcPr>
            <w:tcW w:w="2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21,736,287</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16,769,547</w:t>
            </w:r>
          </w:p>
        </w:tc>
        <w:tc>
          <w:tcPr>
            <w:tcW w:w="2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1,239,662</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91,808,392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March 31, 2022</w:t>
            </w:r>
          </w:p>
        </w:tc>
        <w:tc>
          <w:tcPr>
            <w:tcW w:w="36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2021 to the various classes of the Company’s commercial loans and commercial real estate loans by origination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Loans by Origination Year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Term</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2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Commercial, financial, leasing, etc.:</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Loan grades:</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4,798,052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1,916,072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1,476,786</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951,881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500,615</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1,398,775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10,993,461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22,054,341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196,680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98,595</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107,010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73,126</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36,232</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185,935</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484,755</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15,628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1,197,961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19,462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23,229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17,114</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39,908</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60,175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8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commercial,</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financial, leasing, etc.</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5,014,194</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2,037,896</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1,600,910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1,064,915</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557,774</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1,618,408</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11,538,391</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40,836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23,473,324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Real estate:</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Commercial: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3,413,587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2,662,999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3,682,178</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2,648,388</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2,076,155</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5,232,790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728,948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20,445,045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133,133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480,146</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685,701</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1,068,552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468,530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1,743,798</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38,570</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4,618,430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133,560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195,084</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83,857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76,628</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520,473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38,091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8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commercial real</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estate</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3,568,307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3,276,705</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4,562,963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3,800,797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2,621,313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7,497,061</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805,609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26,132,755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Residential builder and developer:</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786,983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106,510</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75,287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47,587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12,450</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230,017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1,263,514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2,055</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117,258</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13,637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2,910</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Total residential builder</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4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and developer</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789,038</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111,866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195,455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61,224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12,545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230,908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Other commercial construction: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Loan grades: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Pass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957,947</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1,781,603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2,022,276</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832,547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152,669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273,556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38,781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6,059,379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Criticized accrual</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24,103</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54,191</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675,226</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583,428</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228,739</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114,158</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1,679,845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Criticized nonaccrual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71,613</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12,263</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8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Total other commercial</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construction</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982,050</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1,835,794</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2,769,115</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1,419,278</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393,671</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407,684</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43,037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7,850,629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2021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32"/>
        </w:trPr>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8"/>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Term Loans by Origination Year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8"/>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0"/>
        </w:trPr>
        <w:tc>
          <w:tcPr>
            <w:tcW w:w="25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Residential:</w:t>
            </w: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3,057,118</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1,672,090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1,075,896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466,040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1,037,958</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5,913,461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72,309</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13,294,872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15,245</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33,097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162,666</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10,924</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100,581</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28,512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31,996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205,318</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542,749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920,080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19,858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7,119</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5,890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314,792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355,858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 residential</w:t>
            </w: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3,086,646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1,805,064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1,121,413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508,745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1,282,263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6,933,668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72,572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14,810,371</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Residential - limited documentation:</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1,124,520</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1,124,520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16,666</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16,666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122,888</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122,888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Total residential - limited</w:t>
            </w: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documentation</w:t>
            </w:r>
          </w:p>
        </w:tc>
        <w:tc>
          <w:tcPr>
            <w:tcW w:w="4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1,264,074</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Consumer: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Home equity lines and loans:</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1,944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38,015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2,348,279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1,082,775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3,476,617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14,421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15,486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5,750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4,951</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59,787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70,488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Total home equity lines and loans</w:t>
            </w:r>
          </w:p>
        </w:tc>
        <w:tc>
          <w:tcPr>
            <w:tcW w:w="3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304</w:t>
            </w:r>
          </w:p>
        </w:tc>
        <w:tc>
          <w:tcPr>
            <w:tcW w:w="12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777</w:t>
            </w: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2,793</w:t>
            </w: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1,751</w:t>
            </w: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1,944</w:t>
            </w:r>
          </w:p>
        </w:tc>
        <w:tc>
          <w:tcPr>
            <w:tcW w:w="12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44,463</w:t>
            </w: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2,353,576</w:t>
            </w:r>
          </w:p>
        </w:tc>
        <w:tc>
          <w:tcPr>
            <w:tcW w:w="100" w:type="dxa"/>
            <w:vAlign w:val="bottom"/>
            <w:tcBorders>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1,156,983</w:t>
            </w: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3,562,591</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Recreational finance: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2,890,111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2,088,342</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1,267,929</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646,883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445,868</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646,040</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7,985,173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5,189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7,123</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7,996</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 recreational finance</w:t>
            </w: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2,897,381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2,101,900</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1,281,117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656,875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455,096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661,159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8,053,528</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Automobile:</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2,220,061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1,097,684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662,000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341,655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211,774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71,598</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4,604,772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8,508</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6,615</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8,936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7,161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5,715</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3,129</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40,064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4,390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7,847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7,867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6,882</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5,463</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34,037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Total automobile</w:t>
            </w:r>
          </w:p>
        </w:tc>
        <w:tc>
          <w:tcPr>
            <w:tcW w:w="3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2,230,157</w:t>
            </w:r>
          </w:p>
        </w:tc>
        <w:tc>
          <w:tcPr>
            <w:tcW w:w="12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1,108,689</w:t>
            </w: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678,783</w:t>
            </w: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356,683</w:t>
            </w: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224,371</w:t>
            </w:r>
          </w:p>
        </w:tc>
        <w:tc>
          <w:tcPr>
            <w:tcW w:w="12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80,190</w:t>
            </w: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4,678,873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Current</w:t>
            </w:r>
          </w:p>
        </w:tc>
        <w:tc>
          <w:tcPr>
            <w:tcW w:w="46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244,346</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96,945</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73,586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24,424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16,924</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14,321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1,148,096</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1,620,147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30-89 days past due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Accruing loans past due</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90 days or more</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3,302</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Nonaccrual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 other</w:t>
            </w: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249,334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97,675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74,384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24,872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17,129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23,688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1,190,811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2,068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1,679,961</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Total loans and leases at</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December 31, 2021</w:t>
            </w:r>
          </w:p>
        </w:tc>
        <w:tc>
          <w:tcPr>
            <w:tcW w:w="46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18,817,411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12,376,366</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12,286,933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7,895,140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5,558,871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18,542,940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16,234,904</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1,199,887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92,912,452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346" w:lineRule="exact"/>
        <w:rPr>
          <w:sz w:val="20"/>
          <w:szCs w:val="20"/>
          <w:color w:val="auto"/>
        </w:rPr>
      </w:pPr>
    </w:p>
    <w:p>
      <w:pPr>
        <w:ind w:right="5500"/>
        <w:spacing w:after="0" w:line="308" w:lineRule="auto"/>
        <w:rPr>
          <w:sz w:val="20"/>
          <w:szCs w:val="20"/>
          <w:color w:val="auto"/>
        </w:rPr>
      </w:pPr>
      <w:r>
        <w:rPr>
          <w:rFonts w:ascii="Times New Roman" w:cs="Times New Roman" w:eastAsia="Times New Roman" w:hAnsi="Times New Roman"/>
          <w:sz w:val="21"/>
          <w:szCs w:val="21"/>
          <w:b w:val="1"/>
          <w:bCs w:val="1"/>
          <w:color w:val="auto"/>
        </w:rPr>
        <w:t xml:space="preserve">4. Loans and leases and the allowance for credit losses, continued </w:t>
      </w:r>
      <w:r>
        <w:rPr>
          <w:rFonts w:ascii="Times New Roman" w:cs="Times New Roman" w:eastAsia="Times New Roman" w:hAnsi="Times New Roman"/>
          <w:sz w:val="21"/>
          <w:szCs w:val="21"/>
          <w:b w:val="1"/>
          <w:bCs w:val="1"/>
          <w:i w:val="1"/>
          <w:iCs w:val="1"/>
          <w:color w:val="auto"/>
        </w:rPr>
        <w:t>Allowance for credit losses</w:t>
      </w:r>
    </w:p>
    <w:p>
      <w:pPr>
        <w:spacing w:after="0"/>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 by type.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March 31, 2022 and 2021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980" w:type="dxa"/>
            <w:vAlign w:val="bottom"/>
            <w:gridSpan w:val="4"/>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7"/>
              </w:rPr>
              <w:t>Financial,</w:t>
            </w:r>
          </w:p>
        </w:tc>
        <w:tc>
          <w:tcPr>
            <w:tcW w:w="1980" w:type="dxa"/>
            <w:vAlign w:val="bottom"/>
            <w:tcBorders>
              <w:bottom w:val="single" w:sz="8" w:color="auto"/>
            </w:tcBorders>
            <w:gridSpan w:val="4"/>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4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560" w:type="dxa"/>
            <w:vAlign w:val="bottom"/>
            <w:tcBorders>
              <w:top w:val="single" w:sz="8" w:color="CFF0FC"/>
            </w:tcBorders>
          </w:tcPr>
          <w:p>
            <w:pPr>
              <w:spacing w:after="0"/>
              <w:rPr>
                <w:sz w:val="19"/>
                <w:szCs w:val="19"/>
                <w:color w:val="auto"/>
              </w:rPr>
            </w:pPr>
          </w:p>
        </w:tc>
        <w:tc>
          <w:tcPr>
            <w:tcW w:w="1920" w:type="dxa"/>
            <w:vAlign w:val="bottom"/>
            <w:tcBorders>
              <w:top w:val="single" w:sz="8" w:color="CFF0FC"/>
            </w:tcBorders>
            <w:gridSpan w:val="2"/>
          </w:tcPr>
          <w:p>
            <w:pPr>
              <w:ind w:left="18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283,899</w:t>
            </w:r>
          </w:p>
        </w:tc>
        <w:tc>
          <w:tcPr>
            <w:tcW w:w="32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557,239</w:t>
            </w:r>
          </w:p>
        </w:tc>
        <w:tc>
          <w:tcPr>
            <w:tcW w:w="20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71,726</w:t>
            </w:r>
          </w:p>
        </w:tc>
        <w:tc>
          <w:tcPr>
            <w:tcW w:w="30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556,362</w:t>
            </w:r>
          </w:p>
        </w:tc>
        <w:tc>
          <w:tcPr>
            <w:tcW w:w="18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$ 1,469,226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(30,938)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(19,234)</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(1,800)</w:t>
            </w: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(3,972)</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(26,032)</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(51,038)</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307,055</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72,581</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$ 1,472,359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560" w:type="dxa"/>
            <w:vAlign w:val="bottom"/>
            <w:tcBorders>
              <w:top w:val="single" w:sz="8" w:color="CFF0FC"/>
            </w:tcBorders>
          </w:tcPr>
          <w:p>
            <w:pPr>
              <w:spacing w:after="0"/>
              <w:rPr>
                <w:sz w:val="19"/>
                <w:szCs w:val="19"/>
                <w:color w:val="auto"/>
              </w:rPr>
            </w:pPr>
          </w:p>
        </w:tc>
        <w:tc>
          <w:tcPr>
            <w:tcW w:w="1920" w:type="dxa"/>
            <w:vAlign w:val="bottom"/>
            <w:tcBorders>
              <w:top w:val="single" w:sz="8" w:color="CFF0FC"/>
            </w:tcBorders>
            <w:gridSpan w:val="2"/>
          </w:tcPr>
          <w:p>
            <w:pPr>
              <w:ind w:left="18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405,846</w:t>
            </w:r>
          </w:p>
        </w:tc>
        <w:tc>
          <w:tcPr>
            <w:tcW w:w="32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670,719</w:t>
            </w:r>
          </w:p>
        </w:tc>
        <w:tc>
          <w:tcPr>
            <w:tcW w:w="20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103,590</w:t>
            </w:r>
          </w:p>
        </w:tc>
        <w:tc>
          <w:tcPr>
            <w:tcW w:w="30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556,232</w:t>
            </w:r>
          </w:p>
        </w:tc>
        <w:tc>
          <w:tcPr>
            <w:tcW w:w="18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$ 1,736,387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(72,418)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99,471</w:t>
            </w:r>
          </w:p>
        </w:tc>
        <w:tc>
          <w:tcPr>
            <w:tcW w:w="2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(13,435)</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(38,618)</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Charge-offs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(26,945)</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(60,652)</w:t>
            </w: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(2,399)</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(32,929)</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(122,925)</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328,994</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89,789</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$ 1,636,206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40" w:type="dxa"/>
            <w:vAlign w:val="bottom"/>
            <w:gridSpan w:val="3"/>
          </w:tcPr>
          <w:p>
            <w:pPr>
              <w:jc w:val="right"/>
              <w:ind w:right="591"/>
              <w:spacing w:after="0"/>
              <w:rPr>
                <w:sz w:val="20"/>
                <w:szCs w:val="20"/>
                <w:color w:val="auto"/>
              </w:rPr>
            </w:pPr>
            <w:r>
              <w:rPr>
                <w:rFonts w:ascii="Times New Roman" w:cs="Times New Roman" w:eastAsia="Times New Roman" w:hAnsi="Times New Roman"/>
                <w:sz w:val="18"/>
                <w:szCs w:val="18"/>
                <w:color w:val="auto"/>
              </w:rPr>
              <w:t>- 18 -</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March 31, 2022 and December 31, 2021,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96"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76"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20"/>
          <w:szCs w:val="20"/>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The Company’s reserve for off-balance sheet credit exposures was not material at March 31, 2022 and December 31, 2021.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nonaccrual at the beginning and end of the reporting period and the interest income recognized on such loans for the three-month periods ended March 31, 2022 and 2021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b w:val="1"/>
                <w:bCs w:val="1"/>
                <w:color w:val="auto"/>
              </w:rPr>
              <w:t>Cost with</w:t>
            </w:r>
          </w:p>
        </w:tc>
        <w:tc>
          <w:tcPr>
            <w:tcW w:w="320" w:type="dxa"/>
            <w:vAlign w:val="bottom"/>
          </w:tcPr>
          <w:p>
            <w:pPr>
              <w:spacing w:after="0"/>
              <w:rPr>
                <w:sz w:val="13"/>
                <w:szCs w:val="13"/>
                <w:color w:val="auto"/>
              </w:rPr>
            </w:pPr>
          </w:p>
        </w:tc>
        <w:tc>
          <w:tcPr>
            <w:tcW w:w="1080" w:type="dxa"/>
            <w:vAlign w:val="bottom"/>
            <w:gridSpan w:val="3"/>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Cost without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171,322</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103,824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222,771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934,915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1,157,686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1,069,280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123,512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43,964</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827,842</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1,306,389</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2,134,231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2,060,083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b w:val="1"/>
                <w:bCs w:val="1"/>
                <w:color w:val="auto"/>
              </w:rPr>
              <w:t>Cost with</w:t>
            </w:r>
          </w:p>
        </w:tc>
        <w:tc>
          <w:tcPr>
            <w:tcW w:w="320" w:type="dxa"/>
            <w:vAlign w:val="bottom"/>
          </w:tcPr>
          <w:p>
            <w:pPr>
              <w:spacing w:after="0"/>
              <w:rPr>
                <w:sz w:val="13"/>
                <w:szCs w:val="13"/>
                <w:color w:val="auto"/>
              </w:rPr>
            </w:pPr>
          </w:p>
        </w:tc>
        <w:tc>
          <w:tcPr>
            <w:tcW w:w="1080" w:type="dxa"/>
            <w:vAlign w:val="bottom"/>
            <w:gridSpan w:val="3"/>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Cost without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211,894</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295,069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306,827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487,043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824,079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385,508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Recreational finance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Automobile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37,307</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945,395</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1,011,711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1,957,106</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1,893,299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- 20 -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right="5500" w:firstLine="8"/>
        <w:spacing w:after="0" w:line="349" w:lineRule="auto"/>
        <w:tabs>
          <w:tab w:leader="none" w:pos="207"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Loan modifications</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7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The table that follows summarizes the Company’s loan modification activities that were considered troubled debt restructurings for the three-month periods ended March 31,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2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Types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00" w:type="dxa"/>
            <w:vAlign w:val="bottom"/>
            <w:tcBorders>
              <w:top w:val="single" w:sz="8" w:color="auto"/>
            </w:tcBorders>
            <w:shd w:val="clear" w:color="auto" w:fill="CFF0FC"/>
          </w:tcPr>
          <w:p>
            <w:pPr>
              <w:spacing w:after="0"/>
              <w:rPr>
                <w:sz w:val="5"/>
                <w:szCs w:val="5"/>
                <w:color w:val="auto"/>
              </w:rPr>
            </w:pPr>
          </w:p>
        </w:tc>
        <w:tc>
          <w:tcPr>
            <w:tcW w:w="21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5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129,961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903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80" w:hanging="372"/>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2022 and 2021 and for which there was a subsequent payment default during the three-month periods ended March 31, 2022 and 2021, respectively, were not material.</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amount of foreclosed residential real estate property held by the Company was $24 million at each of March 31, 2022 and December 31, 2021. There were $186 million and $151 million at March 31, 2022 and December 31, 2021, respectively, of loans secured by residential real estate that were in the process of foreclosure. Of all loans in the process of foreclosure at March 31, 2022, approximately 50% were government guaranteed.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M&amp;T had $533 million of fixed and variable rate junior subordinated deferrable interest debentures ("Junior Subordinated Debentures") outstanding at March 31, 2022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65"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76"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w:t>
      </w:r>
    </w:p>
    <w:p>
      <w:pPr>
        <w:spacing w:after="0" w:line="112"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2022 and December 31, 2021, the Company had $67 million and $68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each of March 31, 2022 and December 31, 2021, the Company had deferred revenue of $45 million related to the sources in the accompanying tables recorded in accrued interest and other liabilities in the consolidated balance sheet.</w:t>
      </w:r>
    </w:p>
    <w:p>
      <w:pPr>
        <w:spacing w:after="0" w:line="80"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periods ended March 31, 2022 and 2021 that are subject to the revenue recognition accounting guidance.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3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$ 14,681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169,213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169,213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$ 27,486</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6,816</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65,956</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203,831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347,444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$ 12,497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156,022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156,022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Merchant discount and credit card fees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$ 21,978</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35,660</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61,180</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183,832</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309,185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6"/>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tcPr>
          <w:p>
            <w:pPr>
              <w:jc w:val="right"/>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(37,150)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(35,950)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cost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$31 million and $33 million for the three months ended March 31, 2022 and 2021, respectively, and are included in salaries and employee benefits expense.</w:t>
      </w:r>
    </w:p>
    <w:p>
      <w:pPr>
        <w:spacing w:after="0" w:line="70"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Prior to 2022, net actuarial losses were generally amortized over the average remaining service periods of active participants in the Company’s defined benefit pension plan. If substantially all of the plan’s participants are inactive, GAAP provides for the average remaining life expectancy of the participants to be used instead of average remaining service period in determining such amortization. Substantially all of the participants in the Company’s defined benefit pension plan were inactive and beginning in 2022 the average remaining life expectancy is now utilized prospectively to amortize the net unrecognized losses. The change increased the amortization period by approximately sixteen years and reduced the amount of quarterly amortization of unrecognized losses recorded in 2022 from what would have been recorded without such change in amortization period by $9 million.</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4"/>
                <w:szCs w:val="14"/>
                <w:color w:val="auto"/>
              </w:rPr>
            </w:pPr>
          </w:p>
        </w:tc>
      </w:tr>
      <w:tr>
        <w:trPr>
          <w:trHeight w:val="173"/>
        </w:trPr>
        <w:tc>
          <w:tcPr>
            <w:tcW w:w="4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4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362,174</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447,249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(21,765)</w:t>
            </w: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(17,050)</w:t>
            </w:r>
          </w:p>
        </w:tc>
        <w:tc>
          <w:tcPr>
            <w:tcW w:w="114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2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340,409</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430,199</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11"/>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(2,108)</w:t>
            </w:r>
          </w:p>
        </w:tc>
        <w:tc>
          <w:tcPr>
            <w:tcW w:w="1140" w:type="dxa"/>
            <w:vAlign w:val="bottom"/>
          </w:tcPr>
          <w:p>
            <w:pPr>
              <w:spacing w:after="0"/>
              <w:rPr>
                <w:sz w:val="20"/>
                <w:szCs w:val="20"/>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339,589</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428,091</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1"/>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2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issuable) and unvested stock-based compensation</w:t>
            </w:r>
          </w:p>
        </w:tc>
        <w:tc>
          <w:tcPr>
            <w:tcW w:w="2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2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129,274</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129,414</w:t>
            </w:r>
          </w:p>
        </w:tc>
        <w:tc>
          <w:tcPr>
            <w:tcW w:w="8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114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128,945</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128,537</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4800" w:type="dxa"/>
            <w:vAlign w:val="bottom"/>
          </w:tcPr>
          <w:p>
            <w:pPr>
              <w:spacing w:after="0"/>
              <w:rPr>
                <w:sz w:val="24"/>
                <w:szCs w:val="24"/>
                <w:color w:val="auto"/>
              </w:rPr>
            </w:pPr>
          </w:p>
        </w:tc>
        <w:tc>
          <w:tcPr>
            <w:tcW w:w="29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- 24 -</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8. Earnings per common share,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84"/>
        </w:trPr>
        <w:tc>
          <w:tcPr>
            <w:tcW w:w="7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80" w:type="dxa"/>
            <w:vAlign w:val="bottom"/>
          </w:tcPr>
          <w:p>
            <w:pPr>
              <w:spacing w:after="0"/>
              <w:rPr>
                <w:sz w:val="15"/>
                <w:szCs w:val="15"/>
                <w:color w:val="auto"/>
              </w:rPr>
            </w:pPr>
          </w:p>
        </w:tc>
      </w:tr>
      <w:tr>
        <w:trPr>
          <w:trHeight w:val="43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340,409</w:t>
            </w:r>
          </w:p>
        </w:tc>
        <w:tc>
          <w:tcPr>
            <w:tcW w:w="20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430,199</w:t>
            </w:r>
          </w:p>
        </w:tc>
        <w:tc>
          <w:tcPr>
            <w:tcW w:w="80" w:type="dxa"/>
            <w:vAlign w:val="bottom"/>
          </w:tcPr>
          <w:p>
            <w:pPr>
              <w:spacing w:after="0"/>
              <w:rPr>
                <w:sz w:val="24"/>
                <w:szCs w:val="24"/>
                <w:color w:val="auto"/>
              </w:rPr>
            </w:pPr>
          </w:p>
        </w:tc>
      </w:tr>
      <w:tr>
        <w:trPr>
          <w:trHeight w:val="211"/>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compensation awards</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428,093</w:t>
            </w:r>
          </w:p>
        </w:tc>
        <w:tc>
          <w:tcPr>
            <w:tcW w:w="8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and unvested stock-based compensation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129,414</w:t>
            </w:r>
          </w:p>
        </w:tc>
        <w:tc>
          <w:tcPr>
            <w:tcW w:w="80" w:type="dxa"/>
            <w:vAlign w:val="bottom"/>
          </w:tcPr>
          <w:p>
            <w:pPr>
              <w:spacing w:after="0"/>
              <w:rPr>
                <w:sz w:val="20"/>
                <w:szCs w:val="20"/>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r>
      <w:tr>
        <w:trPr>
          <w:trHeight w:val="211"/>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awards and warrants to</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6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purchase common stock</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FF0FC"/>
            </w:tcBorders>
          </w:tcPr>
          <w:p>
            <w:pPr>
              <w:spacing w:after="0"/>
              <w:rPr>
                <w:sz w:val="20"/>
                <w:szCs w:val="20"/>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128,669</w:t>
            </w:r>
          </w:p>
        </w:tc>
        <w:tc>
          <w:tcPr>
            <w:tcW w:w="8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Stock-based compensation awards to purchase common stock of M&amp;T representing 114,226 and 462,342 common shares during the three-month periods ended March 31, 2022 and 2021, respectively, were not included in the computations of diluted earnings per common share because the effect on those periods would have been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37"/>
        </w:trPr>
        <w:tc>
          <w:tcPr>
            <w:tcW w:w="5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79"/>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680" w:type="dxa"/>
            <w:vAlign w:val="bottom"/>
          </w:tcPr>
          <w:p>
            <w:pPr>
              <w:spacing w:after="0"/>
              <w:rPr>
                <w:sz w:val="14"/>
                <w:szCs w:val="14"/>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gridSpan w:val="3"/>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Tax</w:t>
            </w:r>
          </w:p>
        </w:tc>
        <w:tc>
          <w:tcPr>
            <w:tcW w:w="140" w:type="dxa"/>
            <w:vAlign w:val="bottom"/>
          </w:tcPr>
          <w:p>
            <w:pPr>
              <w:spacing w:after="0"/>
              <w:rPr>
                <w:sz w:val="14"/>
                <w:szCs w:val="14"/>
                <w:color w:val="auto"/>
              </w:rPr>
            </w:pPr>
          </w:p>
        </w:tc>
        <w:tc>
          <w:tcPr>
            <w:tcW w:w="68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72"/>
        </w:trPr>
        <w:tc>
          <w:tcPr>
            <w:tcW w:w="5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2022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(360,276)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(172,054)</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(127,578)</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(184,955)</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(184,955)</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(137,197)</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(2,123)</w:t>
            </w: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(115,724)</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(115,724)</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(85,839)</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(184,955)</w:t>
            </w:r>
          </w:p>
        </w:tc>
        <w:tc>
          <w:tcPr>
            <w:tcW w:w="12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(117,847)</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(302,802)</w:t>
            </w:r>
          </w:p>
        </w:tc>
        <w:tc>
          <w:tcPr>
            <w:tcW w:w="3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78,118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(224,684)</w:t>
            </w:r>
          </w:p>
        </w:tc>
        <w:tc>
          <w:tcPr>
            <w:tcW w:w="0" w:type="dxa"/>
            <w:vAlign w:val="bottom"/>
          </w:tcPr>
          <w:p>
            <w:pPr>
              <w:spacing w:after="0"/>
              <w:rPr>
                <w:sz w:val="1"/>
                <w:szCs w:val="1"/>
                <w:color w:val="auto"/>
              </w:rPr>
            </w:pP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Borders>
              <w:top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2"/>
                <w:szCs w:val="12"/>
                <w:color w:val="auto"/>
              </w:rPr>
            </w:pPr>
          </w:p>
        </w:tc>
        <w:tc>
          <w:tcPr>
            <w:tcW w:w="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9"/>
        </w:trPr>
        <w:tc>
          <w:tcPr>
            <w:tcW w:w="56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100" w:type="dxa"/>
            <w:vAlign w:val="bottom"/>
            <w:shd w:val="clear" w:color="auto" w:fill="CFF0FC"/>
          </w:tcPr>
          <w:p>
            <w:pPr>
              <w:spacing w:after="0"/>
              <w:rPr>
                <w:sz w:val="12"/>
                <w:szCs w:val="12"/>
                <w:color w:val="auto"/>
              </w:rPr>
            </w:pPr>
          </w:p>
        </w:tc>
        <w:tc>
          <w:tcPr>
            <w:tcW w:w="78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(38,019)</w:t>
            </w: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(38,019)</w:t>
            </w:r>
          </w:p>
        </w:tc>
        <w:tc>
          <w:tcPr>
            <w:tcW w:w="3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(28,201)</w:t>
            </w:r>
          </w:p>
        </w:tc>
        <w:tc>
          <w:tcPr>
            <w:tcW w:w="0" w:type="dxa"/>
            <w:vAlign w:val="bottom"/>
          </w:tcPr>
          <w:p>
            <w:pPr>
              <w:spacing w:after="0"/>
              <w:rPr>
                <w:sz w:val="1"/>
                <w:szCs w:val="1"/>
                <w:color w:val="auto"/>
              </w:rPr>
            </w:pPr>
          </w:p>
        </w:tc>
      </w:tr>
      <w:tr>
        <w:trPr>
          <w:trHeight w:val="171"/>
        </w:trPr>
        <w:tc>
          <w:tcPr>
            <w:tcW w:w="5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currently in effect</w:t>
            </w:r>
          </w:p>
        </w:tc>
        <w:tc>
          <w:tcPr>
            <w:tcW w:w="100" w:type="dxa"/>
            <w:vAlign w:val="bottom"/>
            <w:shd w:val="clear" w:color="auto" w:fill="CFF0FC"/>
          </w:tcPr>
          <w:p>
            <w:pPr>
              <w:spacing w:after="0"/>
              <w:rPr>
                <w:sz w:val="14"/>
                <w:szCs w:val="14"/>
                <w:color w:val="auto"/>
              </w:rPr>
            </w:pPr>
          </w:p>
        </w:tc>
        <w:tc>
          <w:tcPr>
            <w:tcW w:w="780" w:type="dxa"/>
            <w:vAlign w:val="bottom"/>
            <w:gridSpan w:val="3"/>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(950)</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(1,386)</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(183,836)</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3,350</w:t>
            </w:r>
          </w:p>
        </w:tc>
        <w:tc>
          <w:tcPr>
            <w:tcW w:w="2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(155,896)</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(336,382)</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86,575</w:t>
            </w: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(249,807)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March 31, 2022</w:t>
            </w: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(79,145</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(356,926)</w:t>
            </w:r>
          </w:p>
        </w:tc>
        <w:tc>
          <w:tcPr>
            <w:tcW w:w="2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(72,365)</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(508,436</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131,051</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(377,385</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2021</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(650,087)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369,558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(85,143)</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22,111</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(63,032)</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(32,025)</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(32,025)</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(23,118)</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(9,498)</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(9,498)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(6,927)</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6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(32,025)</w:t>
            </w: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(8,814)</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(40,839)</w:t>
            </w:r>
          </w:p>
        </w:tc>
        <w:tc>
          <w:tcPr>
            <w:tcW w:w="36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(29,497)</w:t>
            </w:r>
          </w:p>
        </w:tc>
        <w:tc>
          <w:tcPr>
            <w:tcW w:w="0" w:type="dxa"/>
            <w:vAlign w:val="bottom"/>
          </w:tcPr>
          <w:p>
            <w:pPr>
              <w:spacing w:after="0"/>
              <w:rPr>
                <w:sz w:val="1"/>
                <w:szCs w:val="1"/>
                <w:color w:val="auto"/>
              </w:rPr>
            </w:pPr>
          </w:p>
        </w:tc>
      </w:tr>
      <w:tr>
        <w:trPr>
          <w:trHeight w:val="171"/>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10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9"/>
        </w:trPr>
        <w:tc>
          <w:tcPr>
            <w:tcW w:w="56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(82,044)</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(82,044)</w:t>
            </w:r>
          </w:p>
        </w:tc>
        <w:tc>
          <w:tcPr>
            <w:tcW w:w="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(59,829)</w:t>
            </w:r>
          </w:p>
        </w:tc>
        <w:tc>
          <w:tcPr>
            <w:tcW w:w="0" w:type="dxa"/>
            <w:vAlign w:val="bottom"/>
          </w:tcPr>
          <w:p>
            <w:pPr>
              <w:spacing w:after="0"/>
              <w:rPr>
                <w:sz w:val="1"/>
                <w:szCs w:val="1"/>
                <w:color w:val="auto"/>
              </w:rPr>
            </w:pPr>
          </w:p>
        </w:tc>
      </w:tr>
      <w:tr>
        <w:trPr>
          <w:trHeight w:val="171"/>
        </w:trPr>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currently in effect</w:t>
            </w: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(1,050)</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(1,050)</w:t>
            </w: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21,850</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21,850</w:t>
            </w:r>
          </w:p>
        </w:tc>
        <w:tc>
          <w:tcPr>
            <w:tcW w:w="10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(7,995)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(31,038)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20,800</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(90,888)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(101,126)</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25,680</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(75,446)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March 31, 2021</w:t>
            </w: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164,348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(629,287)</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278,670</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(186,269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47,791</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(138,478</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w:t>
      </w:r>
    </w:p>
    <w:p>
      <w:pPr>
        <w:spacing w:after="0" w:line="5" w:lineRule="exact"/>
        <w:rPr>
          <w:rFonts w:ascii="Times New Roman" w:cs="Times New Roman" w:eastAsia="Times New Roman" w:hAnsi="Times New Roman"/>
          <w:sz w:val="14"/>
          <w:szCs w:val="14"/>
          <w:i w:val="1"/>
          <w:iCs w:val="1"/>
          <w:color w:val="auto"/>
        </w:rPr>
      </w:pPr>
    </w:p>
    <w:p>
      <w:pPr>
        <w:ind w:left="500" w:hanging="492"/>
        <w:spacing w:after="0" w:line="221" w:lineRule="auto"/>
        <w:tabs>
          <w:tab w:leader="none" w:pos="50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w:t>
      </w:r>
    </w:p>
    <w:p>
      <w:pPr>
        <w:ind w:left="500" w:hanging="492"/>
        <w:spacing w:after="0" w:line="221" w:lineRule="auto"/>
        <w:tabs>
          <w:tab w:leader="none" w:pos="50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expense.</w:t>
      </w:r>
    </w:p>
    <w:p>
      <w:pPr>
        <w:ind w:left="500" w:hanging="492"/>
        <w:spacing w:after="0"/>
        <w:tabs>
          <w:tab w:leader="none" w:pos="50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9. Comprehensive income,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360" w:type="dxa"/>
            <w:vAlign w:val="bottom"/>
          </w:tcPr>
          <w:p>
            <w:pPr>
              <w:spacing w:after="0"/>
              <w:rPr>
                <w:sz w:val="14"/>
                <w:szCs w:val="14"/>
                <w:color w:val="auto"/>
              </w:rPr>
            </w:pP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2021</w:t>
            </w:r>
          </w:p>
        </w:tc>
        <w:tc>
          <w:tcPr>
            <w:tcW w:w="17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77,625</w:t>
            </w: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(267,145)</w:t>
            </w: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61,942</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(127,578)</w:t>
            </w:r>
          </w:p>
        </w:tc>
      </w:tr>
      <w:tr>
        <w:trPr>
          <w:trHeight w:val="16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Net gain (loss) during period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(136,367)</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(115,709)</w:t>
            </w:r>
          </w:p>
        </w:tc>
        <w:tc>
          <w:tcPr>
            <w:tcW w:w="300" w:type="dxa"/>
            <w:vAlign w:val="bottom"/>
          </w:tcPr>
          <w:p>
            <w:pPr>
              <w:spacing w:after="0"/>
              <w:rPr>
                <w:sz w:val="14"/>
                <w:szCs w:val="14"/>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(249,807)</w:t>
            </w:r>
          </w:p>
        </w:tc>
      </w:tr>
      <w:tr>
        <w:trPr>
          <w:trHeight w:val="156"/>
        </w:trPr>
        <w:tc>
          <w:tcPr>
            <w:tcW w:w="33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March 31, 2022</w:t>
            </w:r>
          </w:p>
        </w:tc>
        <w:tc>
          <w:tcPr>
            <w:tcW w:w="15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(58,742)</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(264,876)</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(53,767)</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w w:val="94"/>
              </w:rPr>
              <w:t>(377,385)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2022.</w:t>
      </w:r>
    </w:p>
    <w:p>
      <w:pPr>
        <w:spacing w:after="0" w:line="76"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The net effect of interest rate swap agreements was to increase net interest income by $47 million and $91 million during the three-month periods ended March 31, 2022 and 2021, respectively.</w:t>
      </w:r>
    </w:p>
    <w:p>
      <w:pPr>
        <w:spacing w:after="0" w:line="5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3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5"/>
                <w:szCs w:val="15"/>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50"/>
        </w:trPr>
        <w:tc>
          <w:tcPr>
            <w:tcW w:w="30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21"/>
                <w:szCs w:val="21"/>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80" w:type="dxa"/>
            <w:vAlign w:val="bottom"/>
          </w:tcPr>
          <w:p>
            <w:pPr>
              <w:spacing w:after="0"/>
              <w:rPr>
                <w:sz w:val="21"/>
                <w:szCs w:val="21"/>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100" w:type="dxa"/>
            <w:vAlign w:val="bottom"/>
          </w:tcPr>
          <w:p>
            <w:pPr>
              <w:spacing w:after="0"/>
              <w:rPr>
                <w:sz w:val="21"/>
                <w:szCs w:val="21"/>
                <w:color w:val="auto"/>
              </w:rPr>
            </w:pPr>
          </w:p>
        </w:tc>
      </w:tr>
      <w:tr>
        <w:trPr>
          <w:trHeight w:val="250"/>
        </w:trPr>
        <w:tc>
          <w:tcPr>
            <w:tcW w:w="30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(b)(c)</w:t>
            </w:r>
          </w:p>
        </w:tc>
        <w:tc>
          <w:tcPr>
            <w:tcW w:w="18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32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FF0FC"/>
          </w:tcPr>
          <w:p>
            <w:pPr>
              <w:spacing w:after="0"/>
              <w:rPr>
                <w:sz w:val="20"/>
                <w:szCs w:val="20"/>
                <w:color w:val="auto"/>
              </w:rPr>
            </w:pPr>
          </w:p>
        </w:tc>
      </w:tr>
      <w:tr>
        <w:trPr>
          <w:trHeight w:val="263"/>
        </w:trPr>
        <w:tc>
          <w:tcPr>
            <w:tcW w:w="3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20,650,000</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bottom w:val="single" w:sz="8" w:color="CFF0FC"/>
            </w:tcBorders>
          </w:tcPr>
          <w:p>
            <w:pPr>
              <w:spacing w:after="0"/>
              <w:rPr>
                <w:sz w:val="22"/>
                <w:szCs w:val="22"/>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payments on variable rate</w:t>
            </w: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(b)(d)</w:t>
            </w:r>
          </w:p>
        </w:tc>
        <w:tc>
          <w:tcPr>
            <w:tcW w:w="1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21,700,000</w:t>
            </w: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23,350,000</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6" w:lineRule="exact"/>
        <w:rPr>
          <w:sz w:val="20"/>
          <w:szCs w:val="20"/>
          <w:color w:val="auto"/>
        </w:rPr>
      </w:pPr>
    </w:p>
    <w:p>
      <w:pPr>
        <w:ind w:left="520" w:right="40" w:hanging="512"/>
        <w:spacing w:after="0" w:line="228" w:lineRule="auto"/>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$782,000 at March 31, 2022 and a net settlement of gains of $43.5 million at December 31, 2021. The impact of such payments on interest rate swap agreements designated as cash flow hedges was a net settlement of losses of $68.7 million at March 31, 2022 and net settlement of gains of $88.2 million at December 31, 2021.</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$5.7 billion of forward-starting interest rate swap agreements that become effective in 2022 - 2023.</w:t>
      </w:r>
    </w:p>
    <w:p>
      <w:pPr>
        <w:spacing w:after="0" w:line="11" w:lineRule="exact"/>
        <w:rPr>
          <w:rFonts w:ascii="Times New Roman" w:cs="Times New Roman" w:eastAsia="Times New Roman" w:hAnsi="Times New Roman"/>
          <w:sz w:val="14"/>
          <w:szCs w:val="14"/>
          <w:i w:val="1"/>
          <w:iCs w:val="1"/>
          <w:color w:val="auto"/>
        </w:rPr>
      </w:pPr>
    </w:p>
    <w:p>
      <w:pPr>
        <w:ind w:left="520" w:hanging="512"/>
        <w:spacing w:after="0" w:line="187" w:lineRule="auto"/>
        <w:tabs>
          <w:tab w:leader="none" w:pos="520" w:val="left"/>
        </w:tabs>
        <w:numPr>
          <w:ilvl w:val="0"/>
          <w:numId w:val="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Includes notional amount and terms of $8.4 billion of forward-starting interest rate swap agreements that become effective in 2022</w:t>
      </w:r>
      <w:r>
        <w:rPr>
          <w:rFonts w:ascii="Times New Roman" w:cs="Times New Roman" w:eastAsia="Times New Roman" w:hAnsi="Times New Roman"/>
          <w:sz w:val="13"/>
          <w:szCs w:val="13"/>
          <w:i w:val="1"/>
          <w:iCs w:val="1"/>
          <w:color w:val="auto"/>
        </w:rPr>
        <w:t>.</w:t>
      </w:r>
    </w:p>
    <w:p>
      <w:pPr>
        <w:spacing w:after="0" w:line="203" w:lineRule="exact"/>
        <w:rPr>
          <w:rFonts w:ascii="Times New Roman" w:cs="Times New Roman" w:eastAsia="Times New Roman" w:hAnsi="Times New Roman"/>
          <w:sz w:val="20"/>
          <w:szCs w:val="20"/>
          <w:i w:val="1"/>
          <w:iCs w:val="1"/>
          <w:color w:val="auto"/>
          <w:vertAlign w:val="superscript"/>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$31.8 billion and $32.6 billion at March 31, 2022 and December 31, 2021, respectively. The notional amounts of foreign currency and other option and futures contracts entered into for trading account purposes aggregated $1.3 billion and $1.1 billion at March 31, 2022 and December 31, 2021, respectively.</w:t>
      </w:r>
    </w:p>
    <w:p>
      <w:pPr>
        <w:spacing w:after="0" w:line="75"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396"/>
              <w:spacing w:after="0" w:line="14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416"/>
              <w:spacing w:after="0" w:line="14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1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 (a)</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w:t>
            </w: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 sale (a)</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to sell real estate loans (a)</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Trading:</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410,056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 (b)</w:t>
            </w:r>
          </w:p>
        </w:tc>
        <w:tc>
          <w:tcPr>
            <w:tcW w:w="8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spacing w:after="0"/>
              <w:rPr>
                <w:sz w:val="19"/>
                <w:szCs w:val="19"/>
                <w:color w:val="auto"/>
              </w:rPr>
            </w:pPr>
          </w:p>
        </w:tc>
        <w:tc>
          <w:tcPr>
            <w:tcW w:w="2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438,151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320,052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derivatives</w:t>
            </w: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193,002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442,453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320,583</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other assets and liability derivatives are reported in other liabilities.</w:t>
      </w:r>
    </w:p>
    <w:p>
      <w:pPr>
        <w:spacing w:after="0" w:line="9" w:lineRule="exact"/>
        <w:rPr>
          <w:rFonts w:ascii="Times New Roman" w:cs="Times New Roman" w:eastAsia="Times New Roman" w:hAnsi="Times New Roman"/>
          <w:sz w:val="15"/>
          <w:szCs w:val="15"/>
          <w:i w:val="1"/>
          <w:iCs w:val="1"/>
          <w:color w:val="auto"/>
        </w:rPr>
      </w:pPr>
    </w:p>
    <w:p>
      <w:pPr>
        <w:jc w:val="both"/>
        <w:ind w:left="500" w:hanging="492"/>
        <w:spacing w:after="0" w:line="234" w:lineRule="auto"/>
        <w:tabs>
          <w:tab w:leader="none" w:pos="5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 derivatives are reported in trading account assets and liability derivatives are reported in other liabilities. The impact of variation margin payments at March 31, 2022 and December 31, 2021 was a reduction of the estimated fair value of interest rate contracts in the trading account in an asset position of $277.6 million and $54.4 million, respectively, and in a liability position of $45.9 million and $305.1 million,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0" w:type="dxa"/>
            <w:vAlign w:val="bottom"/>
            <w:gridSpan w:val="6"/>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360" w:type="dxa"/>
            <w:vAlign w:val="bottom"/>
          </w:tcPr>
          <w:p>
            <w:pPr>
              <w:spacing w:after="0"/>
              <w:rPr>
                <w:sz w:val="23"/>
                <w:szCs w:val="23"/>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(32,658)</w:t>
            </w: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Trading:</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(3,234)</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60" w:type="dxa"/>
            <w:vAlign w:val="bottom"/>
            <w:tcBorders>
              <w:bottom w:val="single" w:sz="8" w:color="CFF0FC"/>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hanging="458"/>
        <w:spacing w:after="0"/>
        <w:tabs>
          <w:tab w:leader="none" w:pos="52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Reported as an adjustment to interest expense.</w:t>
      </w:r>
    </w:p>
    <w:p>
      <w:pPr>
        <w:spacing w:after="0" w:line="43" w:lineRule="exact"/>
        <w:rPr>
          <w:rFonts w:ascii="Times New Roman" w:cs="Times New Roman" w:eastAsia="Times New Roman" w:hAnsi="Times New Roman"/>
          <w:sz w:val="15"/>
          <w:szCs w:val="15"/>
          <w:i w:val="1"/>
          <w:iCs w:val="1"/>
          <w:color w:val="auto"/>
        </w:rPr>
      </w:pPr>
    </w:p>
    <w:p>
      <w:pPr>
        <w:ind w:left="520" w:hanging="458"/>
        <w:spacing w:after="0"/>
        <w:tabs>
          <w:tab w:leader="none" w:pos="52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Reported as trading account and foreign exchange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903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Increasing</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the Carrying Amount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60" w:type="dxa"/>
            <w:vAlign w:val="bottom"/>
            <w:tcBorders>
              <w:bottom w:val="single" w:sz="8" w:color="auto"/>
            </w:tcBorders>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80" w:type="dxa"/>
            <w:vAlign w:val="bottom"/>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center"/>
              <w:ind w:left="28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gridSpan w:val="4"/>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Location in the Consolidated Balance Sheet</w:t>
            </w:r>
          </w:p>
        </w:tc>
        <w:tc>
          <w:tcPr>
            <w:tcW w:w="1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of the Hedged Items in Fair Value Hedges</w:t>
            </w:r>
          </w:p>
        </w:tc>
        <w:tc>
          <w:tcPr>
            <w:tcW w:w="1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0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  1,650,130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1,692,943</w:t>
            </w:r>
          </w:p>
        </w:tc>
        <w:tc>
          <w:tcPr>
            <w:tcW w:w="5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amount of interest income recognized in the consolidated statement of income associated with derivatives designated as cash flow hedges was $38 million and $82 million for the three months ended March 31, 2022 and 2021, respectively. As of March 31, 2022 the unrealized net loss recognized in other comprehensive income related to cash flow hedges was $66 million, of which gains of $5 million and losses of $35 million and $36 million related to interest rate swap agreements maturing in 2022, 2023, and 2025, respectively.</w:t>
      </w:r>
    </w:p>
    <w:p>
      <w:pPr>
        <w:spacing w:after="0" w:line="75"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20"/>
          <w:szCs w:val="20"/>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$13 million and $24 million at March 31, 2022 and December 31, 2021, respectively. Changes in unrealized gains and losses are included in mortgage banking revenues and, in general, are realized in subsequent periods as the related loans are sold and commitments satisfied.</w:t>
      </w:r>
    </w:p>
    <w:p>
      <w:pPr>
        <w:spacing w:after="0" w:line="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70"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20"/>
          <w:szCs w:val="20"/>
          <w:color w:val="auto"/>
        </w:rPr>
        <w:t>The aggregate fair value of derivative financial instruments in a liability position and the net liability positions with counterparties which are subject to master netting arrangements was $1 million and $35 million at March 31, 2022 and December 31, 2021, respectively. The Company was required to post collateral relating to those positions of $1 million and $33 million at March 31, 2022 and December 31, 2021,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2022 was not material.</w:t>
      </w:r>
    </w:p>
    <w:p>
      <w:pPr>
        <w:spacing w:after="0" w:line="67"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and the net asset positions with counterparties which are subject to enforceable master netting arrangements was $83 million at March 31, 2022 and $7 million at December 31, 2021. Counterparties posted collateral relating to those positions of $84 million at March 31, 2022 and $6 million at December 31, 2021. Trading account interest rate swap agreements entered into with customers are subject to the Company’s credit risk standards and often contain collateral provisions.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$133 million and $132 million at March 31, 2022 and December 31, 2021,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51"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2022 and December 31, 2021,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6"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of $3.2 billion at March 31, 2022 and $3.0 billion at December 31, 2021.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$906 million, including $343 million of unfunded commitments, at March 31, 2022 and $933 million, including $361 million of unfunded commitments, at December 31, 2021. Contingent commitments to provide additional capital contributions to these partnerships were not material at March 31, 2022. The Company has not provided financial or other support to the partnerships that was not contractually required. The Company’s maximum exposure to loss from its investments in such partnerships as of March 31, 2022 was $1.2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$20 million and $19 million of its investments in qualified affordable housing projects to income tax expense during the three-month periods ended March 31, 2022 and 2021, respectively, and recognized $23 million and $21 million of tax credits and other tax benefits during those respective periods.</w:t>
      </w:r>
    </w:p>
    <w:p>
      <w:pPr>
        <w:spacing w:after="0" w:line="7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March 31, 2022.</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7"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0"/>
          <w:szCs w:val="20"/>
          <w:color w:val="auto"/>
        </w:rPr>
      </w:pPr>
    </w:p>
    <w:p>
      <w:pPr>
        <w:jc w:val="both"/>
        <w:ind w:left="1000" w:hanging="493"/>
        <w:spacing w:after="0" w:line="255" w:lineRule="auto"/>
        <w:tabs>
          <w:tab w:leader="none" w:pos="10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7" w:lineRule="exact"/>
        <w:rPr>
          <w:rFonts w:ascii="Times New Roman" w:cs="Times New Roman" w:eastAsia="Times New Roman" w:hAnsi="Times New Roman"/>
          <w:sz w:val="20"/>
          <w:szCs w:val="20"/>
          <w:color w:val="auto"/>
        </w:rPr>
      </w:pPr>
    </w:p>
    <w:p>
      <w:pPr>
        <w:jc w:val="both"/>
        <w:ind w:left="1000" w:hanging="493"/>
        <w:spacing w:after="0" w:line="255" w:lineRule="auto"/>
        <w:tabs>
          <w:tab w:leader="none" w:pos="10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 assets and liabilities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 and equity securities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March 31, 2022 and December 31, 2021 measured at estimated fair value on a recurring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197,558</w:t>
            </w:r>
          </w:p>
        </w:tc>
        <w:tc>
          <w:tcPr>
            <w:tcW w:w="5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36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150,903</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2,789,717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2,789,717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2,795,177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2,795,177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5,705,199</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5,705,199</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(a)</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6,480,224</w:t>
            </w:r>
          </w:p>
        </w:tc>
        <w:tc>
          <w:tcPr>
            <w:tcW w:w="3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118,821</w:t>
            </w:r>
          </w:p>
        </w:tc>
        <w:tc>
          <w:tcPr>
            <w:tcW w:w="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6,360,084</w:t>
            </w:r>
          </w:p>
        </w:tc>
        <w:tc>
          <w:tcPr>
            <w:tcW w:w="3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302,506</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302,506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320,583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303,836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Trading account assets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468,031</w:t>
            </w:r>
          </w:p>
        </w:tc>
        <w:tc>
          <w:tcPr>
            <w:tcW w:w="5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36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debt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899,282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899,282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(a)</w:t>
            </w:r>
          </w:p>
        </w:tc>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5,424,924</w:t>
            </w:r>
          </w:p>
        </w:tc>
        <w:tc>
          <w:tcPr>
            <w:tcW w:w="3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118,395</w:t>
            </w:r>
          </w:p>
        </w:tc>
        <w:tc>
          <w:tcPr>
            <w:tcW w:w="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5,294,801</w:t>
            </w:r>
          </w:p>
        </w:tc>
        <w:tc>
          <w:tcPr>
            <w:tcW w:w="3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83,434</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93,843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00" w:right="220" w:hanging="447"/>
        <w:spacing w:after="0" w:line="284" w:lineRule="auto"/>
        <w:tabs>
          <w:tab w:leader="none" w:pos="5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83"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changes in Level 3 assets and liabilities measured at estimated fair value on a recurring basis during the three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31, 2022 and 2021 were as follows:</w:t>
      </w:r>
    </w:p>
    <w:p>
      <w:pPr>
        <w:spacing w:after="0" w:line="20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Investment</w:t>
      </w:r>
    </w:p>
    <w:p>
      <w:pPr>
        <w:jc w:val="center"/>
        <w:ind w:left="900"/>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ind w:left="900"/>
        <w:spacing w:after="0" w:line="232" w:lineRule="auto"/>
        <w:rPr>
          <w:sz w:val="20"/>
          <w:szCs w:val="20"/>
          <w:color w:val="auto"/>
        </w:rPr>
      </w:pPr>
      <w:r>
        <w:rPr>
          <w:rFonts w:ascii="Times New Roman" w:cs="Times New Roman" w:eastAsia="Times New Roman" w:hAnsi="Times New Roman"/>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Privately Issued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 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Backed Securities</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40" w:type="dxa"/>
            <w:vAlign w:val="bottom"/>
            <w:tcBorders>
              <w:top w:val="single" w:sz="8" w:color="auto"/>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center"/>
              <w:ind w:left="513"/>
              <w:spacing w:after="0"/>
              <w:rPr>
                <w:sz w:val="20"/>
                <w:szCs w:val="20"/>
                <w:color w:val="auto"/>
              </w:rPr>
            </w:pPr>
            <w:r>
              <w:rPr>
                <w:rFonts w:ascii="Times New Roman" w:cs="Times New Roman" w:eastAsia="Times New Roman" w:hAnsi="Times New Roman"/>
                <w:sz w:val="18"/>
                <w:szCs w:val="18"/>
                <w:color w:val="auto"/>
                <w:w w:val="99"/>
              </w:rPr>
              <w:t>(18,700) (a)</w:t>
            </w:r>
          </w:p>
        </w:tc>
        <w:tc>
          <w:tcPr>
            <w:tcW w:w="0" w:type="dxa"/>
            <w:vAlign w:val="bottom"/>
          </w:tcPr>
          <w:p>
            <w:pPr>
              <w:spacing w:after="0"/>
              <w:rPr>
                <w:sz w:val="1"/>
                <w:szCs w:val="1"/>
                <w:color w:val="auto"/>
              </w:rPr>
            </w:pPr>
          </w:p>
        </w:tc>
      </w:tr>
      <w:tr>
        <w:trPr>
          <w:trHeight w:val="230"/>
        </w:trPr>
        <w:tc>
          <w:tcPr>
            <w:tcW w:w="43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center"/>
              <w:ind w:left="613"/>
              <w:spacing w:after="0"/>
              <w:rPr>
                <w:sz w:val="20"/>
                <w:szCs w:val="20"/>
                <w:color w:val="auto"/>
              </w:rPr>
            </w:pPr>
            <w:r>
              <w:rPr>
                <w:rFonts w:ascii="Times New Roman" w:cs="Times New Roman" w:eastAsia="Times New Roman" w:hAnsi="Times New Roman"/>
                <w:sz w:val="18"/>
                <w:szCs w:val="18"/>
                <w:color w:val="auto"/>
                <w:w w:val="97"/>
              </w:rPr>
              <w:t>(3,168) (b)</w:t>
            </w: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8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3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380" w:type="dxa"/>
            <w:vAlign w:val="bottom"/>
            <w:gridSpan w:val="4"/>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8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March 31, 2022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w w:val="99"/>
              </w:rPr>
              <w:t>(13,219) (a)</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6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2021</w:t>
            </w:r>
          </w:p>
        </w:tc>
        <w:tc>
          <w:tcPr>
            <w:tcW w:w="10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Included in earnings</w:t>
            </w: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center"/>
              <w:ind w:left="593"/>
              <w:spacing w:after="0"/>
              <w:rPr>
                <w:sz w:val="20"/>
                <w:szCs w:val="20"/>
                <w:color w:val="auto"/>
              </w:rPr>
            </w:pPr>
            <w:r>
              <w:rPr>
                <w:rFonts w:ascii="Times New Roman" w:cs="Times New Roman" w:eastAsia="Times New Roman" w:hAnsi="Times New Roman"/>
                <w:sz w:val="18"/>
                <w:szCs w:val="18"/>
                <w:color w:val="auto"/>
              </w:rPr>
              <w:t>6,025 (a)</w:t>
            </w:r>
          </w:p>
        </w:tc>
        <w:tc>
          <w:tcPr>
            <w:tcW w:w="0" w:type="dxa"/>
            <w:vAlign w:val="bottom"/>
          </w:tcPr>
          <w:p>
            <w:pPr>
              <w:spacing w:after="0"/>
              <w:rPr>
                <w:sz w:val="1"/>
                <w:szCs w:val="1"/>
                <w:color w:val="auto"/>
              </w:rPr>
            </w:pPr>
          </w:p>
        </w:tc>
      </w:tr>
      <w:tr>
        <w:trPr>
          <w:trHeight w:val="230"/>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8"/>
              </w:rPr>
              <w:t>(35,502) (b)</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March 31, 2021</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included in earnings</w:t>
            </w: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80" w:type="dxa"/>
            <w:vAlign w:val="bottom"/>
            <w:gridSpan w:val="4"/>
            <w:vMerge w:val="continue"/>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related to assets still held at March 31, 2021</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center"/>
              <w:ind w:left="593"/>
              <w:spacing w:after="0"/>
              <w:rPr>
                <w:sz w:val="20"/>
                <w:szCs w:val="20"/>
                <w:color w:val="auto"/>
              </w:rPr>
            </w:pPr>
            <w:r>
              <w:rPr>
                <w:rFonts w:ascii="Times New Roman" w:cs="Times New Roman" w:eastAsia="Times New Roman" w:hAnsi="Times New Roman"/>
                <w:sz w:val="18"/>
                <w:szCs w:val="18"/>
                <w:color w:val="auto"/>
              </w:rPr>
              <w:t>5,300 (a)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00" w:hanging="492"/>
        <w:spacing w:after="0" w:line="262" w:lineRule="auto"/>
        <w:tabs>
          <w:tab w:leader="none" w:pos="5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ind w:left="500" w:hanging="492"/>
        <w:spacing w:after="0"/>
        <w:tabs>
          <w:tab w:leader="none" w:pos="5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98" w:lineRule="exact"/>
        <w:rPr>
          <w:sz w:val="20"/>
          <w:szCs w:val="20"/>
          <w:color w:val="auto"/>
        </w:rPr>
      </w:pPr>
    </w:p>
    <w:p>
      <w:pPr>
        <w:ind w:right="180" w:firstLine="468"/>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36% at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March 31, 2022.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March 31, 2022 was 67%. As these recovery rates are not readily observable by market participants, such valuation adjustments have been classified as Level 3. Loans subject to nonrecurring fair value measurement were $392 million at March 31, 2022 ($260 million and $132 million of which were classified as Level 2 and Level 3, respectively), $574 million at December 31, 2021 ($340 million and $234 million of which were classified as Level 2 and Level 3, respectively) and $658 million at March 31, 2021 ($357 million and $301 million of which were classified as Level 2 and Level 3, respectively). Changes in fair value recognized for partial charge-offs of loans and loan impairment reserves on loans held by the Company on March 31, 2022 and 2021 were decreases of $46 million and $66 million for the three-month periods ended March 31, 2022 and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$9 million at March 31, 2021. Changes in fair value recognized for those foreclosed assets held by the Company were not material during the three-month periods ended March 31, 2022 and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$133 million and $138 million at March 31, 2022 and December 31, 2021, respectively, required a valuation allowance of $21 million and $24 million, respectively. Significant unobservable inputs used in this Level 3 valuation included weighted-average prepayment speeds of 12.42% and 14.64% at March 31, 2022 and December 31, 2021, respectively, and a weighted-average option-adjusted spread of 900 basis points at each date. There was a recovery of previously recognized impairment charges for capitalized servicing rights of $9 million during the three months ended March 31, 2021. The $3 million reduction during the three months ended March 31, 2022 reflects increased amortization recognized by the Company during that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208"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21"/>
          <w:szCs w:val="21"/>
          <w:color w:val="auto"/>
        </w:rPr>
        <w:t>The following tables present quantitative information about significant unobservable inputs used in the fair value measurements for certain Level 3 assets and liabilities at March 31, 2022 and December 31,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5"/>
                <w:szCs w:val="15"/>
                <w:color w:val="auto"/>
              </w:rPr>
            </w:pPr>
          </w:p>
        </w:tc>
        <w:tc>
          <w:tcPr>
            <w:tcW w:w="1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Inputs/Assumptions</w:t>
            </w:r>
          </w:p>
        </w:tc>
        <w:tc>
          <w:tcPr>
            <w:tcW w:w="28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0" w:type="dxa"/>
            <w:vAlign w:val="bottom"/>
          </w:tcPr>
          <w:p>
            <w:pPr>
              <w:spacing w:after="0"/>
              <w:rPr>
                <w:sz w:val="1"/>
                <w:szCs w:val="1"/>
                <w:color w:val="auto"/>
              </w:rPr>
            </w:pPr>
          </w:p>
        </w:tc>
      </w:tr>
      <w:tr>
        <w:trPr>
          <w:trHeight w:val="232"/>
        </w:trPr>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w:t>
            </w: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(15,428)</w:t>
            </w:r>
          </w:p>
        </w:tc>
        <w:tc>
          <w:tcPr>
            <w:tcW w:w="2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2020" w:type="dxa"/>
            <w:vAlign w:val="bottom"/>
            <w:shd w:val="clear" w:color="auto" w:fill="CFF0FC"/>
          </w:tcPr>
          <w:p>
            <w:pPr>
              <w:jc w:val="right"/>
              <w:ind w:right="381"/>
              <w:spacing w:after="0"/>
              <w:rPr>
                <w:sz w:val="20"/>
                <w:szCs w:val="20"/>
                <w:color w:val="auto"/>
              </w:rPr>
            </w:pPr>
            <w:r>
              <w:rPr>
                <w:rFonts w:ascii="Times New Roman" w:cs="Times New Roman" w:eastAsia="Times New Roman" w:hAnsi="Times New Roman"/>
                <w:sz w:val="18"/>
                <w:szCs w:val="18"/>
                <w:color w:val="auto"/>
              </w:rPr>
              <w:t>0% - 96% (8%)</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w:t>
            </w: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0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202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0% - 80%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9" w:lineRule="exact"/>
        <w:rPr>
          <w:sz w:val="20"/>
          <w:szCs w:val="20"/>
          <w:color w:val="auto"/>
        </w:rPr>
      </w:pPr>
    </w:p>
    <w:p>
      <w:pPr>
        <w:ind w:left="560" w:hanging="552"/>
        <w:spacing w:after="0"/>
        <w:tabs>
          <w:tab w:leader="none" w:pos="5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195" w:lineRule="exact"/>
        <w:rPr>
          <w:sz w:val="20"/>
          <w:szCs w:val="20"/>
          <w:color w:val="auto"/>
        </w:rPr>
      </w:pPr>
    </w:p>
    <w:p>
      <w:pPr>
        <w:jc w:val="both"/>
        <w:ind w:left="40"/>
        <w:spacing w:after="0" w:line="237"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ind w:right="7040" w:firstLine="8"/>
        <w:spacing w:after="0" w:line="367" w:lineRule="auto"/>
        <w:tabs>
          <w:tab w:leader="none" w:pos="31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continued </w:t>
      </w:r>
      <w:r>
        <w:rPr>
          <w:rFonts w:ascii="Times New Roman" w:cs="Times New Roman" w:eastAsia="Times New Roman" w:hAnsi="Times New Roman"/>
          <w:sz w:val="20"/>
          <w:szCs w:val="20"/>
          <w:b w:val="1"/>
          <w:bCs w:val="1"/>
          <w:i w:val="1"/>
          <w:iCs w:val="1"/>
          <w:color w:val="auto"/>
        </w:rPr>
        <w:t>Disclosures of fair value of financial instruments</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1,411,460</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1,292,609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36,025,382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36,025,382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36,025,382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197,558</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9,356,832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9,218,915</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9,090,244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23,496,017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23,231,047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23,231,047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34,553,558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33,804,132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33,588,368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15,595,879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15,118,857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4,674,686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10,444,171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18,162,938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18,307,086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(1,472,359)</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90,336,033</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90,461,122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4,890,450</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301,864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301,864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301,864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(58,520,366)</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(58,520,366)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(58,520,366)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(65,273,150)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(65,273,150)</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(65,273,150)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(2,525,197)</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(2,526,204)</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(2,526,204)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(50,307)</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(3,443,587)</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(3,464,637)</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(3,464,637)</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(23,316)</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(23,316)</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(302,506)</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(302,506)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(302,506)</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(15,428)</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(15,428)</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(15,428)</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(118,390)</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(118,390)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(118,390)</w:t>
            </w:r>
          </w:p>
        </w:tc>
        <w:tc>
          <w:tcPr>
            <w:tcW w:w="0" w:type="dxa"/>
            <w:vAlign w:val="bottom"/>
          </w:tcPr>
          <w:p>
            <w:pPr>
              <w:spacing w:after="0"/>
              <w:rPr>
                <w:sz w:val="1"/>
                <w:szCs w:val="1"/>
                <w:color w:val="auto"/>
              </w:rPr>
            </w:pPr>
          </w:p>
        </w:tc>
      </w:tr>
      <w:tr>
        <w:trPr>
          <w:trHeight w:val="211"/>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 for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risk management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- 37 -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1,337,577</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1,205,269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132,308</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41,872,304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41,872,304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41,872,304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468,031</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7,155,860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7,192,476</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7,066,293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23,473,324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23,285,224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35,389,730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34,730,191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425,010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16,074,445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16,160,799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4,524,018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17,974,953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18,121,363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18,121,363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(1,469,226)</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91,443,226</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92,297,577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4,949,028</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87,348,549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(60,131,480)</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(60,131,480)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(60,131,480)</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(68,603,966)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(68,603,966)</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(68,603,966)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(2,807,963)</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(2,810,143)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(2,810,143)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(47,046)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(47,046)</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(47,046)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(3,485,369)</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(3,562,223)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(3,562,223)</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(40,866)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(40,866)</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(40,866)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(83,434)</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(83,434)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(83,434)</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(123,032)</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(123,032)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(123,032)</w:t>
            </w:r>
          </w:p>
        </w:tc>
        <w:tc>
          <w:tcPr>
            <w:tcW w:w="0" w:type="dxa"/>
            <w:vAlign w:val="bottom"/>
          </w:tcPr>
          <w:p>
            <w:pPr>
              <w:spacing w:after="0"/>
              <w:rPr>
                <w:sz w:val="1"/>
                <w:szCs w:val="1"/>
                <w:color w:val="auto"/>
              </w:rPr>
            </w:pPr>
          </w:p>
        </w:tc>
      </w:tr>
      <w:tr>
        <w:trPr>
          <w:trHeight w:val="211"/>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agreements used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interest rate risk management</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6"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55"/>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3"/>
          </w:tcPr>
          <w:p>
            <w:pPr>
              <w:jc w:val="right"/>
              <w:ind w:right="75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5,713,950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5,693,045</w:t>
            </w:r>
          </w:p>
        </w:tc>
        <w:tc>
          <w:tcPr>
            <w:tcW w:w="8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321,654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324,943</w:t>
            </w:r>
          </w:p>
        </w:tc>
        <w:tc>
          <w:tcPr>
            <w:tcW w:w="8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4,523,995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4,998,631</w:t>
            </w:r>
          </w:p>
        </w:tc>
        <w:tc>
          <w:tcPr>
            <w:tcW w:w="8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146,491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233,257</w:t>
            </w:r>
          </w:p>
        </w:tc>
        <w:tc>
          <w:tcPr>
            <w:tcW w:w="80" w:type="dxa"/>
            <w:vAlign w:val="bottom"/>
            <w:shd w:val="clear" w:color="auto" w:fill="CFF0FC"/>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1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982,216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924,211</w:t>
            </w:r>
          </w:p>
        </w:tc>
        <w:tc>
          <w:tcPr>
            <w:tcW w:w="8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other</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21,884,664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22,145,057</w:t>
            </w:r>
          </w:p>
        </w:tc>
        <w:tc>
          <w:tcPr>
            <w:tcW w:w="80" w:type="dxa"/>
            <w:vAlign w:val="bottom"/>
            <w:shd w:val="clear" w:color="auto" w:fill="CFF0FC"/>
          </w:tcPr>
          <w:p>
            <w:pPr>
              <w:spacing w:after="0"/>
              <w:rPr>
                <w:sz w:val="19"/>
                <w:szCs w:val="19"/>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2,177,405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2,151,595</w:t>
            </w:r>
          </w:p>
        </w:tc>
        <w:tc>
          <w:tcPr>
            <w:tcW w:w="8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53,732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80" w:type="dxa"/>
            <w:vAlign w:val="bottom"/>
            <w:shd w:val="clear" w:color="auto" w:fill="CFF0FC"/>
          </w:tcPr>
          <w:p>
            <w:pPr>
              <w:spacing w:after="0"/>
              <w:rPr>
                <w:sz w:val="19"/>
                <w:szCs w:val="19"/>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4,453,722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4,211,797</w:t>
            </w:r>
          </w:p>
        </w:tc>
        <w:tc>
          <w:tcPr>
            <w:tcW w:w="80" w:type="dxa"/>
            <w:vAlign w:val="bottom"/>
          </w:tcPr>
          <w:p>
            <w:pPr>
              <w:spacing w:after="0"/>
              <w:rPr>
                <w:sz w:val="19"/>
                <w:szCs w:val="19"/>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862,061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1,367,523</w:t>
            </w:r>
          </w:p>
        </w:tc>
        <w:tc>
          <w:tcPr>
            <w:tcW w:w="80" w:type="dxa"/>
            <w:vAlign w:val="bottom"/>
            <w:shd w:val="clear" w:color="auto" w:fill="CFF0FC"/>
          </w:tcPr>
          <w:p>
            <w:pPr>
              <w:spacing w:after="0"/>
              <w:rPr>
                <w:sz w:val="19"/>
                <w:szCs w:val="19"/>
                <w:color w:val="auto"/>
              </w:rPr>
            </w:pPr>
          </w:p>
        </w:tc>
      </w:tr>
    </w:tbl>
    <w:p>
      <w:pPr>
        <w:spacing w:after="0" w:line="23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$11.0 billion and $10.8 billion at March 31, 2022 and December 31, 2021,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6" w:lineRule="exact"/>
        <w:rPr>
          <w:sz w:val="20"/>
          <w:szCs w:val="20"/>
          <w:color w:val="auto"/>
        </w:rPr>
      </w:pPr>
    </w:p>
    <w:p>
      <w:pPr>
        <w:jc w:val="both"/>
        <w:ind w:right="20" w:firstLine="510"/>
        <w:spacing w:after="0" w:line="247"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$4.0 billion at each of March 31, 2022 and December 31, 2021. There have been no material losses incurred as a result of those credit recourse arrangements.</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51" w:lineRule="exact"/>
        <w:rPr>
          <w:sz w:val="20"/>
          <w:szCs w:val="20"/>
          <w:color w:val="auto"/>
        </w:rPr>
      </w:pPr>
    </w:p>
    <w:p>
      <w:pPr>
        <w:jc w:val="both"/>
        <w:ind w:right="20" w:firstLine="510"/>
        <w:spacing w:after="0" w:line="25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67"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amount of those charges is based on the volume of loans sold, the level of reimbursement requests received from loan purchasers and estimates of losses that may be associated with previously sold loans. At March 31, 2022, the Company believes that its obligation to loan purchasers was not material to the Company’s consolidated financial position.</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March 31,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23 of Notes to Financial Statements in the 2021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14. Segment information, continued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1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68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4"/>
          </w:tcPr>
          <w:p>
            <w:pPr>
              <w:jc w:val="right"/>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00" w:type="dxa"/>
            <w:vAlign w:val="bottom"/>
          </w:tcPr>
          <w:p>
            <w:pPr>
              <w:spacing w:after="0"/>
              <w:rPr>
                <w:sz w:val="15"/>
                <w:szCs w:val="15"/>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9"/>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141,346</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41,111</w:t>
            </w: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155,903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289,372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144,608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285,912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97,610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200,843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64,727</w:t>
            </w:r>
          </w:p>
        </w:tc>
        <w:tc>
          <w:tcPr>
            <w:tcW w:w="1120" w:type="dxa"/>
            <w:vAlign w:val="bottom"/>
            <w:gridSpan w:val="7"/>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(27,805)</w:t>
            </w:r>
          </w:p>
        </w:tc>
        <w:tc>
          <w:tcPr>
            <w:tcW w:w="10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134,544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137,444</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28,964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153,760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355,148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5"/>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346,917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254,937</w:t>
            </w:r>
          </w:p>
        </w:tc>
        <w:tc>
          <w:tcPr>
            <w:tcW w:w="1120" w:type="dxa"/>
            <w:vAlign w:val="bottom"/>
            <w:gridSpan w:val="7"/>
          </w:tcPr>
          <w:p>
            <w:pPr>
              <w:jc w:val="right"/>
              <w:ind w:right="88"/>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(69,668)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209,114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(18,447)</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$ 1,445,061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$ 362,174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1,486,993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447,249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11"/>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Average Total Assets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gridSpan w:val="9"/>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8"/>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Banking</w:t>
            </w: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6,568</w:t>
            </w:r>
          </w:p>
        </w:tc>
        <w:tc>
          <w:tcPr>
            <w:tcW w:w="48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60" w:type="dxa"/>
            <w:vAlign w:val="bottom"/>
          </w:tcPr>
          <w:p>
            <w:pPr>
              <w:spacing w:after="0"/>
              <w:rPr>
                <w:sz w:val="24"/>
                <w:szCs w:val="24"/>
                <w:color w:val="auto"/>
              </w:rPr>
            </w:pPr>
          </w:p>
        </w:tc>
        <w:tc>
          <w:tcPr>
            <w:tcW w:w="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30,395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26,097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23,650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6,250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17,216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35,671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$ 151,648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$ 148,157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152,669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500" w:hanging="492"/>
        <w:spacing w:after="0" w:line="271" w:lineRule="auto"/>
        <w:tabs>
          <w:tab w:leader="none" w:pos="500"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$3,234,000 and $3,733,000 for the three-month periods ended March 31, 2022 and 2021, respectively, and is eliminated in "All Other" total revenues. Intersegment revenues are included in total revenues of the reportable segments. The elimination of intersegment revenues is included in the determination of "All Other" total revenues</w:t>
      </w:r>
      <w:r>
        <w:rPr>
          <w:rFonts w:ascii="Times New Roman" w:cs="Times New Roman" w:eastAsia="Times New Roman" w:hAnsi="Times New Roman"/>
          <w:sz w:val="14"/>
          <w:szCs w:val="14"/>
          <w:i w:val="1"/>
          <w:iCs w:val="1"/>
          <w:color w:val="auto"/>
        </w:rPr>
        <w:t>.</w:t>
      </w:r>
    </w:p>
    <w:p>
      <w:pPr>
        <w:spacing w:after="0" w:line="182" w:lineRule="exact"/>
        <w:rPr>
          <w:rFonts w:ascii="Times New Roman" w:cs="Times New Roman" w:eastAsia="Times New Roman" w:hAnsi="Times New Roman"/>
          <w:sz w:val="16"/>
          <w:szCs w:val="16"/>
          <w:i w:val="1"/>
          <w:iCs w:val="1"/>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Relationship with Bayview Lending Group LLC and Bayview Financial Holdings, L.P.</w:t>
      </w:r>
    </w:p>
    <w:p>
      <w:pPr>
        <w:spacing w:after="0" w:line="112"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21"/>
          <w:szCs w:val="21"/>
          <w:color w:val="auto"/>
        </w:rPr>
        <w:t>M&amp;T holds a 20% minority interest in Bayview Lending Group LLC ("BLG"), a privately-held commercial mortgage company. That investment had no remaining carrying value at March 31, 2022 as a result of cumulative losses recognized and cash distributions received in prior years. Cash distributions now received from BLG are recognized as income by M&amp;T and included in other revenues from operations. That income totaled $30 million for the three-month period ended March 31, 2022. There was no similar cash distribution during the three-month period ended March 31, 2021.</w:t>
      </w:r>
    </w:p>
    <w:p>
      <w:pPr>
        <w:spacing w:after="0" w:line="75" w:lineRule="exact"/>
        <w:rPr>
          <w:sz w:val="20"/>
          <w:szCs w:val="20"/>
          <w:color w:val="auto"/>
        </w:rPr>
      </w:pPr>
    </w:p>
    <w:p>
      <w:pPr>
        <w:jc w:val="both"/>
        <w:ind w:right="100" w:firstLine="510"/>
        <w:spacing w:after="0" w:line="244" w:lineRule="auto"/>
        <w:rPr>
          <w:sz w:val="20"/>
          <w:szCs w:val="20"/>
          <w:color w:val="auto"/>
        </w:rPr>
      </w:pPr>
      <w:r>
        <w:rPr>
          <w:rFonts w:ascii="Times New Roman" w:cs="Times New Roman" w:eastAsia="Times New Roman" w:hAnsi="Times New Roman"/>
          <w:sz w:val="21"/>
          <w:szCs w:val="21"/>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$1.6 billion at each of March 31, 2022 and December 31, 2021. Revenues from those servicing rights were $2 million for each of the three-month periods ended March 31, 2022 and 2021. The Company sub-services residential mortgage loans for Bayview Financial having outstanding principal balances of $76.6 billion and $74.7 billion at March 31, 2022 and December 31, 2021, respectively. Revenues earned for sub-servicing loans for Bayview Financial were $42 million and $34 million for the three-month periods ended March 31, 2022 and 2021, respectively. In addition, the Company held $58 million and $62 million of mortgage-backed securities in its held-to-maturity portfolio at March 31, 2022 and December 31, 2021, respectively, that were securitized by Bayview Financial. At March 31, 2022, the Company held $167 million of Bayview Financial’s $1.1 billion syndicated loan facility.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w:t>
      </w:r>
    </w:p>
    <w:p>
      <w:pPr>
        <w:spacing w:after="0" w:line="11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2022 as well as standards that are not effective that could have an impact to M&amp;T’s consolidated financial statements upon adoption.</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0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40" w:type="dxa"/>
            <w:vAlign w:val="bottom"/>
            <w:tcBorders>
              <w:top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32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4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Standards Adopted in 2022</w:t>
            </w:r>
          </w:p>
        </w:tc>
        <w:tc>
          <w:tcPr>
            <w:tcW w:w="150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Changes to Accounting</w:t>
            </w: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reduce the number of accounting models</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Convertible</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for convertible debt instruments and convertible preferred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instruments affected by the amended guidance and, therefore, the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Instruments and</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The amendments also reduce form-over-substance-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had no impact on its consolidated financial statements.</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Contracts in an</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based guidance for the derivatives scope exception for</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Entity’s Own Equity</w:t>
            </w: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contracts in an entity’s own equity.</w:t>
            </w:r>
          </w:p>
        </w:tc>
        <w:tc>
          <w:tcPr>
            <w:tcW w:w="150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700" w:type="dxa"/>
            <w:vAlign w:val="bottom"/>
            <w:tcBorders>
              <w:left w:val="single" w:sz="8" w:color="auto"/>
              <w:bottom w:val="single" w:sz="8" w:color="auto"/>
              <w:right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Issuer’s Accounting</w:t>
            </w:r>
          </w:p>
        </w:tc>
        <w:tc>
          <w:tcPr>
            <w:tcW w:w="384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amendments clarify and reduce diversity in an issuer’s</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32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Certain</w:t>
            </w:r>
          </w:p>
        </w:tc>
        <w:tc>
          <w:tcPr>
            <w:tcW w:w="384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 for modifications or exchanges of freestanding</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instruments affected by the amended guidance and, therefore, the</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Modifications or</w:t>
            </w:r>
          </w:p>
        </w:tc>
        <w:tc>
          <w:tcPr>
            <w:tcW w:w="384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equity-classified written call options (for example,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adoption had no impact on its consolidated financial 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Exchanges of</w:t>
            </w:r>
          </w:p>
        </w:tc>
        <w:tc>
          <w:tcPr>
            <w:tcW w:w="384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warrants) that remain equity classified after modification or</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Freestanding Equity-</w:t>
            </w:r>
          </w:p>
        </w:tc>
        <w:tc>
          <w:tcPr>
            <w:tcW w:w="384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exchange.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Classified Written Call</w:t>
            </w:r>
          </w:p>
        </w:tc>
        <w:tc>
          <w:tcPr>
            <w:tcW w:w="384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3840" w:type="dxa"/>
            <w:vAlign w:val="bottom"/>
            <w:tcBorders>
              <w:right w:val="single" w:sz="8" w:color="auto"/>
            </w:tcBorders>
            <w:shd w:val="clear" w:color="auto" w:fill="CFF0FC"/>
          </w:tcPr>
          <w:p>
            <w:pPr>
              <w:spacing w:after="0"/>
              <w:rPr>
                <w:sz w:val="16"/>
                <w:szCs w:val="16"/>
                <w:color w:val="auto"/>
              </w:rPr>
            </w:pPr>
          </w:p>
        </w:tc>
        <w:tc>
          <w:tcPr>
            <w:tcW w:w="1500" w:type="dxa"/>
            <w:vAlign w:val="bottom"/>
            <w:tcBorders>
              <w:right w:val="single" w:sz="8" w:color="auto"/>
            </w:tcBorders>
            <w:shd w:val="clear" w:color="auto" w:fill="CFF0FC"/>
          </w:tcPr>
          <w:p>
            <w:pPr>
              <w:spacing w:after="0"/>
              <w:rPr>
                <w:sz w:val="16"/>
                <w:szCs w:val="16"/>
                <w:color w:val="auto"/>
              </w:rPr>
            </w:pPr>
          </w:p>
        </w:tc>
        <w:tc>
          <w:tcPr>
            <w:tcW w:w="432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700" w:type="dxa"/>
            <w:vAlign w:val="bottom"/>
            <w:tcBorders>
              <w:left w:val="single" w:sz="8" w:color="auto"/>
              <w:bottom w:val="single" w:sz="8" w:color="auto"/>
              <w:right w:val="single" w:sz="8" w:color="auto"/>
            </w:tcBorders>
            <w:shd w:val="clear" w:color="auto" w:fill="CFF0FC"/>
          </w:tcPr>
          <w:p>
            <w:pPr>
              <w:spacing w:after="0"/>
              <w:rPr>
                <w:sz w:val="7"/>
                <w:szCs w:val="7"/>
                <w:color w:val="auto"/>
              </w:rPr>
            </w:pPr>
          </w:p>
        </w:tc>
        <w:tc>
          <w:tcPr>
            <w:tcW w:w="3840" w:type="dxa"/>
            <w:vAlign w:val="bottom"/>
            <w:tcBorders>
              <w:bottom w:val="single" w:sz="8" w:color="auto"/>
              <w:right w:val="single" w:sz="8" w:color="auto"/>
            </w:tcBorders>
            <w:shd w:val="clear" w:color="auto" w:fill="CFF0FC"/>
          </w:tcPr>
          <w:p>
            <w:pPr>
              <w:spacing w:after="0"/>
              <w:rPr>
                <w:sz w:val="7"/>
                <w:szCs w:val="7"/>
                <w:color w:val="auto"/>
              </w:rPr>
            </w:pPr>
          </w:p>
        </w:tc>
        <w:tc>
          <w:tcPr>
            <w:tcW w:w="1500" w:type="dxa"/>
            <w:vAlign w:val="bottom"/>
            <w:tcBorders>
              <w:bottom w:val="single" w:sz="8" w:color="auto"/>
              <w:right w:val="single" w:sz="8" w:color="auto"/>
            </w:tcBorders>
            <w:shd w:val="clear" w:color="auto" w:fill="CFF0FC"/>
          </w:tcPr>
          <w:p>
            <w:pPr>
              <w:spacing w:after="0"/>
              <w:rPr>
                <w:sz w:val="7"/>
                <w:szCs w:val="7"/>
                <w:color w:val="auto"/>
              </w:rPr>
            </w:pPr>
          </w:p>
        </w:tc>
        <w:tc>
          <w:tcPr>
            <w:tcW w:w="4320" w:type="dxa"/>
            <w:vAlign w:val="bottom"/>
            <w:tcBorders>
              <w:bottom w:val="single" w:sz="8" w:color="auto"/>
              <w:right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Lessor’s Accounting</w:t>
            </w: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update the classification guidance for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Certain Leases with</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lessors. Under the amended guidance lessors should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2022 using a prospective transition method. The adoption did not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Variable Lease</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classify and account for a lease with variable lease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have a material impact on the Company’s consolidated financial</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that do not depend on a reference index or a rate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as an operating lease if both of the following criteria are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1. The lease would have been classified as a sales-type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lease or a direct financing lease.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2. The lessor would have otherwise recognized a day-one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left w:val="single" w:sz="8" w:color="auto"/>
              <w:right w:val="single" w:sz="8" w:color="auto"/>
            </w:tcBorders>
          </w:tcPr>
          <w:p>
            <w:pPr>
              <w:spacing w:after="0"/>
              <w:rPr>
                <w:sz w:val="16"/>
                <w:szCs w:val="16"/>
                <w:color w:val="auto"/>
              </w:rPr>
            </w:pPr>
          </w:p>
        </w:tc>
        <w:tc>
          <w:tcPr>
            <w:tcW w:w="38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loss.</w:t>
            </w:r>
          </w:p>
        </w:tc>
        <w:tc>
          <w:tcPr>
            <w:tcW w:w="150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0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When a lease is classified as operating, the lessor does not</w:t>
            </w:r>
          </w:p>
        </w:tc>
        <w:tc>
          <w:tcPr>
            <w:tcW w:w="15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recognize a net investment in the lease, does not</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derecognize the underlying asset, and, therefore, does not</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recognize a selling profit or loss.</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Recent accounting developments, continued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6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88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Not Yet Adopted as of March 31, 2022</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Accounting for</w:t>
            </w:r>
          </w:p>
        </w:tc>
        <w:tc>
          <w:tcPr>
            <w:tcW w:w="38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amendments require that an entity (acquirer) recognize</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20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prospectively to business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 Assets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measure contract assets and contract liabilities acquired</w:t>
            </w:r>
          </w:p>
        </w:tc>
        <w:tc>
          <w:tcPr>
            <w:tcW w:w="15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combinations occurring on or after the effective date of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 a business combination in accordance with specified</w:t>
            </w:r>
          </w:p>
        </w:tc>
        <w:tc>
          <w:tcPr>
            <w:tcW w:w="1500" w:type="dxa"/>
            <w:vAlign w:val="bottom"/>
            <w:tcBorders>
              <w:right w:val="single" w:sz="8" w:color="auto"/>
            </w:tcBorders>
            <w:vMerge w:val="continue"/>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amendments. However, if early adoption is elected, the amendments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from Contracts with</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revenue recognition guidance. At the acquisition date, an</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should be applied (1) retrospectively to all business combinations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Customers in a</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acquirer should account for the related revenue contracts as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 which the acquisition date occurs on or after the beginning of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Business Combination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if it had originated the contracts and may assess how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fiscal year that includes the interim period of early application and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acquiree applied the revenue guidance to determine what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(2) prospectively to all business combinations that occur on or after</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record for such contracts. The guidance is generally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date of initial application.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expected to result in an acquirer recognizing and measuring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Company does not expect the guidance will have a material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acquired contract assets and contract liabilities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consistent with how they were recognized and measured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impact on its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acquiree’s financial statements.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Fair Value Hedging of</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The amendments allow multiple hedged layers to be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on a modified retrospective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Multiple Hedge Layers</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designated for a single closed portfolio of financial assets or</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basis by means of a cumulative-effect adjustment to the opening</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under Portfolio Layer</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or more beneficial interests secured by a portfolio of</w:t>
            </w:r>
          </w:p>
        </w:tc>
        <w:tc>
          <w:tcPr>
            <w:tcW w:w="150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balance of retained earnings on the initial application date.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Method</w:t>
            </w: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financial instruments. If multiple hedged layers are</w:t>
            </w:r>
          </w:p>
        </w:tc>
        <w:tc>
          <w:tcPr>
            <w:tcW w:w="15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The Company does not expect the guidance will have a material</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designated, the amendments require an analysis to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performed to support the expectation that the aggregate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impact on its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 of the hedged layers is anticipated to be outstanding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the designated hedge periods. Only closed portfolios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may be hedged under the portfolio layer method (that is, no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assets can be added to the closed portfolio once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established), however designating new hedging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relationships and dedesignating existing hedging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relationships associated with the closed portfolio any time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after the closed portfolio is established is permitted.</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Accounting for</w:t>
            </w:r>
          </w:p>
        </w:tc>
        <w:tc>
          <w:tcPr>
            <w:tcW w:w="3880" w:type="dxa"/>
            <w:vAlign w:val="bottom"/>
            <w:tcBorders>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The amendments (1) eliminate the accounting guidance for</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20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amendments should be applied prospectively, except for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Troubled Debt</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TDRs and require enhanced disclosure for certain loan</w:t>
            </w:r>
          </w:p>
        </w:tc>
        <w:tc>
          <w:tcPr>
            <w:tcW w:w="15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amendments related to the recognition and measurement of TDRs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Restructurings (TDRs)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refinancings by creditors when a borrower is experiencing</w:t>
            </w:r>
          </w:p>
        </w:tc>
        <w:tc>
          <w:tcPr>
            <w:tcW w:w="1500" w:type="dxa"/>
            <w:vAlign w:val="bottom"/>
            <w:tcBorders>
              <w:right w:val="single" w:sz="8" w:color="auto"/>
            </w:tcBorders>
            <w:vMerge w:val="continue"/>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 which an option is permitted to apply a modified retrospective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and Expansion of</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financial difficulty and (2) require disclosure of current-</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transition method.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Vintage Disclosures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period gross write-offs by year of origination for financing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Under the amended guidance the Company will no longer be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Applicable to Credit</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receivables and net investments in leases within credit loss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disclosures.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required to identify TDRs and apply specialized accounting to such</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loans. The Company does not expect the guidance will have a</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 impact on its consolidated financial statements outside of</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spacing w:after="0"/>
              <w:rPr>
                <w:sz w:val="14"/>
                <w:szCs w:val="14"/>
                <w:color w:val="auto"/>
              </w:rPr>
            </w:pP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the modified disclosure requirements.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Net income for M&amp;T Bank Corporation (“M&amp;T”) in the first quarter of 2022 was $362 million, compared with $447 million in the corresponding quarter of 2021 and $458 million in the fourth quarter of 2021. Diluted and basic earnings per common share were $2.62 and $2.63 in the recent quarter, respectively, and each were $3.33 in the first quarter of 2021 and $3.37 in the fourth quarter of 2021. The after-tax impact of merger-related expenses was $13 million ($17 million pre-tax), or $.10 of basic and diluted earnings per common share in the recent quarter, $8 million ($10 million pre-tax) or $.06 of basic and diluted earnings per common share in the first quarter of 2021 and $16 million ($21 million pre-tax) or $.12 of basic and diluted earnings per common share in the fourth quarter of 2021. Such expenses were associated with M&amp;T’s acquisition of People’s United Financial, Inc. (“People’s United”), headquartered in Bridgeport, Connecticut, and consisted predominantly of professional services, including legal expenses and technology-related and other activities to prepare for planned integration efforts associated with the merger.</w:t>
      </w:r>
    </w:p>
    <w:p>
      <w:pPr>
        <w:spacing w:after="0" w:line="7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2022’s first quarter was .97%, compared with 1.22% in the year-earlier quarter and 1.15% in the fourth quarter of 2021. The annualized rate of return on average common shareholders’ equity was 8.55% in the recent quarter, 11.57% in the first quarter of 2021 and 10.91% in the fourth 2021 quarter.</w:t>
      </w:r>
    </w:p>
    <w:p>
      <w:pPr>
        <w:spacing w:after="0" w:line="70"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On March 4, 2022, M&amp;T received Federal Reserve approval to acquire People’s United and on April 1, 2022 closed the acquisition. Pursuant to the terms of the merger agreement, People’s United shareholders received consideration valued at .118 of an M&amp;T common share in exchange for each common share of People’s United. Additionally, People’s United outstanding preferred stock was converted into shares of Series H preferred stock of M&amp;T. The purchase price totaled approximately $8.4 billion (with the price based on M&amp;T’s closing price of $164.66 per share as of April 1, 2022). Excluding the impact of acquisition accounting adjustments, as of March 31, 2022 People’s United reported approximately $63.0 billion of assets, including $36.3 billion of loans and $11.6 billion of investment securities, approximately $55.5 billion of liabilities, including $53.0 billion of deposits, and approximately $7.5 billion of stockholders’ equity, including $244 million of preferred stock. M&amp;T anticipates completing preliminary acquisition accounting adjustments during the second quarter of 2022 and transferring financial records of People’s United to M&amp;T’s core operating systems by the end of the third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Net operating income totaled $376 million in the first quarter of 2022, compared with $457 million in the year-earlier quarter. Diluted net operating earnings per common share in the first quarters of 2022 and 2021 were $2.73 and $3.41, respectively. Net operating income and diluted net operating earnings per common share were $475 million and $3.50, respectively, in the fourth quarter of 2021.</w:t>
      </w:r>
    </w:p>
    <w:p>
      <w:pPr>
        <w:spacing w:after="0" w:line="7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1.04%, compared with 1.29% in the first quarter of 2021 and 1.23% in 2021’s fourth quarter. Net operating income represented an annualized return on average tangible common equity of 12.44% in the first quarter of 2022, 17.05% in the year-earlier quarter and 15.98% in the fourth quarter of 2021.</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Taxable-equivalent net interest income was $907 million in the first quarter of 2022, compared with $985 million in the first quarter of 2021. That decrease reflects the impact of a 32 basis point (hundredths of one percent) narrowing of the net interest margin, or taxable-equivalent net interest income expressed as an annualized percentage of average earnings assets, to 2.65% in the recent quarter from 2.97% in the year-earlier quarter that resulted from lower yields on loans and a $7.2 billion decline in average loans outstanding. The impacts of those factors were mitigated, in part, by higher average balances of deposits at the Federal Reserve Bank of New York and investment securities. Taxable-equivalent net interest income in the recent quarter declined $30 million from the fourth quarter of 2021 reflecting the fewer number of days in the first quarter of 2022 and a $1.1 billion reduction in average loans outstanding. The net interest margin in the recent quarter increased by 7 basis points from 2.58% in the prior quarter.</w:t>
      </w:r>
    </w:p>
    <w:p>
      <w:pPr>
        <w:spacing w:after="0" w:line="8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Average loans and leases totaled $92.2 billion in the first quarter of 2022, down $7.2 billion or 7% from $99.4 billion in the similar quarter of 2021. Commercial loans and leases averaged $23.3 billion in the first quarter of 2022, $4.4 billion or 16% lower than in the year-earlier quarter. That decline was largely the result of decreased average balances of Paycheck Protection Program (“PPP”) loans, reflecting loan repayments by the Small Business Administration. PPP loans averaged $870 million in the first quarter of 2022, compared with $5.7 billion in the first quarter of 2021. Average commercial real estate loans were $35.0 billion in the recent quarter, down $2.7 billion, or 7%, from $37.6 billion in the corresponding quarter of 2021. Included in average commercial real estate loans in the first quarters of 2022 and 2021 were loans held for sale of $234 million and $258 million, respectively. Average residential real estate loans declined $1.5 billion or 9% to $15.9 billion in the first quarter of 2022 from $17.4 billion in the year-earlier quarter. Included in average residential real estate loans were loans held for sale of $410 million in the recent quarter and $663 million in the first quarter of 2021. Consumer loans averaged $18.0 billion in the first quarter of 2022, up $1.4 billion, or 8%, from $16.6 billion in the year-earlier quarter, due to growth in average recreational finance loans (consisting predominantly of loans secured by recreational vehicles and boats) and average automobile loans that was partially offset by declines in balances of home equity loans and lines of credit.</w:t>
      </w:r>
    </w:p>
    <w:p>
      <w:pPr>
        <w:spacing w:after="0" w:line="88"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Average loan and lease balances in the first quarter of 2022 decreased $1.1 billion from $93.3 billion in the fourth quarter of 2021. Commercial loan and lease average balances in the recent quarter increased $976 million from fourth quarter of 2021, despite a reduction in average balances of PPP loans. The average balance of PPP loans included in commercial loans in 2021’s fourth quarter was $1.65 billion. Reflecting customer repayments, average commercial real estate loans in the first quarter of 2022 declined $1.8 billion from $36.7 billion in the fourth quarter of 2021. Commercial real estate loans held for sale averaged $535 million in the fourth quarter of 2021. Average balances of residential real estate loans in the recently completed quarter declined $420 million, or 3%, from $16.3 billion in 2021’s fourth quarter, predominantly reflecting the impact of loan repayments and sales partially offset by the retention of newly originated mortgage loans. Residential real estate loans held for sale averaged $485 million in the fourth quarter of 2021. Average consumer loans in the recent quarter increased $114 million, or 1%, from $17.9 billion in 2021’s fourth quarter, reflecting growth in automobile loans. The accompanying table summarizes quarterly changes in the major components of the loan and lease portfolio.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20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tcBorders>
              <w:top w:val="single" w:sz="8" w:color="auto"/>
            </w:tcBorders>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1st Qtr.</w:t>
            </w:r>
          </w:p>
        </w:tc>
        <w:tc>
          <w:tcPr>
            <w:tcW w:w="740" w:type="dxa"/>
            <w:vAlign w:val="bottom"/>
            <w:tcBorders>
              <w:top w:val="single" w:sz="8" w:color="auto"/>
            </w:tcBorders>
          </w:tcPr>
          <w:p>
            <w:pPr>
              <w:jc w:val="right"/>
              <w:ind w:right="53"/>
              <w:spacing w:after="0" w:line="145" w:lineRule="exact"/>
              <w:rPr>
                <w:sz w:val="20"/>
                <w:szCs w:val="20"/>
                <w:color w:val="auto"/>
              </w:rPr>
            </w:pPr>
            <w:r>
              <w:rPr>
                <w:rFonts w:ascii="Times New Roman" w:cs="Times New Roman" w:eastAsia="Times New Roman" w:hAnsi="Times New Roman"/>
                <w:sz w:val="14"/>
                <w:szCs w:val="14"/>
                <w:b w:val="1"/>
                <w:bCs w:val="1"/>
                <w:color w:val="auto"/>
              </w:rPr>
              <w:t>4th Qtr.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2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Recreational finance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92,159</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investment securities portfolio averaged $7.7 billion in the first quarter of 2022, up $1.1 billion from $6.6 billion in the year-earlier quarter and $920 million higher than the $6.8 billion averaged in the fourth quarter of 2021. The higher average balance in the recent quarter as compared with the first and fourth quarters of 2021 predominantly reflects the purchase of $2.2 billion of U.S. Treasury securities in 2022’s first quarter. The Company also purchased $571 million of fixed rate residential mortgage-backed securities in the first quarter of 2022 compared with $200 million in last year’s first quarter and $510 million in the final quarter of 2021. There were no significant sales of investment securities during three-month periods ended March 31, 2022, March 31, 2021 or December 31, 2021. The Company routinely has increases and decreases in its holdings of capital stock of the Federal Home Loan Bank (“FHLB”) of New York and the Federal Reserve Bank of New York. Those holdings are accounted for at cost and are adjusted based on amounts of outstanding borrowings and available lines of credit with those entities.</w:t>
      </w:r>
    </w:p>
    <w:p>
      <w:pPr>
        <w:spacing w:after="0" w:line="76"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Fair value changes in equity securities with readily determinable fair values are recognized in the consolidated statement of income. Net unrealized losses on such equity securities were $1 million and $12 million in the first quarters of 2022 and 2021, respectively, compared with net unrealized gains of $1 million in the final quarter of 2021. Those gains and losses include changes in the value of the Company’s holdings of Fannie Mae and Freddie Mac preferred stock.</w:t>
      </w:r>
    </w:p>
    <w:p>
      <w:pPr>
        <w:spacing w:after="0" w:line="70"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first quarters of 2022 or 2021 or in the final 2021 quarter. Based on management’s assessment of future cash flows associated with individual investment securities as of March 31, 2022, the Company did not expect to incur any material credit-related losses in its portfolios of debt investment securities. Additional information about the investment securities portfolio is included in notes 3 and 12 of Notes to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6" w:name="page47"/>
    <w:bookmarkEnd w:id="46"/>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Other earning assets include interest-bearing deposits at the Federal Reserve Bank of New York and other banks, trading account assets, federal funds sold and agreements to resell securities. Those other earning assets in the aggregate averaged $38.7 billion in the recently completed quarter, compared with $28.4 billion in the first quarter of 2021 and $44.4 billion in the final quarter of 2021. Interest-bearing deposits at banks averaged $38.7 billion, $27.7 billion and $44.3 billion during the three months ended March 31, 2022, March 31, 2021 and December 31, 2021,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 The higher balances in the two most recent quarters compared with the year-earlier period reflect increased commercial and consumer deposit balances.</w:t>
      </w:r>
    </w:p>
    <w:p>
      <w:pPr>
        <w:spacing w:after="0" w:line="76"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totaled $138.6 billion in the most recent quarter, compared with $134.4 billion and $144.4 billion in the first and fourth quarters of 2021, respectively.</w:t>
      </w:r>
    </w:p>
    <w:p>
      <w:pPr>
        <w:spacing w:after="0" w:line="51"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$124.6 billion in the first quarter of 2022, up 4% from $120.2 billion in the similar 2021 quarter. The increase in average core deposits in the recent quarter as compared with the first quarter of 2021 reflected higher balances of noninterest-bearing deposits which increased $7.3 billion or 14% to $58.1 billion in the recent quarter from $50.9 billion in the first 2021 quarter. That increase reflected higher average deposits of commercial, consumer and trust customers. Average balances of savings and interest-checking core deposits declined 3% to $64.1 billion in the first 2022 quarter from $66.0 billion in the year-earlier quarter. Average core deposits were $130.7 billion in the fourth quarter of 2021. Average savings and interest-checking core deposits decreased $3.1 billion or 5% in the first 2022 quarter from $67.1 billion in the immediately preceding quarter, largely related to commercial customers. Average noninterest-bearing deposits in the recent quarter were $2.9 billion or 5% lower than the $61.0 billion average balance in the fourth quarter of 2021, reflecting a decline in trust demand deposits following lower levels of capital markets activity compared with 2021’s final quarter. The following table provides an analysis of quarterly changes in the components of average core deposits.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22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tcBorders>
              <w:top w:val="single" w:sz="8" w:color="auto"/>
            </w:tcBorders>
            <w:gridSpan w:val="2"/>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1st Qtr.</w:t>
            </w:r>
          </w:p>
        </w:tc>
        <w:tc>
          <w:tcPr>
            <w:tcW w:w="820" w:type="dxa"/>
            <w:vAlign w:val="bottom"/>
            <w:tcBorders>
              <w:top w:val="single" w:sz="8" w:color="auto"/>
            </w:tcBorders>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4th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19"/>
                <w:szCs w:val="19"/>
                <w:color w:val="auto"/>
              </w:rPr>
            </w:pPr>
          </w:p>
        </w:tc>
        <w:tc>
          <w:tcPr>
            <w:tcW w:w="2540" w:type="dxa"/>
            <w:vAlign w:val="bottom"/>
            <w:gridSpan w:val="4"/>
          </w:tcPr>
          <w:p>
            <w:pPr>
              <w:ind w:left="1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124,559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vMerge w:val="continue"/>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The Company also receives funding from other deposit sources, including branch-related time deposits over $250,000, brokered deposits and, prior to June 30, 2021, deposits associated with the Company’s Cayman Islands office. Time deposits over $250,000 averaged $313 million in the recent quarter, compared with $477 million in the first quarter of 2021 and $367 million in the fourth quarter of 2021. Cayman Islands office deposits averaged $683 million during the quarter ended March 31, 2021. In the second quarter of 2021, the Company introduced a new interest-bearing sweep product (included in savings and interest-bearing deposits) that replaced the Eurodollar sweep product previously recorded as Cayman Islands office deposits. As a result, there are no longer deposits maintained at the Cayman Islands office and the office is closed. The Company had brokered savings and interest-bearing transaction accounts, which in the aggregate averaged $3.2 billion during the recent quarter, compared with $4.4 billion in the first quarter of 2021 and $3.4 billion during the fourth quarter of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7" w:name="page48"/>
    <w:bookmarkEnd w:id="47"/>
    <w:p>
      <w:pPr>
        <w:ind w:right="340" w:firstLine="464"/>
        <w:spacing w:after="0" w:line="270" w:lineRule="auto"/>
        <w:rPr>
          <w:sz w:val="20"/>
          <w:szCs w:val="20"/>
          <w:color w:val="auto"/>
        </w:rPr>
      </w:pPr>
      <w:r>
        <w:rPr>
          <w:rFonts w:ascii="Times New Roman" w:cs="Times New Roman" w:eastAsia="Times New Roman" w:hAnsi="Times New Roman"/>
          <w:sz w:val="21"/>
          <w:szCs w:val="21"/>
          <w:color w:val="auto"/>
        </w:rPr>
        <w:t>The table below summarizes average total deposits for the quarters ended March 31, 2022, December 31, 2021 and March 31, 2021.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Trust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2"/>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3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$56 million in the first quarter of 2022, compared with $62 million in the year-earlier quarter and $58 million in the fourth quarter of 2021.</w:t>
      </w:r>
    </w:p>
    <w:p>
      <w:pPr>
        <w:spacing w:after="0" w:line="70"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20"/>
          <w:szCs w:val="20"/>
          <w:color w:val="auto"/>
        </w:rPr>
        <w:t>Long-term borrowings averaged $3.4 billion in the recent quarter and the final quarter of 2021, compared with $3.9 billion in the first quarter of 2021. Average balances of the Company’s outstanding senior notes were $2.4 billion during the three months ended March 31, 2022 and December 31, 2021 and $2.5 billion in the year-earlier quarter. In January 2021, $350 million of variable rate senior notes of M&amp;T Bank matured. Subordinated capital notes included in long-term borrowings averaged $500 million in the three-month periods ended March 31, 2022 and December 31, 2021 compared with $828 million in the three-month period ended March 31, 2021. On March 1, 2021, M&amp;T Bank redeemed $500 million of subordinated capital notes that were due to mature on December 1,</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2021. Junior subordinated debentures associated with trust preferred securities that were included in average long-term borrowings were $532 million, $529 million and $531 million during the first quarters of 2022 and 2021 and the final quarter of 2021, respectively. Additional information regarding junior subordinated debentures is provided in note 5 of Notes to Financial Statements.</w:t>
      </w:r>
    </w:p>
    <w:p>
      <w:pPr>
        <w:spacing w:after="0" w:line="8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Company has utilized interest rate swap agreements to modify the repricing characteristics of certain components of its loans and long-term debt. As of March 31, 2022, interest rate swap agreements were used as fair value hedges of approximately $1.65 billion of outstanding fixed rate long-term borrowings. Additionally, interest rate swap agreements with a notional amount of $13.35 billion were used as cash flow hedges of interest payments associated with variable rate commercial real estate loans. Further information on interest rate swap agreements is provided herein and in note 10 of Notes to Financial Statements.</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Changes in the composition of the Company’s earning assets and interest-bearing liabilities, as discussed herein, as well as changes in interest rates and spreads, can impact net interest income. Net interest spread, or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1"/>
          <w:szCs w:val="21"/>
          <w:color w:val="auto"/>
        </w:rPr>
        <w:t>difference between the taxable-equivalent yield on earning assets and the rate paid on interest-bearing liabilities, was 2.59% in the recent quarter, compared with 2.90% in the initial quarter of 2021. The yield on earning assets during the first three months of 2022 was 2.72%, down 36 basis points from 3.08% in the similar 2021 period, while the rate paid on interest-bearing liabilities declined 5 basis points to .13% in the recent quarter from .18% in the year-earlier period. In the fourth quarter of 2021, the net interest spread was 2.52%, the yield on earning assets was 2.64% and the rate paid on interest-bearing liabilities was .12%. The narrowing of the net interest spread in the two most recent quarters as compared with the initial quarter of 2021 reflects the impact of a higher proportion of low-yielding balances at the Federal Reserve Bank of New York to total average earning assets and lower yields on loans resulting from the low interest rate environment.</w:t>
      </w:r>
    </w:p>
    <w:p>
      <w:pPr>
        <w:spacing w:after="0" w:line="80"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$65.2 billion in the first quarter of 2022, compared with $55.6 billion in the year-earlier quarter and $67.5 billion in the fourth quarter of 2021. The increase in average net interest-free funds in the two most recent quarters as compared with the initial 2021 quarter reflects higher average balances of noninterest-bearing deposits and shareholders’ equity. Shareholders’ equity averaged $17.9 billion during the three-month period ended March 31, 2022, $16.3 billion during the year-earlier period and $17.6 billion during the three-month period ended December 31, 2021. Goodwill and core deposit and other intangible assets averaged $4.6 billion in each of the quarters noted herein. The cash surrender value of bank owned life insurance averaged $1.87 billion in the three-month periods ended March 31, 2022 and December 31, 2021 compared with $1.85 billion in three-month period ended March 31, 2021. Increases in the cash surrender value of bank owned life insurance and benefits received are not included in interest income, but rather are recorded in “other revenues from operations.” The contribution of net interest-free funds to net interest margin was .06% in the first quarter of 2022 and the fourth quarter of 2021, compared with .07% in the first quarter of 2021.</w:t>
      </w:r>
    </w:p>
    <w:p>
      <w:pPr>
        <w:spacing w:after="0" w:line="78"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20"/>
          <w:szCs w:val="20"/>
          <w:color w:val="auto"/>
        </w:rPr>
        <w:t>Reflecting the changes to the net interest spread and the contribution of net interest-free funds as described herein, the Company’s net interest margin was 2.65% in the first quarter of 2022, compared with 2.97% in the year-earlier period and 2.58% in the fourth quarter of 2021. Future changes in market interest rates or spreads, as well as changes in the composition of the Company’s portfolios of earning assets and interest-bearing liabilities that result in changes to spreads, could impact the Company’s net interest income and net interest margin. On March 16, 2022 the Federal Open Market Committee announced a 25 basis point increase in short-term interest rates. That action did not have a material impact on the Company’s net interest margin during the recent quarter.</w:t>
      </w:r>
    </w:p>
    <w:p>
      <w:pPr>
        <w:spacing w:after="0" w:line="60"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20"/>
          <w:szCs w:val="20"/>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$15.0 billion (excluding $5.7 billion of forward-starting swap agreements) at March 31, 2022, $19.0 billion (excluding $18.7 billion of forward-starting swap agreements) at March 31, 2021 and $15.0 billion (excluding $8.4 billion of forward-starting swap agreements) at December 31, 2021. Under the terms of those interest rate swap agreements, the Company received payments based on the outstanding notional amount at fixed rates and made payments at variable rates. At each of March 31, 2022 and December 31, 2021 interest rate swap agreements with notional amounts of $13.35 billion were serving as cash flow hedges of interest payments associated with variable rate commercial real estate loans, compared with $17.35 billion at March 31, 2021. Interest rate swap agreements with notional amounts of $1.65 billion at each of March 31, 2022, March 31, 2021 and December 31, 2021 were serving as fair value hedges 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9" w:name="page50"/>
    <w:bookmarkEnd w:id="49"/>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March 31, 2022, March 31, 2021 and December 31, 2021 were not material to the Company’s consolidated results of operations. Information regarding the fair value of interest rate swap agreements and hedge ineffectiveness is presented in note 10 of Notes to Financial Statements. Information regarding the valuation of cash flow hedges included in other comprehensive income is presented in note 9 of Notes to Financial Statements. The changes in the fair values of the interest rate swap agreements and the hedged items primarily result from the effects of changing interest rates and spreads.</w:t>
      </w:r>
    </w:p>
    <w:p>
      <w:pPr>
        <w:spacing w:after="0" w:line="8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7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38,019</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82,044</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(8,488)</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(8,647)</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1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46,507</w:t>
            </w:r>
          </w:p>
        </w:tc>
        <w:tc>
          <w:tcPr>
            <w:tcW w:w="4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90,691</w:t>
            </w:r>
          </w:p>
        </w:tc>
        <w:tc>
          <w:tcPr>
            <w:tcW w:w="4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notional amount (c)</w:t>
            </w: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14,972,222</w:t>
            </w:r>
          </w:p>
        </w:tc>
        <w:tc>
          <w:tcPr>
            <w:tcW w:w="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18,822,222</w:t>
            </w:r>
          </w:p>
        </w:tc>
        <w:tc>
          <w:tcPr>
            <w:tcW w:w="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Rate received (b)</w:t>
            </w: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paid (b)</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543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4"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forward-starting interest rate swap agreements not in effect during the period.</w:t>
      </w:r>
    </w:p>
    <w:p>
      <w:pPr>
        <w:spacing w:after="0" w:line="98"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70"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0" w:name="page51"/>
    <w:bookmarkEnd w:id="50"/>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securities to provide liquidity and enhance regulatory capital ratios. The Company’s junior subordinated debentures associated with trust preferred securities and other subordinated capital notes are considered Tier 2 capital and are includable in total regulatory capital. At March 31, 2022 and December 31, 2021, long-term borrowings aggregated $3.4 billion and $3.5 billion, respectively.</w:t>
      </w:r>
    </w:p>
    <w:p>
      <w:pPr>
        <w:spacing w:after="0" w:line="67"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Cayman Islands office deposits had been used by some customers of the Company as an alternative to other deposit and investment products. Cayman Islands office deposits totaled $642 million at March 31, 2021. During the second quarter of 2021, the Company introduced a new interest-bearing sweep product (included in savings and interest-checking deposits) that replaced the Eurodollar sweep product previously recorded as Cayman Islands office deposits. As a result, the Cayman Islands office has been closed. The Company has also benefited from the placement of brokered deposits. The Company had brokered savings and interest-checking deposit accounts which aggregated approximately $3.2 billion at each of March 31, 2022 and December 31, 2021, and $4.4 billion at March 31, 2021. Brokered time deposits were not a significant source of funding as of those dates.</w:t>
      </w:r>
    </w:p>
    <w:p>
      <w:pPr>
        <w:spacing w:after="0" w:line="76"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76"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March 31, 2022 or December 31, 2021. The total amounts of VRDBs outstanding backed by M&amp;T Bank letters of credit were $681 million at March 31, 2022, $662 million at December 31, 2021 and $725 million at March 31, 2021. M&amp;T Bank also serves as remarketing agent for most of those bonds.</w:t>
      </w:r>
    </w:p>
    <w:p>
      <w:pPr>
        <w:spacing w:after="0" w:line="80"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5"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20"/>
          <w:szCs w:val="20"/>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2022 approximately $1.5 billion was available for payment of dividends to M&amp;T from bank subsidiaries. M&amp;T also may obtain funding through long-term borrowings. Outstanding senior notes of M&amp;T at March 31, 2022 and December 31, 2021 were $754 million and $766 million, respectively. Junior subordinated debentures of M&amp;T associated with trust preferred securities outstanding at March 31, 2022 and December 31, 2021 totaled $533 million and $532 million, respectively.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1" w:name="page52"/>
    <w:bookmarkEnd w:id="51"/>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March 31, 2022, the aggregate notional amount of interest rate swap agreements entered into for interest rate risk management purposes that were currently in effect was $15.0 billion. In addition, the Company has entered into $5.65 billion of forward-starting interest rate swap agreements.</w:t>
      </w:r>
    </w:p>
    <w:p>
      <w:pPr>
        <w:spacing w:after="0" w:line="85"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2" w:name="page53"/>
    <w:bookmarkEnd w:id="52"/>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accompanying table as of March 31, 2022 and December 31, 2021 displays the estimated impact on net interest income in the base scenario described above resulting from parallel changes in interest rates across repricing categories during the first modeling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CHANGES IN INTEREST RATES</w:t>
      </w:r>
    </w:p>
    <w:tbl>
      <w:tblPr>
        <w:tblLayout w:type="fixed"/>
        <w:tblInd w:w="0" w:type="dxa"/>
        <w:tblCellMar>
          <w:top w:w="0" w:type="dxa"/>
          <w:left w:w="0" w:type="dxa"/>
          <w:bottom w:w="0" w:type="dxa"/>
          <w:right w:w="0" w:type="dxa"/>
        </w:tblCellMar>
      </w:tblPr>
      <w:tr>
        <w:trPr>
          <w:trHeight w:val="134"/>
        </w:trPr>
        <w:tc>
          <w:tcPr>
            <w:tcW w:w="15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Calculated Increase (Decrease)</w:t>
            </w:r>
          </w:p>
        </w:tc>
      </w:tr>
      <w:tr>
        <w:trPr>
          <w:trHeight w:val="173"/>
        </w:trPr>
        <w:tc>
          <w:tcPr>
            <w:tcW w:w="15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80" w:type="dxa"/>
            <w:vAlign w:val="bottom"/>
          </w:tcPr>
          <w:p>
            <w:pPr>
              <w:spacing w:after="0"/>
              <w:rPr>
                <w:sz w:val="15"/>
                <w:szCs w:val="15"/>
                <w:color w:val="auto"/>
              </w:rPr>
            </w:pPr>
          </w:p>
        </w:tc>
      </w:tr>
      <w:tr>
        <w:trPr>
          <w:trHeight w:val="217"/>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180" w:type="dxa"/>
            <w:vAlign w:val="bottom"/>
          </w:tcPr>
          <w:p>
            <w:pPr>
              <w:spacing w:after="0"/>
              <w:rPr>
                <w:sz w:val="18"/>
                <w:szCs w:val="18"/>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0"/>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269"/>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421,166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533,317</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8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240,681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297,573</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(302,920)</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(204,760)</w:t>
            </w:r>
          </w:p>
        </w:tc>
      </w:tr>
    </w:tbl>
    <w:p>
      <w:pPr>
        <w:spacing w:after="0" w:line="89"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Changes in amounts presented since December 31, 2021 reflect changes in portfolio composition, the level of market-implied forward interest rates and additional hedging actions taken by the Company.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78"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A significant amount of the Company’s interest-earning assets, interest-bearing liabilities, preferred equity instruments and interest rate swap agreements have contractual repricing terms that reference the London Interbank Offered Rate (“LIBOR”). Various regulatory bodies have encouraged banks to transition away from LIBOR as soon as practicable, generally cease entering new contracts that use LIBOR as a reference rate no later than December 31, 2021, and for new contracts entered into before December 31, 2021 to utilize a reference rate other than LIBOR or include robust language that includes a clearly defined alternative reference rate after LIBOR’s discontinuation. Publication of certain tenors of LIBOR has already ceased and complete cessation of LIBOR publication is expected by June 30, 2023. Effective December 31, 2021, the Company essentially discontinued entering into new LIBOR-based contracts.</w:t>
      </w:r>
    </w:p>
    <w:p>
      <w:pPr>
        <w:spacing w:after="0" w:line="80"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At March 31, 2022 the Company had LIBOR-based commercial loans and leases and commercial real estate loans of $34.2 billion and residential mortgage and consumer loans of $1.7 billion outstanding compared with $37.7 billion and $1.9 billion, respectively, at December 31, 2021. As of March 31, 2022, approximately 59% of such loans either mature before June 30, 2023 or have been amended to include appropriate alternative language to be effective upon cessation of LIBOR publication. Approximately $979 million of borrowings and $850 million of preferred equity instruments reference LIBOR at each of March 31, 2022 and December 31, 2021. The Company’s interest rate swap agreements primarily reference LIBOR. In October 2020, the International Swaps and Derivatives Association, Inc. published the IBOR Fallbacks Supplement (“Supplement”) and the IBOR Fallback Protocol (“Protocol”). The Protocol enables market participants to incorporate certain revisions into their legacy non-cleared derivative trades with other counterparties that also choose to adhere to the Protocol. M&amp;T adhered to the Protocol in November 2020 and is in the process of remediating its interest rate swap transactions with its end-user customers. With respect to the Company’s cleared interest rate swap agreements that reference LIBOR, clearinghouses have adopted the same relevant Secured Overnight Financing Rate (“SOFR”) benchmark alternatives of the Supplement and Protocol.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 w:name="page54"/>
    <w:bookmarkEnd w:id="53"/>
    <w:p>
      <w:pPr>
        <w:jc w:val="both"/>
        <w:ind w:firstLine="510"/>
        <w:spacing w:after="0" w:line="257" w:lineRule="auto"/>
        <w:rPr>
          <w:sz w:val="20"/>
          <w:szCs w:val="20"/>
          <w:color w:val="auto"/>
        </w:rPr>
      </w:pPr>
      <w:r>
        <w:rPr>
          <w:rFonts w:ascii="Times New Roman" w:cs="Times New Roman" w:eastAsia="Times New Roman" w:hAnsi="Times New Roman"/>
          <w:sz w:val="20"/>
          <w:szCs w:val="20"/>
          <w:color w:val="auto"/>
        </w:rPr>
        <w:t>As loans mature and new originations occur a larger percentage of the Company’s variable-rate loans are expected to reference SOFR or other indexes, including the Bloomberg Short Term Bank Yield Index (“BSBY”). At March 31, 2022 the Company had approximately $7.2 billion and $311 million of outstanding loan balances that reference SOFR and BSBY, respectively, compared with $3.6 billion and $55 million at December 31, 2021, respectively. Additionally, as of March 31, 2022 and December 31, 2021, respectively, the Company had $8.7 billion and $5.0 billion of notional amount of interest rate swap agreements designated as cash flow hedges of commercial real estate loans, including $5.7 billion and $3.5 billion of forward-starting interest rate swap agreements that become effective in 2022 and 2023, and notional amounts of $1.8 billion and $1.0 billion of interest rate contracts in the trading account that are referenced to SOFR. The Company’s usage of interest rate swap agreements referenced to SOFR or BSBY is expected to increase in response to the discontinuation of LIBOR. The Company continues to work with its customers and other counterparties to remediate LIBOR-based agreements which expire after June 30, 2023 by incorporating alternative language, negotiating new agreements, or other means. The discontinuation of LIBOR and uncertainty relating to the emergence of one or more alternative benchmark indexes to replace LIBOR could materially impact the Company’s interest rate risk profile and its management thereof.</w:t>
      </w:r>
    </w:p>
    <w:p>
      <w:pPr>
        <w:spacing w:after="0" w:line="69"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12 of Notes to Financial Statements.</w:t>
      </w:r>
    </w:p>
    <w:p>
      <w:pPr>
        <w:spacing w:after="0" w:line="4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20"/>
          <w:szCs w:val="20"/>
          <w:color w:val="auto"/>
        </w:rPr>
        <w:t>The Company enters into interest rate and foreign exchange contracts to meet the financial needs of customers that it classifies as trading account activity. Financial instruments utilized for such activities consist predominantly of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The notional amounts of interest rate contracts entered into for trading account purposes totaled $31.8 billion at March 31, 2022, $36.2 billion at March 31, 2021 and $32.6 billion at December 31, 2021. The notional amounts of foreign currency and other option and futures contracts entered into for trading account purposes were $1.3 billion at March 31, 2022, compared with $910 million at March 31, 2021 and $1.1 billion at December 31, 2021.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$198 million and $303 million, respectively, at March 31, 2022 and $468 million and $83 million, respectively, at December 31, 2021. The fair value asset and liability amounts at March 31, 2022 have been reduced by contractual settlements of $278 million and $46 million, respectively, and at December 31, 2021 have been reduced by contractual settlements of $54 million and $305 million, respectively. The lower balance of trading account assets at March 31, 2022 as compared with December 31, 2021 was largely the result of decreased values associated with interest rate swap agreements entered into with commercial customers that are not subject to periodic variation margin settlement payments. Included in trading account assets were assets related to deferred compensation plans aggregating $19 million at March 31, 2022, compared with $20 million at March 31, 2021 and $21 million at December 31, 2021. Changes in the fair values of such assets are recorded as “trading account and foreign exchange gains” in the consolidated statement of income. Included in “other liabilities” in the consolidated balance sheet at March 31, 2022 was $22 million of liabilities related to deferred compensation plans, compared with $24 million at each of March 31, 2021 and December 31, 2021.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was required to hold under terms of certain non-qualified supplemental retirement and other benefit plans that were assumed by the Company in various acquisitions. Those assets totaled $28 million at March 31, 2022 and $29 million at each of March 31, 2021 and December 31, 2021.</w:t>
      </w:r>
    </w:p>
    <w:p>
      <w:pPr>
        <w:spacing w:after="0" w:line="67"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provision for credit losses is recorded to adjust the level of the allowance to reflect expected credit losses that are based on economic forecasts as of each reporting date. A $10 million provision for credit losses was recorded in the first quarter of 2022, compared with credit loss recaptures of $25 million in the year-earlier quarter and $15 million in the fourth quarter of 2021. The provision in the recent quarter reflects stable credit quality and macroeconomic forecast factors that did not result in a material change in expected credit losses as compared with December 31, 2021. The Company’s estimates of expected losses continue to reflect concerns about commercial real estate values in the hospitality and office building sectors, and the ultimate collectability of real estate loans coming out of the COVID-19 pandemic. Net charge-offs of loans were $7 million in the recent quarter, compared with net charge-offs of $75 million in the first quarter of 2021 and $31 million in the fourth quarter of 2021. Net charge-offs as an annualized percentage of average loans and leases were .03% in the first quarter of 2022, .31% in the year-earlier quarter and .13% in the final quarter of 2021. As an annualized percentage by loan type, net charge-offs (recoveries) for the first quarter of 2022 and the first and fourth quarters of 2021 were .10%, .06% and .45% for commercial loans and leases, (.15%), .58% and (.07%) for commercial real estate loans, .02%,</w:t>
      </w:r>
    </w:p>
    <w:p>
      <w:pPr>
        <w:spacing w:after="0" w:line="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.01% and .04% for residential real estate loans and .31%, .40% and .23% for consumer loans, respectively. A summary of net charge-offs by loan type is presented in the table that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(13,143)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2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- 55 -</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5" w:name="page56"/>
    <w:bookmarkEnd w:id="55"/>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The net charge-offs of commercial loans in the first quarter of 2022 reflect a $10 million charge-off of a loan to a skilled nursing facility partially offset by a $7 million recovery of a previously charged off loan to a manufacturing entity. Net recoveries of commercial real estate loans in the two most recent quarters reflect improving economic conditions for some borrowers. Included in the net recoveries of commercial real estate loans in 2022’s intital quarter was a $9 million recovery of a previously charged-off loan to a hotel in the New York City area. The higher level of charge-offs of commercial real estate loans in last year’s first quarter reflected the impact of the COVID-19 pandemic on borrowers in the retail, office building and hospitality sectors. Included in net charge-offs of consumer loans were: net recoveries of automobile loans of $1 million in each of the recent quarter and final quarter of 2021, compared with net charge-offs of $2 million first quarter of 2021; net charge-offs of recreational finance loans of $4 million in the first quarter of 2022, $7 million in the year-earlier quarter and $4 million in the fourth 2021 quarter; and net recoveries of home equity loans and lines of credit secured by one-to-four family residential properties of less than $1 million in each of the recent quarter, the first quarter of 2021 and the final quarter of 2021.</w:t>
      </w:r>
    </w:p>
    <w:p>
      <w:pPr>
        <w:spacing w:after="0" w:line="8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Nonaccrual loans aggregated $2.13 billion or 2.32% of total loans and leases outstanding at March 31, 2022, compared with $1.96 billion or 1.97% at March 31, 2021 and $2.06 billion or 2.22% at December 31, 2021. The level of nonaccrual loans reflects the continuing impact of the pandemic on borrowers’ abilities to make contractual payments on their loans, most notably commercial real estate loans in the hospitality, office, retail and health care-related sectors.</w:t>
      </w:r>
    </w:p>
    <w:p>
      <w:pPr>
        <w:spacing w:after="0" w:line="7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Accruing loans past due 90 days or more were $777 million or .85% of loans and leases at March 31, 2022, compared with $1.08 billion or 1.09% at March 31, 2021 and $963 million or 1.04% of outstanding loans at December 31, 2021. Accruing loans past due 90 days or more were predominantly residential real estate loans and included loans guaranteed by government-related entities of $690 million, $1.04 billion and $928 million at March 31, 2022, March 31, 2021 and December 31, 2021, respectively. Guaranteed loans included one-to-four family residential mortgage loans serviced by the Company that were 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$652 million at March 31, 2022, $1.01 billion a year earlier and $889 million at December 31, 2021. The remaining accruing loans past due 90 days or more not guaranteed by government-related entities were loans considered to be with creditworthy borrowers that were in the process of collection or renewal. In addition to the past due loans, the Company also has $323 million of government-guaranteed residential mortgage loans that are not considered delinquent because the borrower has requested and received a COVID-19 related payment deferral. In general, those loans were also purchased to reduce associated servicing costs as described above and also remain covered by the insurance or guarantee of the applicable government-related entity, but are not considered to be past due in accordance with generally accepted accounting principles as described in note 1 of Notes to Financial Statements in M&amp;T’s Form 10-K for the year ended December 31, 2021.</w:t>
      </w:r>
    </w:p>
    <w:p>
      <w:pPr>
        <w:spacing w:after="0" w:line="84"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20"/>
          <w:szCs w:val="20"/>
          <w:color w:val="auto"/>
        </w:rPr>
        <w:t>The direct and indirect effects of the COVID-19 pandemic resulted in a dramatic reduction in 2020 in economic activity that severely hampered the ability of some businesses and consumers to meet their repayment obligations. The CARES Act, in addition to providing financial assistance to both businesses and consumers, created a forbearance program for federally-backed mortgage loans, protected borrowers from negative credit reporting due to loan accommodations related to the pandemic, and provided financial institutions the option to temporarily suspend certain requirements under GAAP related to troubled debt restructurings for a limited period of time to account for the effects of COVID-19. The bank regulatory agencies likewise issued guidance encouraging financial institutions to work prudently with borrowers who were, or may be, unable to meet their contractual payment obligations because of the effects of COVID-19. That guidance, with concurrence of the Financial Accounting Standards Board and provisions of the CARES Act, allowed modifications made on a good faith basis in response to COVID-19 to borrowers who were generally current with their payments prior to any relief, to not be treated as delinquent or as troubled debt restructurings. Modifications included payment deferrals (including extensions of maturity dates), covenant waivers and fee waivers. The Company worked with its customers affected by COVID-19 and granted modifications across many of its loan portfolios. To the extent that such modifications met the criteria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21"/>
          <w:szCs w:val="21"/>
          <w:color w:val="auto"/>
        </w:rPr>
        <w:t>previously described, such modifications have not been classified as delinquent or as troubled debt restructurings. Nevertheless, loans with a COVID-19 payment forbearance were evaluated for collectability based on the borrower’s ability to repay considering past performance and estimated collateral values. If collectability was considered doubtful, loans were classified as nonaccrual. COVID-19 related modifications with payment deferrals at March 31, 2022 totaled $445 million and consisted predominantly of residential real estate loans, including $323 million of government-guaranteed loans. Payment deferrals are generally scheduled to expire in 2022 and/or are in the process of formal modification of repayment terms for previously deferred payments.</w:t>
      </w:r>
    </w:p>
    <w:p>
      <w:pPr>
        <w:spacing w:after="0" w:line="75"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7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$405 million, $417 million and $425 million at March 31, 2022, March 31, 2021 and December 31, 2021, respectively.</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Commercial loans and leases classified as nonaccrual totaled $275 million, $295 million and $221 million at March 31, 2022, March 31, 2021, and December 31, 2021, respectively. Commercial real estate loans in nonaccrual status aggregated $1.2 billion at each of March 31, 2022 and December 31, 2021, compared with $952 million at March 31, 2021. As previously noted, commercial real estate loans in nonaccrual status were largely reflective of loans in the hospitality, office, retail and health care-related sectors.</w:t>
      </w:r>
    </w:p>
    <w:p>
      <w:pPr>
        <w:spacing w:after="0" w:line="7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20"/>
          <w:szCs w:val="20"/>
          <w:color w:val="auto"/>
        </w:rPr>
        <w:t>Nonaccrual residential real estate loans totaled $465 million at March 31, 2022, compared with $529 million at March 31, 2021, and $479 million at December 31, 2021. The decreases at the two most recent quarter-ends as compared with the year-earlier date were largely reflective of improving economic conditions. Included in residential real estate loans classified as nonaccrual were limited documentation first mortgage loans of $124 million at March 31, 2022, compared with $143 million at March 31, 2021 and $123 million at December 31, 2021.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$687 million at March 31, 2022, compared with $1.04 billion at March 31, 2021, and $920 million at December 31, 2021. Those amounts related to government-guaranteed loans as previously noted. Information about the location of nonaccrual and charged-off residential real estate loans as of and for the quarter ended March 31, 2022 is presented in the accompanying table.</w:t>
      </w:r>
    </w:p>
    <w:p>
      <w:pPr>
        <w:spacing w:after="0" w:line="66"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Nonaccrual consumer loans were $182 million at each of March 31, 2022 and March 31, 2021 and $177 million at December 31, 2021. Included in nonaccrual consumer loans at March 31, 2022, March 31, 2021 and December 31, 2021 were: automobile loans of $35 million, $38 million, and $34 million, respectively; recreational finance loans of $32 million, $27 million, and $28 million, respectively; and outstanding balances of home equity loans and lines of credit of $71 million, $79 million, and $70 million, respectively. Information about the location of nonaccrual and charged-off home equity loans and lines of credit as of and for the quarter ended March 31, 2022 is presented in the accompanying table.</w:t>
      </w:r>
    </w:p>
    <w:p>
      <w:pPr>
        <w:spacing w:after="0" w:line="7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Information about past due and nonaccrual loans as of March 31, 2022 and December 31, 2021 is also included in note 4 of Notes to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5,258,543</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1,045,200</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(173)</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1,443,335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2,171,787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89,519</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(287)</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1,192,576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3,246,467</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68,905</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14,357,908</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341,297</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817</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47,585</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374</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546,208</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56,762</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22,421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438,575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36,956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159,353</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22,751</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1,190,386</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123,512</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893,191</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538,517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(96)</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65,443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162,973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27,763</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2,126,322</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40,181</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537,435</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182,356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340,578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(234)</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94,457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(121)</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42,105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(68)</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1,367,945</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30,950</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(576)</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39.41%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(42)</w:t>
            </w: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w:t>
            </w: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358</w:t>
            </w:r>
          </w:p>
        </w:tc>
        <w:tc>
          <w:tcPr>
            <w:tcW w:w="300" w:type="dxa"/>
            <w:vAlign w:val="bottom"/>
          </w:tcPr>
          <w:p>
            <w:pPr>
              <w:spacing w:after="0"/>
              <w:rPr>
                <w:sz w:val="13"/>
                <w:szCs w:val="13"/>
                <w:color w:val="auto"/>
              </w:rPr>
            </w:pPr>
          </w:p>
        </w:tc>
        <w:tc>
          <w:tcPr>
            <w:tcW w:w="12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300" w:type="dxa"/>
            <w:vAlign w:val="bottom"/>
            <w:vMerge w:val="continue"/>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0</wp:posOffset>
            </wp:positionV>
            <wp:extent cx="1543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 w:lineRule="exact"/>
        <w:rPr>
          <w:sz w:val="20"/>
          <w:szCs w:val="20"/>
          <w:color w:val="auto"/>
        </w:rPr>
      </w:pPr>
    </w:p>
    <w:p>
      <w:pPr>
        <w:ind w:left="700" w:hanging="692"/>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Delaware, Virginia, West Virginia and the District of Columbia.</w:t>
      </w:r>
    </w:p>
    <w:p>
      <w:pPr>
        <w:spacing w:after="0" w:line="22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 w:name="page59"/>
    <w:bookmarkEnd w:id="58"/>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Real estate and other foreclosed assets totaled $24 million at each of March 31, 2022 and December 31, 2021, compared with $30 million at March 31, 2021. Net gains or losses associated with real estate and other foreclosed assets were not material during the three-months ended March 31, 2022, March 31, 2021 and December 31, 2021. At March 31, 2022, foreclosed assets are comprised entirely of residential real estate-related properties.</w:t>
      </w:r>
    </w:p>
    <w:p>
      <w:pPr>
        <w:spacing w:after="0" w:line="70"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renegotiated and impaired loan data and credit quality ratios is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RENEGOTIATED AND IMPAIRED LOAN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2021 Quarters</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2,134,231</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2,242,263</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2,242,057</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1,957,106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2,157,755</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2,083,984</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2,267,049</w:t>
            </w:r>
          </w:p>
        </w:tc>
        <w:tc>
          <w:tcPr>
            <w:tcW w:w="36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2,269,959</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1,986,903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776,751</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963,399</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1,026,080</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1,077,227</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1,084,553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above: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Nonaccrual loans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689,831</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927,788</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947,091</w:t>
            </w:r>
          </w:p>
        </w:tc>
        <w:tc>
          <w:tcPr>
            <w:tcW w:w="36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1,029,331</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1,044,599</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242,108</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230,408</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242,955</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236,377</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242,121</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 to total loans and leases, net of</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discount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net loans and leases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real estate and other foreclosed assets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Accruing loans past due 90 days or more(a) to total</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ind w:left="3140" w:hanging="702"/>
        <w:spacing w:after="0"/>
        <w:tabs>
          <w:tab w:leader="none" w:pos="31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Predominantly residential real estate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43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9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67"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20"/>
          <w:szCs w:val="20"/>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Despite recent improvements in macroeconomic forecasts, at the time of the Company’s analysis regarding the determination of the allowance for credit losses as of March 31, 2022, concerns existed about the somewhat uneven and incomplete recovery evident in some sectors of the economy; elevated levels of inflation; the volatile nature of global markets and international economic conditions that could impact the U.S. economy; Federal Reserve positioning of monetary policy; the extent to which borrowers, in particular commercial real estate borrowers, may continue to be negatively affected by pandemic-related and general economic conditions; and continued stagnant population and economic growth in the upstate New York and central Pennsylvania regions (approximately 48% of the Company’s loans and leases are to customers in New York State and Pennsylvania).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1"/>
          <w:szCs w:val="21"/>
          <w:color w:val="auto"/>
        </w:rPr>
        <w:t>expects to collect all amounts according to the contractual terms of the loan agreement or the loan is delinquent 90 days or more. During 2021 and 2020, the Company re-graded significant portions of its commercial loans and commercial real estate loans based on financial results and projections for specific borrowers, particularly those that were affected by COVID-19 impacts. Criticized commercial loans and commercial real estate loans totaled $8.7 billion at March 31, 2022, compared with $8.4 billion at March 31, 2021, and $9.0 billion at December 31, 2021. The level of criticized loans remains reflective of the pandemic-related impact on many borrowers, particularly those with investor-owned commercial real estate loans in the hotel, office and healthcare sectors. Investor-owned commercial real estate loans comprised $6.8 billion or 78% of total criticized loans at March 31, 2022. In general, weighted-average loan-to-value (“LTV”) ratios for investor-owned commercial real estate properties were in a range of 55% to 70% with an average weighted-average LTV ratio of approximately 60%. Criticized loans secured by investor-owned commercial real estate had a weighted-average LTV ratio of approximately 67%.</w:t>
      </w:r>
    </w:p>
    <w:p>
      <w:pPr>
        <w:spacing w:after="0" w:line="83"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0"/>
          <w:szCs w:val="20"/>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2022, approximately 61% of the Company’s home equity portfolio consisted of first lien loans and lines of credit. Of the remaining junior lien loans in the portfolio, approximately 58% (or approximately 22%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2022 approximately 85% of all outstanding balances of home equity lines of credit related to lines that were still in the draw period, the weighted-average remaining draw periods were approximately five years, and approximately 10% were making contractually allowed payments that do not include any repayment of principal.</w:t>
      </w:r>
    </w:p>
    <w:p>
      <w:pPr>
        <w:spacing w:after="0" w:line="82"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0" w:name="page61"/>
    <w:bookmarkEnd w:id="60"/>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1"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March 31, 2022, March 31, 2021 and December 31, 2021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Events posing emerging risks to the macroeconomic environment, such as the war in Ukraine, inflation and supply chain issues, are considered when developing economic forecasts even if the events do not directly and materially impact the Company’s financial results. Supply chain disruptions, inflationary pressures or other peripheral impacts of global events may alter economic forecasts and the Company monitors this activity as part of its risk management procedures in assessing the allowance for credit losses. Among the assumptions utilized as of March 31, 2022 was that the national unemployment rate will average 3.6% through the reasonable and supportable forecast period. The forecast also assumed gross domestic product grows at a 3.6% average rate during the first year of the reasonable and supportable forecast period and at a 3.0% average rate in the second year. Commercial real estate and residential real estate prices were assumed to cumulatively grow 11.0% and 4.3%, respectively, over the two-year reasonable and supportable forecast period. The assumptions utilized as of December 31, 2021 included the national unemployment rate averaging 4.6% through the first year of the reasonable and supportable forecast period before gradually improving to 3.7% in the latter half of 2023. The forecast also assumed gross domestic product grows during 2022 at a 3.1% average annual rate and during 2023 at a 2.7% annual rate. Commercial and residential real estate prices were assumed to cumulatively grow 11.1% and 5.9%, respectively, over the two-year reasonable and supportable forecast period. The assumptions utilized were based on information available to the Company at or near March 31, 2022 and December 31, 2021 (at the time the Company was preparing its estimate of expected credit losses as of those dates).</w:t>
      </w:r>
    </w:p>
    <w:p>
      <w:pPr>
        <w:spacing w:after="0" w:line="97"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would have an adverse impact on expected credit losses and would likely result in an increase to the allowance for credit losses. Forward looking economic forecasts are subject to inherent imprecision and future events may differ materially from actual events. In consideration of such uncertainty, the following alternative economic scenarios were considered to estimate the possible impact on modeled credit losses.</w:t>
      </w:r>
    </w:p>
    <w:p>
      <w:pPr>
        <w:spacing w:after="0" w:line="8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A potential downside economic scenario assumed the unemployment rate averages 7.5% in the reasonable and supportable forecast period. The scenario also assumed gross domestic product contracts 1.7% in the first year of the reasonable and supportable forecast period before recovering to 3.5% growth in the second year and commercial real estate and residential real estate prices cumulatively decline 9.8% and 3.9%, respectively, by the end of the reasonable and supportable forecast period.</w:t>
      </w:r>
    </w:p>
    <w:p>
      <w:pPr>
        <w:spacing w:after="0" w:line="70"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A potential upside economic scenario assumed the unemployment rate declines to approximately 3.0% for the duration of the reasonable and supportable forecast period. The scenario also assumes gross domestic product grows 5.2% in the initial year of the reasonable and forecast period and 1.2% in the second year while commercial real estate and residential real estate prices cumulatively rise 19.1% and 7.2%, respectively, over the two-year reasonable and supportable forecast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1" w:name="page62"/>
    <w:bookmarkEnd w:id="61"/>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scenario analyses resulted in an additional $246 million of modeled credit losses under the assumptions of the downside economic scenario, whereas under the assumptions of the upside economic scenario a $57 million reduction in modeled credit losses could occur. 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spacing w:after="0" w:line="7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75"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Management believes that the allowance for credit losses at March 31, 2022 appropriately reflected expected credit losses inherent in the portfolio as of that date. The allowance for credit losses totaled $1.47 billion at each of March 31, 2022 and December 31, 2021, compared with $1.64 billion at March 31, 2021. As a percentage of loans outstanding, the allowance was 1.60% at March 31, 2022, 1.65% at March 31, 2021 and 1.58% at December 31, 2021. Excluding the impact of PPP loans outstanding at March 31, 2022, March 31, 2021 and December 31, 2021 the allowance as a percentage of total loans and leases was 1.61%, 1.75% and 1.60%, respectively.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83"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The ratio of the allowance for credit losses to total nonaccrual loans at March 31, 2022 and December 31, 2021 was 69% and 71%,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Other income totaled $541 million in the first quarter of 2022, compared with $506 million in the year-earlier quarter. The level of other income in the recent quarter as compared with the first quarter of 2021 reflected higher trust income, service charges on deposit accounts and brokerage services income, as well as a $30 million distribution from Bayview Lending Group (“BLG”), partially offset by decreased mortgage banking revenues that reflect the impact of the Company’s decision to retain recently originated mortgage loans in portfolio rather than sell such loans. Other income was $579 million in 2021’s fourth quarter. The comparative decline in the recent quarter was predominantly the result of the decreased mortgage banking revenues.</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Mortgage banking revenues were $109 million in the recent quarter, compared with $139 million in each of the first and fourth quarters of 2021.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0"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$76 million in the initial quarter of 2022, $107 million in the similar quarter of 2021 and $91 million in the fourth quarter of 2021. As compared with the respective prior quarters, the lower residential mortgage banking revenues in the recent quarter resulted from decreased gains associated with loans held for sale and related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2" w:name="page63"/>
    <w:bookmarkEnd w:id="62"/>
    <w:p>
      <w:pPr>
        <w:jc w:val="both"/>
        <w:spacing w:after="0" w:line="270" w:lineRule="auto"/>
        <w:rPr>
          <w:sz w:val="20"/>
          <w:szCs w:val="20"/>
          <w:color w:val="auto"/>
        </w:rPr>
      </w:pPr>
      <w:r>
        <w:rPr>
          <w:rFonts w:ascii="Times New Roman" w:cs="Times New Roman" w:eastAsia="Times New Roman" w:hAnsi="Times New Roman"/>
          <w:sz w:val="21"/>
          <w:szCs w:val="21"/>
          <w:color w:val="auto"/>
        </w:rPr>
        <w:t>commitments, reflecting the impact of higher interest rates which suppressed gain-on-sale margins on loans being sold and the Company’s decision late in the third quarter of 2021 to retain most originated mortgage loans in portfolio rather than sell such loans.</w:t>
      </w:r>
    </w:p>
    <w:p>
      <w:pPr>
        <w:spacing w:after="0" w:line="51"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$161 million in the first quarter of 2022, compared with $1.3 billion in the year-earlier quarter and $191 million in the fourth quarter of 2021.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$14 million in the first quarter of 2022, $50 million in the corresponding period of 2021 and $26 million in 2021’s final quarter.</w:t>
      </w:r>
    </w:p>
    <w:p>
      <w:pPr>
        <w:spacing w:after="0" w:line="75"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20"/>
          <w:szCs w:val="20"/>
          <w:color w:val="auto"/>
        </w:rPr>
        <w:t>Loans held for sale that were secured by residential real estate aggregated $238 million at March 31, 2022, $773 million at March 31, 2021 and $474 million at December 31, 2021. Commitments to sell residential real estate loans and commitments to originate residential real estate loans for sale at pre-determined rates totaled $324 million and $146 million, respectively, at March 31, 2022, compared with $1.53 billion and $1.08 billion, respectively, at March 31, 2021 and $617 million and $233 million, respectively, at December 31, 2021. Net recognized unrealized gains on residential real estate loans held for sale, commitments to sell loans, and commitments to originate loans for sale were $3 million at March 31, 2022, $48 million at March 31, 2021 and $10 million at December 31, 2021. Changes in net unrealized gains or losses are recorded in mortgage banking revenues and resulted in net decreases in revenues of $7 million in the recent quarter, $4 million in the first quarter of 2021, and $12 million in the final 2021 quarter.</w:t>
      </w:r>
    </w:p>
    <w:p>
      <w:pPr>
        <w:spacing w:after="0" w:line="67"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$62 million during the quarter ended March 31, 2022, compared with $57 million and $65 million during the three months ended March 31, 2021 and December 31, 2021, respectively. Residential real estate loans serviced for others totaled $99.6 billion at March 31, 2022, $95.0 billion at March 31, 2021 and $97.9 billion at December 31, 2021. Reflected in residential real estate loans serviced for others were loans sub-serviced for others of $76.6 billion, $69.7 billion and $74.7 billion at March 31, 2022, March 31, 2021 and December 31, 2021, respectively. Revenues earned for sub-servicing loans totaled $42 million during the recent quarter, $34 million in the first quarter of 2021 and $43 million in the final quarter of 2021. The contractual servicing rights associated with loans sub-serviced by the Company were predominantly held by affiliates of BLG. Information about the Company’s relationship with BLG and its affiliates is included in note 15 of Notes to Financial Statements. Capitalized residential mortgage servicing assets totaled $208 million at March 31, 2022, $218 million at March 31, 2021 and $217 million at December 31, 2021.</w:t>
      </w:r>
    </w:p>
    <w:p>
      <w:pPr>
        <w:spacing w:after="0" w:line="83"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Commercial mortgage banking revenues totaled $33 million in the first quarter of 2022, compared with $32 million in the first quarter of 2021 and $49 million in the fourth quarter of 2021. Included in such amounts were revenues from loan origination and sales activities of $15 million and $17 million in the first quarters of 2022 and 2021, respectively, compared with $29 million in the fourth quarter of 2021. Commercial real estate loans originated for sale to other investors were $606 million in the recent quarter, compared with $619 million in the first quarter of 2021 and $1.3 billion in the fourth quarter of 2021. Loan servicing revenues totaled $18 million in the first quarter of 2022, compared with $15 million and $20 million in the first and fourth quarters of 2021, respectively. Capitalized commercial mortgage servicing assets were $133 million at each of March 31, 2022 and December 31, 2021 and $136 million at March 31, 2021. Commercial real estate loans serviced for other investors totaled $24.0 billion at March 31, 2022, $22.6 billion at March 31, 2021 and $23.7 billion at December 31, 2021. Those servicing amounts included $4.0 billion at each of March 31, 2022, March 31, 2021 and December 31, 2021 of loan balances for which investors had recourse to the Company if such balances are ultimately uncollectable. Included in commercial real estate loans serviced for others were loans sub-serviced for others of $3.4 billion at March 31, 2022, $3.3 billion at March 31, 2021 and $3.5 billion at December 31, 2021. Commitments to sell commercial real estate loans and commitments to originate commercial real estate loans for sale were $538 million and $322 million, respectively, at March 31, 2022, $348 million and $250 million, respectively, at March 31, 2021 and $751 million and $325 million, respectively, at December 31, 2021. Commercial real estate loans held for sale at March 31, 2022, March 31, 2021 and December 31, 2021 were $216 million, $99 million and $425 million,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3" w:name="page64"/>
    <w:bookmarkEnd w:id="63"/>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Service charges on deposit accounts were $102 million and $93 million in the first quarters of 2022 and 2021, respectively, and $105 million in the final quarter of 2021. The increase in the recent quarter as compared with last year’s first quarter reflected increased activity by consumer and commercial customers. In February 2022, the Company announced it will be eliminating non-sufficient funds fees and overdraft protection transfer charges from linked deposit accounts as well as reducing overdraft fees and limiting daily fee assessments to once per day. The Company estimates these changes will reduce income from service charges on deposit accounts by approximately $40 million, largely in the second half of 2022.</w:t>
      </w:r>
    </w:p>
    <w:p>
      <w:pPr>
        <w:spacing w:after="0" w:line="75"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$169 million in each of the first quarter of 2022 and fourth quarter of 2021, compared with $156 million in the first quarter of 2021. Revenues associated with the ICS business were $100 million during the quarter ended March 31, 2022, compared with $89 million and $102 million during the quarters ended March 31, 2021 and December 31, 2021, respectively. The higher revenues in the recent quarter as compared with the first quarter of 2021 were largely attributable to increased retirement services income resulting from growth in collective fund balances. Revenues attributable to WAS totaled approximately $68 million in the three-month period ended March 31, 2022, $59 million during the quarter ended March 31, 2021 and $67 million during the final quarter of 2021. The higher revenues in the recent quarter as compared with the initial 2021 quarter were largely attributable to favorable equity market performance that was partially offset by proprietary fund money market fee waivers as a result of the low interest rate environment. Trust assets under management were $160.1 billion, $141.5 billion and $165.6 billion at March 31, 2022, March 31, 2021 and December 31, 2021, respectively. Trust assets under management include the Company’s proprietary mutual funds’ assets of $12.3 billion, $12.7 billion and $13.2 billion at March 31, 2022, March 31, 2021 and December 31, 2021, respectively. Additional trust income from investment management activities was $1 million in the first quarter of 2022, $8 million in the corresponding quarter of 2021 and less than $1 million in the fourth quarter of 2021, and is predominantly comprised of fees earned from retail customer investment accounts. The lower revenues in the two most recent quarters as compared with the first quarter of 2021 reflect the change in product delivery in June 2021 described in the next paragraph.</w:t>
      </w:r>
    </w:p>
    <w:p>
      <w:pPr>
        <w:spacing w:after="0" w:line="98" w:lineRule="exact"/>
        <w:rPr>
          <w:sz w:val="20"/>
          <w:szCs w:val="20"/>
          <w:color w:val="auto"/>
        </w:rPr>
      </w:pPr>
    </w:p>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Brokerage services income, which includes revenues from the sale of mutual funds and annuities and securities brokerage fees, and, since June 2021, sales of select investment products of LPL Financial totaled $20 million in the first quarter of 2022, $13 million in the first quarter of 2021 and $19 million in the fourth quarter of 2021. The increase in brokerage services income in the recent quarter and the final quarter of 2021 reflects a change in June 2021 in product delivery to retail brokerage and certain trust customers related to the LPL Financial relationship. Revenues associated with the sale of investment products of LPL Financial, an independent financial services broker, are included in “brokerage services income.” Prior to the transition to LPL Financial’s product platform, revenues earned from providing those customers with proprietary trust products managed by the Company were reported as trust income. Trading account and foreign exchange activity resulted in gains of $5 million during the quarter ended March 31, 2022, and $6 million in each of the year-earlier quarter and the final quarter of 2021.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Company recognized net losses on investment securities of $1 million in the recent quarter and $12 million in the first quarter of 2021, compared with net gains of $2 million in the fourth quarter of 2021. The losses recognized in the initial quarter of 2021 represented unrealized losses on investments in Fannie Mae and Freddie Mac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4" w:name="page65"/>
    <w:bookmarkEnd w:id="64"/>
    <w:p>
      <w:pPr>
        <w:jc w:val="both"/>
        <w:ind w:firstLine="510"/>
        <w:spacing w:after="0" w:line="244" w:lineRule="auto"/>
        <w:rPr>
          <w:sz w:val="20"/>
          <w:szCs w:val="20"/>
          <w:color w:val="auto"/>
        </w:rPr>
      </w:pPr>
      <w:r>
        <w:rPr>
          <w:rFonts w:ascii="Times New Roman" w:cs="Times New Roman" w:eastAsia="Times New Roman" w:hAnsi="Times New Roman"/>
          <w:sz w:val="21"/>
          <w:szCs w:val="21"/>
          <w:color w:val="auto"/>
        </w:rPr>
        <w:t>Other revenues from operations were $136 million in the first quarter of 2022, compared with $111 million in the corresponding 2021 period and $139 million in the fourth quarter of 2021. Included in other revenues from operations were the following significant components. Letter of credit and other credit-related fees aggregated $27 million in the recent quarter, compared with $31 million in each of the year-earlier quarter and the final quarter of 2021. Revenues from merchant discount and credit card fees were $34 million in the first quarter of 2022, compared with $26 million in the year-earlier quarter and $39 million in the fourth quarter of 2021. Tax-exempt income from bank owned life insurance, which includes increases in the cash surrender value of life insurance policies and benefits received, totaled $10 million in each of the first quarters of 2022 and 2021 and $12 million in the fourth quarter of 2021. Insurance-related sales commissions and other revenues totaled $15 million in the quarter ended March 31, 2022, compared with $14 million in the first quarter of 2021 and $11 million in the fourth quarter of 2021. M&amp;T received distributions as a result of its investment in BLG of $30 million in each of the first quarter of 2022 and fourth quarter of 2021. There was no similar distribution in the first quarter of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Other expense totaled $960 million in the first quarter of 2022, compared with $919 million in the year-earlier quarter and $928 million in the final quarter of 2021. Included in those amounts are expenses considered to be “nonoperating” in nature consisting of amortization of core deposit and other intangible assets of $1 million, $3 million and $2 million and merger-related expenses of $17 million, $10 million and $21 million in the first quarter of 2022, first quarter of 2021 and fourth quarter of 2021, respectively. Exclusive of those nonoperating expenses, noninterest operating expenses were $941 million in the recent quarter, compared with $907 million in the year-earlier quarter and $904 million in the final 2021 quarter. As compared with the first quarter of 2021, factors contributing to the increased level of expenses in 2022’s initial quarter were higher costs for salaries and employee benefits (including increased incentive compensation expenses), outside data processing and software, offset by lower defined benefit pension-related expenses included in other costs of operations. As compared with the fourth quarter of 2021, the increased level of noninterest operating expenses in the recent quarter resulted largely from seasonally higher salaries and employee benefits, including increased stock-based compensation, payroll-related taxes and other employee benefits, partially offset by lower defined benefit pension-related and professional services expenses included in other costs of operations. Table 2 provides a reconciliation of other expense to noninterest operating expense.</w:t>
      </w:r>
    </w:p>
    <w:p>
      <w:pPr>
        <w:spacing w:after="0" w:line="89"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21"/>
          <w:szCs w:val="21"/>
          <w:color w:val="auto"/>
        </w:rPr>
        <w:t>Salaries and employee benefits expense totaled $578 million in the first quarter of 2022, compared with $541 million in the year-earlier quarter and $515 million in the fourth quarter of 2021. The higher salaries and employee benefits expenses in the recent quarter as compared with the fourth quarter of 2021 reflect seasonally higher stock-based compensation, medical plan costs, payroll-related taxes, unemployment insurance and the Company’s contributions for retirement savings plan benefits related to annual incentive compensation payments that aggregated approximately $74 million. Similar expenses in the first quarter of 2021 were approximately $69 million.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2022 and 2021 included $36 million and $34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$50 million and $48 million in the three-month periods ended March 31, 2022 and March 31, 2021, respectively, and $12 million in the three-month period ended December 31, 2021. Lower incentive compensation expense in the recent quarter as compared with 2021’s fourth quarter partially offset the impact of the seasonally higher expenses. The increase in salaries and employee benefits expense in the recent quarter as compared to the first quarter of 2021 resulted from higher salaries, reflecting increased staffing levels and other increases, and a rise in incentive compensation. The number of full-time equivalent employees was 17,457 at March 31, 2022, compared with 17,157 and 17,421 at March 31, 2021 and December 31, 2021, respectively.</w:t>
      </w:r>
    </w:p>
    <w:p>
      <w:pPr>
        <w:spacing w:after="0" w:line="82" w:lineRule="exact"/>
        <w:rPr>
          <w:sz w:val="20"/>
          <w:szCs w:val="20"/>
          <w:color w:val="auto"/>
        </w:rPr>
      </w:pPr>
    </w:p>
    <w:p>
      <w:pPr>
        <w:jc w:val="both"/>
        <w:ind w:right="20" w:firstLine="510"/>
        <w:spacing w:after="0" w:line="270"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$364 million, $366 million and $389 million in the quarters ended March 31, 2022, March 31, 2021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21"/>
          <w:szCs w:val="21"/>
          <w:color w:val="auto"/>
        </w:rPr>
        <w:t>and December 31, 2021, respectively. As compared with last year’s first quarter, higher expenses in the recent quarter for outside data processing and software were offset by reduced defined benefit pension-related expenses as described below. The decrease in nonpersonnel operating expenses in 2022’s first quarter as compared with 2021’s fourth quarter reflect lower costs for advertising, FDIC assessments and defined benefit pension-related expenses. Components of pension expense included in other costs of operations reflect the amortization of net unrecognized losses included in accumulated other comprehensive income. Such net unrecognized losses have generally been amortized over the average remaining service periods of active participants in the plan. If all or substantially all of the plan’s participants are inactive, GAAP provides for the average remaining life expectancy of the participants to be used instead of average remaining service period. Substantially all of the participants in the Company’s qualified defined benefit pension plan were inactive in the plan and beginning in 2022 the average remaining life expectancy is now utilized prospectively to amortize the net unrecognized gains and losses of the Plan existent at each measurement date. The change increased the amortization period by approximately sixteen years and reduced the amount of quarterly amortization of unrecognized losses recorded in 2022 from what would have been recorded without such change in the amortization period by $9 million.</w:t>
      </w:r>
    </w:p>
    <w:p>
      <w:pPr>
        <w:spacing w:after="0" w:line="7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64.9% during the recent quarter, compared with 60.3% and 59.7% in the first and fourth quarters of 2021, respectively. The calculation of the efficiency ratio is presented in Table 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provision for income taxes was $113 million in the first quarter of 2022, compared with $145 million in the year-earlier quarter and $142 million in the final quarter of 2021. The effective tax rates were 23.8%, 24.5% and 23.7% for the quarters ended March 31, 2022, March 31, 2021 and December 31, 2021, respectively.</w:t>
      </w:r>
    </w:p>
    <w:p>
      <w:pPr>
        <w:spacing w:after="0" w:line="67"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Shareholders’ equity was $17.9 billion at each of March 31, 2022 and December 31, 2021, or 11.93% and 11.54% of total assets, respectively, and $16.4 billion or 10.93% of total assets at March 31, 2021.</w:t>
      </w:r>
    </w:p>
    <w:p>
      <w:pPr>
        <w:spacing w:after="0" w:line="5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21"/>
          <w:szCs w:val="21"/>
          <w:color w:val="auto"/>
        </w:rPr>
        <w:t>Included in shareholders’ equity was preferred stock with financial statement carrying values of $1.75 billion at each of March 31, 2022 and December 31, 2021, compared with $1.25 billion at March 31, 2021.</w:t>
      </w:r>
    </w:p>
    <w:p>
      <w:pPr>
        <w:spacing w:after="0" w:line="51"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21"/>
          <w:szCs w:val="21"/>
          <w:color w:val="auto"/>
        </w:rPr>
        <w:t>Common shareholders’ equity was $16.1 billion, or $124.93 per share, at March 31, 2022, compared with $15.2 billion, or $118.12 per share, a year earlier and $16.2 billion, or $125.51 per share, at December 31, 2021. Tangible equity per common share, which excludes goodwill and core deposit and other intangible assets and applicable deferred tax balances, was $89.33 at the end of the recent quarter, compared with $82.35 at March 31, 2021 and $89.80 at December 31, 2021. The Company’s ratio of tangible common equity to tangible assets was 7.94% at March 31, 2022, compared with 7.26% a year earlier and 7.68% at December 31, 2021. Reconciliations of total common shareholders’ equity and tangible common equity and total assets and tangible assets as of each of those respective dates are presented in table 2.</w:t>
      </w:r>
    </w:p>
    <w:p>
      <w:pPr>
        <w:spacing w:after="0" w:line="76"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$59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6" w:name="page67"/>
    <w:bookmarkEnd w:id="66"/>
    <w:p>
      <w:pPr>
        <w:jc w:val="both"/>
        <w:spacing w:after="0" w:line="248" w:lineRule="auto"/>
        <w:rPr>
          <w:sz w:val="20"/>
          <w:szCs w:val="20"/>
          <w:color w:val="auto"/>
        </w:rPr>
      </w:pPr>
      <w:r>
        <w:rPr>
          <w:rFonts w:ascii="Times New Roman" w:cs="Times New Roman" w:eastAsia="Times New Roman" w:hAnsi="Times New Roman"/>
          <w:sz w:val="21"/>
          <w:szCs w:val="21"/>
          <w:color w:val="auto"/>
        </w:rPr>
        <w:t>million or $.46 per common share, at March 31, 2022 compared with net unrealized gains of $122 million, or $.95 per common share, at March 31, 2021 and $78 million, or $.60 per common share, at December 31, 2021. Changes in unrealized gains and losses on investment securities are predominantly reflective of the impact of changes in interest rates on the values of such securities. Information about unrealized gains and losses as of March 31, 2022 and December 31, 2021 is included in note 3 of Notes to Financial Statements.</w:t>
      </w:r>
    </w:p>
    <w:p>
      <w:pPr>
        <w:spacing w:after="0" w:line="7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March 31, 2022 were pre-tax effect unrealized gains of $16 million on securities with an amortized cost of $1.2 billion and pre-tax effect unrealized losses of $95 million on securities with an amortized cost of $4.6 billion. Information concerning the Company’s fair valuations of investment securities is provided in notes 3 and 12 of Notes to Financial Statements.</w:t>
      </w:r>
    </w:p>
    <w:p>
      <w:pPr>
        <w:spacing w:after="0" w:line="70"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7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21"/>
          <w:szCs w:val="21"/>
          <w:color w:val="auto"/>
        </w:rPr>
        <w:t>As of March 31, 2022, based on a review of each of the securities in the available-for-sale investment securities portfolio, the Company concluded that it expected to realize the amortized cost basis of each security. As of March 31, 2022,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20"/>
          <w:szCs w:val="20"/>
          <w:color w:val="auto"/>
        </w:rPr>
        <w:t>Accounting guidance requires investment securities held to maturity to be presented at their net carrying value that is expected to be collected over their contractual term. The Company estimated no material allowance for credit losses for its investment securities classified as held-to-maturity at March 31, 2022 and December 31, 2021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2022 and December 31, 2021, the Company had in its held-to-maturity portfolio privately issued mortgage-backed securities with an amortized cost basis of $58 million and $62 million, respectively, and a fair value of $57 million at each of March 31, 2022 and December 31, 2021. At March 31, 2022, 82% of those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has concluded that as of March 31, 2022,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73"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$265 million, or $2.05 per common share, at March 31, 2022, $468 million or $3.64 per common share, at March 31, 2021 and $267 million or $2.08 per common share, at December 31, 2021.</w:t>
      </w:r>
    </w:p>
    <w:p>
      <w:pPr>
        <w:spacing w:after="0" w:line="6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21"/>
          <w:szCs w:val="21"/>
          <w:color w:val="auto"/>
        </w:rPr>
        <w:t>In January 2021 M&amp;T’s Board of Directors authorized a plan to repurchase up to $800 million of shares of M&amp;T’s common stock subject to all applicable regulatory limitations. In February 2022, the Board reaffirmed that plan. There were no repurchases of M&amp;T common stock in 2021 or the first quarter of 2022.</w:t>
      </w:r>
    </w:p>
    <w:p>
      <w:pPr>
        <w:spacing w:after="0" w:line="67" w:lineRule="exact"/>
        <w:rPr>
          <w:sz w:val="20"/>
          <w:szCs w:val="20"/>
          <w:color w:val="auto"/>
        </w:rPr>
      </w:pPr>
    </w:p>
    <w:p>
      <w:pPr>
        <w:jc w:val="both"/>
        <w:ind w:firstLine="468"/>
        <w:spacing w:after="0" w:line="270" w:lineRule="auto"/>
        <w:rPr>
          <w:sz w:val="20"/>
          <w:szCs w:val="20"/>
          <w:color w:val="auto"/>
        </w:rPr>
      </w:pPr>
      <w:r>
        <w:rPr>
          <w:rFonts w:ascii="Times New Roman" w:cs="Times New Roman" w:eastAsia="Times New Roman" w:hAnsi="Times New Roman"/>
          <w:sz w:val="21"/>
          <w:szCs w:val="21"/>
          <w:color w:val="auto"/>
        </w:rPr>
        <w:t>Cash dividends declared on M&amp;T’s common stock totaled $156 million in each of the first quarter of 2022 and the final quarter of 2021, compared with $143 million in the year-earlier quarter. During the fourth quarter of 2021,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21"/>
          <w:szCs w:val="21"/>
          <w:color w:val="auto"/>
        </w:rPr>
        <w:t>M&amp;T’s Board of Directors authorized an increase in the quarterly common stock dividend to $1.20 per common share from the previous rate of $1.10 per common share. Cash dividends declared on preferred stock aggregated $22 million in each of the two most recent quarters and $17 million in the first quarter of 2021.</w:t>
      </w:r>
    </w:p>
    <w:p>
      <w:pPr>
        <w:spacing w:after="0" w:line="67" w:lineRule="exact"/>
        <w:rPr>
          <w:sz w:val="20"/>
          <w:szCs w:val="20"/>
          <w:color w:val="auto"/>
        </w:rPr>
      </w:pPr>
    </w:p>
    <w:p>
      <w:pPr>
        <w:jc w:val="both"/>
        <w:ind w:firstLine="562"/>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51" w:lineRule="exact"/>
        <w:rPr>
          <w:sz w:val="20"/>
          <w:szCs w:val="20"/>
          <w:color w:val="auto"/>
        </w:rPr>
      </w:pPr>
    </w:p>
    <w:p>
      <w:pPr>
        <w:ind w:left="740" w:hanging="368"/>
        <w:spacing w:after="0"/>
        <w:tabs>
          <w:tab w:leader="none" w:pos="7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109" w:lineRule="exact"/>
        <w:rPr>
          <w:rFonts w:ascii="Times New Roman" w:cs="Times New Roman" w:eastAsia="Times New Roman" w:hAnsi="Times New Roman"/>
          <w:sz w:val="20"/>
          <w:szCs w:val="20"/>
          <w:color w:val="auto"/>
        </w:rPr>
      </w:pPr>
    </w:p>
    <w:p>
      <w:pPr>
        <w:ind w:left="740" w:hanging="368"/>
        <w:spacing w:after="0" w:line="270" w:lineRule="auto"/>
        <w:tabs>
          <w:tab w:leader="none" w:pos="7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50" w:lineRule="exact"/>
        <w:rPr>
          <w:rFonts w:ascii="Times New Roman" w:cs="Times New Roman" w:eastAsia="Times New Roman" w:hAnsi="Times New Roman"/>
          <w:sz w:val="20"/>
          <w:szCs w:val="20"/>
          <w:color w:val="auto"/>
        </w:rPr>
      </w:pPr>
    </w:p>
    <w:p>
      <w:pPr>
        <w:ind w:left="740" w:right="20" w:hanging="368"/>
        <w:spacing w:after="0" w:line="270" w:lineRule="auto"/>
        <w:tabs>
          <w:tab w:leader="none" w:pos="7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50" w:lineRule="exact"/>
        <w:rPr>
          <w:rFonts w:ascii="Times New Roman" w:cs="Times New Roman" w:eastAsia="Times New Roman" w:hAnsi="Times New Roman"/>
          <w:sz w:val="20"/>
          <w:szCs w:val="20"/>
          <w:color w:val="auto"/>
        </w:rPr>
      </w:pPr>
    </w:p>
    <w:p>
      <w:pPr>
        <w:ind w:left="740" w:hanging="368"/>
        <w:spacing w:after="0" w:line="270" w:lineRule="auto"/>
        <w:tabs>
          <w:tab w:leader="none" w:pos="7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5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21"/>
          <w:szCs w:val="21"/>
          <w:color w:val="auto"/>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capital conservation buffer requirement. The buffer requirement for each entity is currently 2.5% of risk-weighted assets and must be composed entirely of CET1.</w:t>
      </w:r>
    </w:p>
    <w:p>
      <w:pPr>
        <w:spacing w:after="0" w:line="70" w:lineRule="exact"/>
        <w:rPr>
          <w:sz w:val="20"/>
          <w:szCs w:val="20"/>
          <w:color w:val="auto"/>
        </w:rPr>
      </w:pPr>
    </w:p>
    <w:p>
      <w:pPr>
        <w:jc w:val="both"/>
        <w:ind w:firstLine="510"/>
        <w:spacing w:after="0" w:line="247" w:lineRule="auto"/>
        <w:rPr>
          <w:sz w:val="20"/>
          <w:szCs w:val="20"/>
          <w:color w:val="auto"/>
        </w:rPr>
      </w:pPr>
      <w:r>
        <w:rPr>
          <w:rFonts w:ascii="Times New Roman" w:cs="Times New Roman" w:eastAsia="Times New Roman" w:hAnsi="Times New Roman"/>
          <w:sz w:val="21"/>
          <w:szCs w:val="21"/>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through the end of 2021, followed by a three-year transition period. M&amp;T and its subsidiary banks adopted these rules and the impact is reflected in the regulatory capital ratios presented herein.</w:t>
      </w:r>
    </w:p>
    <w:p>
      <w:pPr>
        <w:spacing w:after="0" w:line="75"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March 31, 2022 are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31,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M&amp;T</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73"/>
        </w:trPr>
        <w:tc>
          <w:tcPr>
            <w:tcW w:w="52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Bank</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45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11.66%</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11.99%</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287.95%</w:t>
            </w:r>
          </w:p>
        </w:tc>
        <w:tc>
          <w:tcPr>
            <w:tcW w:w="8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11.99%</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287.95%</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13.73%</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288.34%</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9.36%</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89.67%</w:t>
            </w:r>
          </w:p>
        </w:tc>
        <w:tc>
          <w:tcPr>
            <w:tcW w:w="8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jc w:val="both"/>
        <w:ind w:firstLine="464"/>
        <w:spacing w:after="0" w:line="245"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Company's reportable segments have been determined based upon its internal profitability reporting system, which is organized by strategic business unit. Financial information about the Company's segments is presented 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21"/>
          <w:szCs w:val="21"/>
          <w:color w:val="auto"/>
        </w:rPr>
        <w:t>note 14 of Notes to Financial Statements. The reportable segments are Business Banking, Commercial Banking, Commercial Real Estate, Discretionary Portfolio, Residential Mortgage Banking and Retail Banking.</w:t>
      </w:r>
    </w:p>
    <w:p>
      <w:pPr>
        <w:spacing w:after="0" w:line="51" w:lineRule="exact"/>
        <w:rPr>
          <w:sz w:val="20"/>
          <w:szCs w:val="20"/>
          <w:color w:val="auto"/>
        </w:rPr>
      </w:pPr>
    </w:p>
    <w:p>
      <w:pPr>
        <w:jc w:val="both"/>
        <w:ind w:firstLine="464"/>
        <w:spacing w:after="0" w:line="245" w:lineRule="auto"/>
        <w:rPr>
          <w:sz w:val="20"/>
          <w:szCs w:val="20"/>
          <w:color w:val="auto"/>
        </w:rPr>
      </w:pPr>
      <w:r>
        <w:rPr>
          <w:rFonts w:ascii="Times New Roman" w:cs="Times New Roman" w:eastAsia="Times New Roman" w:hAnsi="Times New Roman"/>
          <w:sz w:val="21"/>
          <w:szCs w:val="21"/>
          <w:color w:val="auto"/>
        </w:rPr>
        <w:t>Net income of the Business Banking segment was $41 million during the quarter ended March 31, 2022, compared with $46 million in the year-earlier quarter and $54 million in the fourth quarter of 2021. As compared with the initial 2021 quarter, the decline included a $21 million decrease in net interest income resulting from lower average outstanding balances of loans of $2.1 billion (reflecting repayments of PPP loans by the Small Business Administration) and a narrowing of the net interest margin of 34 basis points. Partially offsetting that decline were higher merchant discount and credit card fees of $3 million, an increase of $2 million in revenues from service charges on deposit accounts, a $3 million decrease in salaries and employee benefit expenses and a lower provision for credit losses of $2 million. The decrease in net income in the recent quarter as compared with the final quarter of 2021 was predominantly due to lower net interest income of $17 million reflecting a narrowing of the net interest margin on loans of 77 basis points (due in part to lower fees recognized on repaid PPP loans).</w:t>
      </w:r>
    </w:p>
    <w:p>
      <w:pPr>
        <w:spacing w:after="0" w:line="76" w:lineRule="exact"/>
        <w:rPr>
          <w:sz w:val="20"/>
          <w:szCs w:val="20"/>
          <w:color w:val="auto"/>
        </w:rPr>
      </w:pPr>
    </w:p>
    <w:p>
      <w:pPr>
        <w:jc w:val="both"/>
        <w:ind w:firstLine="464"/>
        <w:spacing w:after="0" w:line="243" w:lineRule="auto"/>
        <w:rPr>
          <w:sz w:val="20"/>
          <w:szCs w:val="20"/>
          <w:color w:val="auto"/>
        </w:rPr>
      </w:pPr>
      <w:r>
        <w:rPr>
          <w:rFonts w:ascii="Times New Roman" w:cs="Times New Roman" w:eastAsia="Times New Roman" w:hAnsi="Times New Roman"/>
          <w:sz w:val="21"/>
          <w:szCs w:val="21"/>
          <w:color w:val="auto"/>
        </w:rPr>
        <w:t>The Commercial Banking segment contributed net income of $145 million in the recent quarter, compared with $123 million in the year-earlier quarter and $116 million in the fourth quarter of 2021. The 18% improvement in the first quarter of 2022 as compared with the corresponding quarter of 2021 was primarily the result of a $37 million decrease in the provision for credit losses and a $6 million increase in net interest income. The higher net interest income reflected an increase in the net interest margin on loans of 43 basis points, partially offset by lower average outstanding balances of deposits and loans of $3.6 billion and $2.8 billion, respectively. Partially offsetting those factors were a $5 million decline in letter of credit and other credit-related fees (largely loan syndication fees) and higher centrally-allocated costs associated with data processing, risk management and other support services provided to the Commercial Banking segment of $8 million. As compared with the fourth quarter of 2021, the higher net income in the recent quarter was due to a $38 million decrease in the provision for credit losses and a $4 million increase in net interest income offset, in part, by a $4 million increase in centrally-allocated costs associated with data processing, risk management and other support services provided to the segment, and a $4 million decline in letter of credit and other credit-related fees (largely loan syndication fees). The higher net interest income reflected a widening of the net interest margin on deposits and loans of 5 basis points and 4 basis points, respectively, partially offset by a decrease in average outstanding deposit balances of $1.5 billion.</w:t>
      </w:r>
    </w:p>
    <w:p>
      <w:pPr>
        <w:spacing w:after="0" w:line="89" w:lineRule="exact"/>
        <w:rPr>
          <w:sz w:val="20"/>
          <w:szCs w:val="20"/>
          <w:color w:val="auto"/>
        </w:rPr>
      </w:pPr>
    </w:p>
    <w:p>
      <w:pPr>
        <w:jc w:val="both"/>
        <w:ind w:firstLine="464"/>
        <w:spacing w:after="0" w:line="244" w:lineRule="auto"/>
        <w:rPr>
          <w:sz w:val="20"/>
          <w:szCs w:val="20"/>
          <w:color w:val="auto"/>
        </w:rPr>
      </w:pPr>
      <w:r>
        <w:rPr>
          <w:rFonts w:ascii="Times New Roman" w:cs="Times New Roman" w:eastAsia="Times New Roman" w:hAnsi="Times New Roman"/>
          <w:sz w:val="21"/>
          <w:szCs w:val="21"/>
          <w:color w:val="auto"/>
        </w:rPr>
        <w:t>Net income of the Commercial Real Estate segment was $98 million in the recent quarter, compared with $71 million in the year-earlier quarter and $131 million in 2021’s fourth quarter. The increase in net income in the recent quarter as compared with the initial 2021 quarter reflects a $40 million decrease in the provision for credit losses, partially offset by a $4 million increase in centrally-allocated costs associated with data processing, risk management and other support services provided to the Commercial Real Estate segment, higher personnel-related costs of $2 million, and a $2 million decrease in net interest income. The decline in net interest income was driven by lower average outstanding balances of loans of $2.4 billion, offset by an increase in the average outstanding balances of deposits of $1.4 billion. The decrease in net income in the recent quarter as compared with the final quarter of 2021 resulted from a decrease of $16 million in commercial mortgage banking revenues, reflecting lower origination and servicing income, an increase of $10 million in the provision for credit losses, and a $10 million decline in net interest income, driven by lower average outstanding balances of loans of $1.1 billion and a narrowing of the net interest margin on loans of 7 basis points.</w:t>
      </w:r>
    </w:p>
    <w:p>
      <w:pPr>
        <w:spacing w:after="0" w:line="83" w:lineRule="exact"/>
        <w:rPr>
          <w:sz w:val="20"/>
          <w:szCs w:val="20"/>
          <w:color w:val="auto"/>
        </w:rPr>
      </w:pPr>
    </w:p>
    <w:p>
      <w:pPr>
        <w:jc w:val="both"/>
        <w:ind w:firstLine="464"/>
        <w:spacing w:after="0" w:line="245" w:lineRule="auto"/>
        <w:rPr>
          <w:sz w:val="20"/>
          <w:szCs w:val="20"/>
          <w:color w:val="auto"/>
        </w:rPr>
      </w:pPr>
      <w:r>
        <w:rPr>
          <w:rFonts w:ascii="Times New Roman" w:cs="Times New Roman" w:eastAsia="Times New Roman" w:hAnsi="Times New Roman"/>
          <w:sz w:val="21"/>
          <w:szCs w:val="21"/>
          <w:color w:val="auto"/>
        </w:rPr>
        <w:t>Net income earned by the Discretionary Portfolio segment totaled $35 million during the three-month period ended March 31, 2022, compared with $91 million in the year-earlier period and $45 million in the fourth quarter of 2021. As compared with the first quarter of 2021, the recent quarter’s decline in net income was predominantly due to a $64 million decrease in net interest income that reflected decreased income from interest rate swap agreements utilized as part of the Company’s management of interest rate risk of $44 million. A narrowing of the net interest margin on loans of 137 basis points and a decrease in average outstanding deposit balances also contributed to the lower net interest income. Additionally contributing to the decrease in net income was an $18 million increase in intersegment fees related to the transfer of residential mortgage loans to the Discretionary Portfolio segment from the Residential Mortgage Banking segment. The Company began to retain more originated mortgage loans in portfolio rather than sell such loans late in the third quarter of 2021. The decline in net income in the recent quarter as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21"/>
          <w:szCs w:val="21"/>
          <w:color w:val="auto"/>
        </w:rPr>
        <w:t>compared with the immediately preceding quarter resulted from a decrease of $15 million in net interest income that reflected a 31 basis point narrowing of the net interest margin on loans and a decrease in average outstanding deposit balances of $3.0 billion.</w:t>
      </w:r>
    </w:p>
    <w:p>
      <w:pPr>
        <w:spacing w:after="0" w:line="51" w:lineRule="exact"/>
        <w:rPr>
          <w:sz w:val="20"/>
          <w:szCs w:val="20"/>
          <w:color w:val="auto"/>
        </w:rPr>
      </w:pPr>
    </w:p>
    <w:p>
      <w:pPr>
        <w:jc w:val="both"/>
        <w:ind w:firstLine="464"/>
        <w:spacing w:after="0" w:line="245" w:lineRule="auto"/>
        <w:rPr>
          <w:sz w:val="20"/>
          <w:szCs w:val="20"/>
          <w:color w:val="auto"/>
        </w:rPr>
      </w:pPr>
      <w:r>
        <w:rPr>
          <w:rFonts w:ascii="Times New Roman" w:cs="Times New Roman" w:eastAsia="Times New Roman" w:hAnsi="Times New Roman"/>
          <w:sz w:val="21"/>
          <w:szCs w:val="21"/>
          <w:color w:val="auto"/>
        </w:rPr>
        <w:t>The Residential Mortgage Banking segment contributed net income of $29 million in the recent quarter, compared with $50 million in the year-earlier quarter and $47 million in 2021’s fourth quarter. The lower net income in the recent quarter as compared with the initial 2021 quarter was primarily due to lower revenues of $21 million associated with mortgage origination and sales activities (including intersegment revenues), higher servicing-related costs of $7 million and a $5 million rise in centrally-allocated costs associated with data processing, risk management and other support services provided to the Residential Mortgage Banking segment. Partially offsetting those unfavorable factors were increased revenues associated with servicing and sub-servicing residential real estate loans (including intersegment revenues) of $8 million. As compared with the final quarter of 2021, lower net income in the recent quarter was predominantly due to lower revenues of $16 million associated with mortgage origination and sales activities (including intersegment revenues).</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20"/>
          <w:szCs w:val="20"/>
          <w:color w:val="auto"/>
        </w:rPr>
        <w:t>Net income of the Retail Banking segment totaled $84 million in the first quarter of 2022, $85 million in the year-earlier quarter and $79 million in the fourth quarter of 2021. The decline in net income in the recent quarter as compared with the year-earlier period reflected a $15 million increase in centrally-allocated costs, largely associated with data processing, risk management and other support services provided to the Retail Banking segment, partially offset by higher service charges on deposit accounts of $5 million, an increase in net interest income of $3 million, and a $3 million decrease in the provision for credit losses. The increase in net interest income was due to a rise in average outstanding loan and deposit balances of $1.4 billion and $3.5 billion, respectively, partially offset by a narrowing of the net interest margin on loans and deposits of 13 basis points and 12 basis points, respectively. The Retail Banking segment’s net income was higher in the recent quarter as compared with the preceding quarter predominantly due to $4 million declines in both centrally-allocated expenses associated with support services provided to the Retail Banking segment and advertising and marketing expenses. Those favorable factors were offset, in part, by a decrease in service charges on deposit accounts.</w:t>
      </w:r>
    </w:p>
    <w:p>
      <w:pPr>
        <w:spacing w:after="0" w:line="66" w:lineRule="exact"/>
        <w:rPr>
          <w:sz w:val="20"/>
          <w:szCs w:val="20"/>
          <w:color w:val="auto"/>
        </w:rPr>
      </w:pPr>
    </w:p>
    <w:p>
      <w:pPr>
        <w:jc w:val="both"/>
        <w:ind w:firstLine="464"/>
        <w:spacing w:after="0" w:line="244"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 from the acquisitions of financial institutions, merger-related expenses related to acquisitions (when incurred)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$70 million for the quarter ended March 31, 2022, $18 million in the year-earlier quarter and $12 million in the fourth quarter of 2021. The net loss in the first quarter of 2022 as compared with the year-earlier quarter reflected an increase in the provision for credit losses of $118 million, partially offset by a $30 million distribution received from BLG (included in other revenues from operations) and lower defined benefit pension-related expenses (included in other costs of operations). As compared with the immediately preceding quarter, the higher net loss in the recent quarter reflected an increase in the provision for credit losses of $56 million and higher seasonal personnel-related costs, partially offset by the reduced defined benefit pension-related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discussion of recent accounting developments is included in note 16 of Notes to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Any statement that does not describe historical or current facts is a forward-looking statement, including statements that are based on current expectations, estimates and projections about the Company’s business, management’s beliefs and assumptions made by management.</w:t>
      </w:r>
    </w:p>
    <w:p>
      <w:pPr>
        <w:spacing w:after="0" w:line="70" w:lineRule="exact"/>
        <w:rPr>
          <w:sz w:val="20"/>
          <w:szCs w:val="20"/>
          <w:color w:val="auto"/>
        </w:rPr>
      </w:pPr>
    </w:p>
    <w:p>
      <w:pPr>
        <w:jc w:val="both"/>
        <w:ind w:firstLine="468"/>
        <w:spacing w:after="0" w:line="248" w:lineRule="auto"/>
        <w:rPr>
          <w:sz w:val="20"/>
          <w:szCs w:val="20"/>
          <w:color w:val="auto"/>
        </w:rPr>
      </w:pPr>
      <w:r>
        <w:rPr>
          <w:rFonts w:ascii="Times New Roman" w:cs="Times New Roman" w:eastAsia="Times New Roman" w:hAnsi="Times New Roman"/>
          <w:sz w:val="21"/>
          <w:szCs w:val="21"/>
          <w:color w:val="auto"/>
        </w:rPr>
        <w:t>Statements regarding the potential effects of the war in Ukraine, the COVID-19 pandemic and other notable national and global current events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75" w:lineRule="exact"/>
        <w:rPr>
          <w:sz w:val="20"/>
          <w:szCs w:val="20"/>
          <w:color w:val="auto"/>
        </w:rPr>
      </w:pPr>
    </w:p>
    <w:p>
      <w:pPr>
        <w:jc w:val="both"/>
        <w:ind w:firstLine="468"/>
        <w:spacing w:after="0" w:line="246" w:lineRule="auto"/>
        <w:rPr>
          <w:sz w:val="20"/>
          <w:szCs w:val="20"/>
          <w:color w:val="auto"/>
        </w:rPr>
      </w:pPr>
      <w:r>
        <w:rPr>
          <w:rFonts w:ascii="Times New Roman" w:cs="Times New Roman" w:eastAsia="Times New Roman" w:hAnsi="Times New Roman"/>
          <w:sz w:val="21"/>
          <w:szCs w:val="21"/>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Also as described further below, statements regarding M&amp;T's expectations or predictions regarding the acquisition of People's United are forward-looking statements, including statements regarding the expected financial results, prospects, targets, goals and outlook.</w:t>
      </w:r>
    </w:p>
    <w:p>
      <w:pPr>
        <w:spacing w:after="0" w:line="76" w:lineRule="exact"/>
        <w:rPr>
          <w:sz w:val="20"/>
          <w:szCs w:val="20"/>
          <w:color w:val="auto"/>
        </w:rPr>
      </w:pPr>
    </w:p>
    <w:p>
      <w:pPr>
        <w:jc w:val="both"/>
        <w:ind w:firstLine="468"/>
        <w:spacing w:after="0" w:line="243" w:lineRule="auto"/>
        <w:rPr>
          <w:sz w:val="20"/>
          <w:szCs w:val="20"/>
          <w:color w:val="auto"/>
        </w:rPr>
      </w:pPr>
      <w:r>
        <w:rPr>
          <w:rFonts w:ascii="Times New Roman" w:cs="Times New Roman" w:eastAsia="Times New Roman" w:hAnsi="Times New Roman"/>
          <w:sz w:val="21"/>
          <w:szCs w:val="21"/>
          <w:color w:val="auto"/>
        </w:rPr>
        <w:t>Future Factors include the impact of the People's United transaction (as described in the next paragraph); the impact of the war in Ukraine; the impact of the COVID-19 pandemic; economic conditions including inflation;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regulations affecting the financial services industry and/or M&amp;T and its subsidiaries individually or collectively, including tax legislation or regulation; regulatory supervision and oversight, including monetary policy and capital requirements; governmental and public policy changes;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3" w:lineRule="exact"/>
        <w:rPr>
          <w:sz w:val="20"/>
          <w:szCs w:val="20"/>
          <w:color w:val="auto"/>
        </w:rPr>
      </w:pPr>
    </w:p>
    <w:p>
      <w:pPr>
        <w:jc w:val="both"/>
        <w:ind w:firstLine="468"/>
        <w:spacing w:after="0" w:line="245" w:lineRule="auto"/>
        <w:rPr>
          <w:sz w:val="20"/>
          <w:szCs w:val="20"/>
          <w:color w:val="auto"/>
        </w:rPr>
      </w:pPr>
      <w:r>
        <w:rPr>
          <w:rFonts w:ascii="Times New Roman" w:cs="Times New Roman" w:eastAsia="Times New Roman" w:hAnsi="Times New Roman"/>
          <w:sz w:val="21"/>
          <w:szCs w:val="21"/>
          <w:color w:val="auto"/>
        </w:rPr>
        <w:t>In addition, Future Factors related to the acquisition of People's United include, among others: the outcome of any legal proceedings that may be instituted against M&amp;T or its subsidiaries; the possibility that the anticipated benefits of the transaction will not be realized when expected or at all, including as a result of the impact of, or problems arising from, the integration of the two companies or as a result of the strength of the economy and competitive factors in the areas where the Company does business;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the Company's success in executing its business plans and strategies and managing the risks involved in the foregoing; the business, economic and political conditions in the markets in which the Company operates; and other factors that may affect future results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ind w:firstLine="468"/>
        <w:spacing w:after="0" w:line="246" w:lineRule="auto"/>
        <w:rPr>
          <w:sz w:val="20"/>
          <w:szCs w:val="20"/>
          <w:color w:val="auto"/>
        </w:rPr>
      </w:pPr>
      <w:r>
        <w:rPr>
          <w:rFonts w:ascii="Times New Roman" w:cs="Times New Roman" w:eastAsia="Times New Roman" w:hAnsi="Times New Roman"/>
          <w:sz w:val="21"/>
          <w:szCs w:val="21"/>
          <w:color w:val="auto"/>
        </w:rPr>
        <w:t>Future Factors related to the acquisition also include risks, such as, among others: that there could be an adverse effect on the Company's ability to retain customers and retain or hire key personnel and maintain relationships with customers; that integration efforts may be more difficult or time-consuming than anticipated, including in areas such as sales force, cost containment, asset realization, systems integration and other key strategies; that profitability following the combination may be lower than expected including for possible reasons such as lower than expected revenues or higher or unexpected costs, charges or expenses resulting from the transaction; unforeseen risks relating to liabilities of the Company or People's United that may exist; and other factors that may affect future results of the Company.</w:t>
      </w:r>
    </w:p>
    <w:p>
      <w:pPr>
        <w:spacing w:after="0" w:line="76" w:lineRule="exact"/>
        <w:rPr>
          <w:sz w:val="20"/>
          <w:szCs w:val="20"/>
          <w:color w:val="auto"/>
        </w:rPr>
      </w:pPr>
    </w:p>
    <w:p>
      <w:pPr>
        <w:jc w:val="both"/>
        <w:ind w:firstLine="468"/>
        <w:spacing w:after="0" w:line="251"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70"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21"/>
          <w:szCs w:val="21"/>
          <w:color w:val="auto"/>
        </w:rPr>
        <w:t>M&amp;T provides further detail regarding these risks, uncertainties and other factors elsewhere in this quarterly report and in other public filings, including the risk factors described in Form 10-K for the year ended December 31, 2021. Forward-looking statements speak only as of the date made, and M&amp;T does not assume any duty, and does not undertake, to update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Table 1</w:t>
      </w:r>
    </w:p>
    <w:p>
      <w:pPr>
        <w:spacing w:after="0"/>
        <w:rPr>
          <w:sz w:val="20"/>
          <w:szCs w:val="20"/>
          <w:color w:val="auto"/>
        </w:rPr>
      </w:pPr>
      <w:r>
        <w:rPr>
          <w:rFonts w:ascii="Times New Roman" w:cs="Times New Roman" w:eastAsia="Times New Roman" w:hAnsi="Times New Roman"/>
          <w:sz w:val="20"/>
          <w:szCs w:val="20"/>
          <w:color w:val="auto"/>
        </w:rPr>
        <w:t>QUARTERLY TRENDS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2021 Quarters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4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4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First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6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931,490</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962,081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996,649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974,090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1,020,695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24,082</w:t>
            </w:r>
          </w:p>
        </w:tc>
        <w:tc>
          <w:tcPr>
            <w:tcW w:w="3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24,725</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25,696</w:t>
            </w: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28,018</w:t>
            </w: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35,567</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907,408</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937,356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970,953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946,072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985,128</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3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(15,000)</w:t>
            </w:r>
          </w:p>
        </w:tc>
        <w:tc>
          <w:tcPr>
            <w:tcW w:w="26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(20,000)</w:t>
            </w:r>
          </w:p>
        </w:tc>
        <w:tc>
          <w:tcPr>
            <w:tcW w:w="24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(15,000)</w:t>
            </w:r>
          </w:p>
        </w:tc>
        <w:tc>
          <w:tcPr>
            <w:tcW w:w="24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540,887</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578,637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569,126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513,633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505,598</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Less: other expense</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959,741</w:t>
            </w:r>
          </w:p>
        </w:tc>
        <w:tc>
          <w:tcPr>
            <w:tcW w:w="3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927,500</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899,334</w:t>
            </w: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865,345</w:t>
            </w: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919,444</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Income before income taxes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478,554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603,493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660,745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609,360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596,282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Applicable income taxes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113,146</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141,962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161,582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340" w:type="dxa"/>
            <w:vAlign w:val="bottom"/>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362,174</w:t>
            </w:r>
          </w:p>
        </w:tc>
        <w:tc>
          <w:tcPr>
            <w:tcW w:w="3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457,968</w:t>
            </w: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495,460</w:t>
            </w: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458,069</w:t>
            </w: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447,249</w:t>
            </w: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339,590</w:t>
            </w: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434,171</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475,961</w:t>
            </w: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438,759</w:t>
            </w: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428,093</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Per common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 earnings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 earnings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dividends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128,945</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128,698</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128,689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128,671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129,416</w:t>
            </w:r>
          </w:p>
        </w:tc>
        <w:tc>
          <w:tcPr>
            <w:tcW w:w="34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128,888</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128,844</w:t>
            </w: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128,842</w:t>
            </w: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128,669</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Return 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80" w:type="dxa"/>
            <w:vAlign w:val="bottom"/>
          </w:tcPr>
          <w:p>
            <w:pPr>
              <w:spacing w:after="0"/>
              <w:rPr>
                <w:sz w:val="12"/>
                <w:szCs w:val="12"/>
                <w:color w:val="auto"/>
              </w:rPr>
            </w:pPr>
          </w:p>
        </w:tc>
        <w:tc>
          <w:tcPr>
            <w:tcW w:w="2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80" w:type="dxa"/>
            <w:vAlign w:val="bottom"/>
          </w:tcPr>
          <w:p>
            <w:pPr>
              <w:spacing w:after="0"/>
              <w:rPr>
                <w:sz w:val="12"/>
                <w:szCs w:val="12"/>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56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Net interest margin on average earning assets</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(taxable-equivalent basis)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55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Nonaccrual loans to total loans and leases, net of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unearned discount</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34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Net operating income (in thousands)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375,999</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475,477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457,372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Annualized return 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80" w:type="dxa"/>
            <w:vAlign w:val="bottom"/>
          </w:tcPr>
          <w:p>
            <w:pPr>
              <w:spacing w:after="0"/>
              <w:rPr>
                <w:sz w:val="12"/>
                <w:szCs w:val="12"/>
                <w:color w:val="auto"/>
              </w:rPr>
            </w:pPr>
          </w:p>
        </w:tc>
        <w:tc>
          <w:tcPr>
            <w:tcW w:w="2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80" w:type="dxa"/>
            <w:vAlign w:val="bottom"/>
          </w:tcPr>
          <w:p>
            <w:pPr>
              <w:spacing w:after="0"/>
              <w:rPr>
                <w:sz w:val="12"/>
                <w:szCs w:val="12"/>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Efficiency ratio (b)</w:t>
            </w: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Average balances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151,648</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157,722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154,037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150,641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148,157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147,053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153,125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149,439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138,624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144,420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140,420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136,951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134,355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92,159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93,250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95,314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98,610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99,356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128,055</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134,444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131,255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15,614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15,321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At end of quarter</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149,864</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155,107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151,901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145,269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150,511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147,304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146,023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145,879</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137,237</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141,990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138,257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6,448</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91,808</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93,583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99,299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126,319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131,543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128,701</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128,269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128,476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16,126</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11,182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10,595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per common share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25400</wp:posOffset>
            </wp:positionV>
            <wp:extent cx="1543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4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7" w:lineRule="exact"/>
        <w:rPr>
          <w:rFonts w:ascii="Times New Roman" w:cs="Times New Roman" w:eastAsia="Times New Roman" w:hAnsi="Times New Roman"/>
          <w:sz w:val="13"/>
          <w:szCs w:val="13"/>
          <w:i w:val="1"/>
          <w:iCs w:val="1"/>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2</w:t>
            </w:r>
          </w:p>
        </w:tc>
        <w:tc>
          <w:tcPr>
            <w:tcW w:w="0" w:type="dxa"/>
            <w:vAlign w:val="bottom"/>
          </w:tcPr>
          <w:p>
            <w:pPr>
              <w:spacing w:after="0"/>
              <w:rPr>
                <w:sz w:val="1"/>
                <w:szCs w:val="1"/>
                <w:color w:val="auto"/>
              </w:rPr>
            </w:pPr>
          </w:p>
        </w:tc>
      </w:tr>
      <w:tr>
        <w:trPr>
          <w:trHeight w:val="313"/>
        </w:trPr>
        <w:tc>
          <w:tcPr>
            <w:tcW w:w="626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7"/>
              </w:rPr>
              <w:t>RECONCILIATION OF QUARTERLY GAAP TO NON-GAAP MEASURES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rPr>
              <w:t>2021 Quarters</w:t>
            </w: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4"/>
              </w:rPr>
              <w:t>Fourth</w:t>
            </w:r>
          </w:p>
        </w:tc>
        <w:tc>
          <w:tcPr>
            <w:tcW w:w="1660" w:type="dxa"/>
            <w:vAlign w:val="bottom"/>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Third</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Second</w:t>
            </w:r>
          </w:p>
        </w:tc>
        <w:tc>
          <w:tcPr>
            <w:tcW w:w="1200" w:type="dxa"/>
            <w:vAlign w:val="bottom"/>
            <w:gridSpan w:val="2"/>
          </w:tcPr>
          <w:p>
            <w:pPr>
              <w:jc w:val="right"/>
              <w:ind w:right="477"/>
              <w:spacing w:after="0"/>
              <w:rPr>
                <w:sz w:val="20"/>
                <w:szCs w:val="20"/>
                <w:color w:val="auto"/>
              </w:rPr>
            </w:pPr>
            <w:r>
              <w:rPr>
                <w:rFonts w:ascii="Times New Roman" w:cs="Times New Roman" w:eastAsia="Times New Roman" w:hAnsi="Times New Roman"/>
                <w:sz w:val="12"/>
                <w:szCs w:val="12"/>
                <w:b w:val="1"/>
                <w:bCs w:val="1"/>
                <w:color w:val="auto"/>
              </w:rPr>
              <w:t>First</w:t>
            </w:r>
          </w:p>
        </w:tc>
        <w:tc>
          <w:tcPr>
            <w:tcW w:w="0" w:type="dxa"/>
            <w:vAlign w:val="bottom"/>
          </w:tcPr>
          <w:p>
            <w:pPr>
              <w:spacing w:after="0"/>
              <w:rPr>
                <w:sz w:val="1"/>
                <w:szCs w:val="1"/>
                <w:color w:val="auto"/>
              </w:rPr>
            </w:pPr>
          </w:p>
        </w:tc>
      </w:tr>
      <w:tr>
        <w:trPr>
          <w:trHeight w:val="132"/>
        </w:trPr>
        <w:tc>
          <w:tcPr>
            <w:tcW w:w="3280" w:type="dxa"/>
            <w:vAlign w:val="bottom"/>
            <w:tcBorders>
              <w:top w:val="single" w:sz="8" w:color="CFF0FC"/>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Income statement data (in thousands,</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color w:val="auto"/>
              </w:rPr>
              <w:t>except per share)</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362,174</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457,968</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495,460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458,069</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447,249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core deposit and other</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intangible assets (a)</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Merger-related expenses (a)</w:t>
            </w:r>
          </w:p>
        </w:tc>
        <w:tc>
          <w:tcPr>
            <w:tcW w:w="1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12,892</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16,062</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6,542</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2,867</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8,089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operating income</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375,999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475,477</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504,030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462,959</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457,372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core deposit and other</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intangible assets (a)</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Merger-related expenses (a)</w:t>
            </w:r>
          </w:p>
        </w:tc>
        <w:tc>
          <w:tcPr>
            <w:tcW w:w="1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80" w:type="dxa"/>
            <w:vAlign w:val="bottom"/>
            <w:shd w:val="clear" w:color="auto" w:fill="CFF0FC"/>
          </w:tcPr>
          <w:p>
            <w:pPr>
              <w:ind w:left="260"/>
              <w:spacing w:after="0" w:line="134" w:lineRule="exact"/>
              <w:rPr>
                <w:sz w:val="20"/>
                <w:szCs w:val="20"/>
                <w:color w:val="auto"/>
              </w:rPr>
            </w:pPr>
            <w:r>
              <w:rPr>
                <w:rFonts w:ascii="Times New Roman" w:cs="Times New Roman" w:eastAsia="Times New Roman" w:hAnsi="Times New Roman"/>
                <w:sz w:val="12"/>
                <w:szCs w:val="12"/>
                <w:color w:val="auto"/>
              </w:rPr>
              <w:t>Diluted net operating earnings per</w:t>
            </w: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common share</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Other expense</w:t>
            </w:r>
          </w:p>
        </w:tc>
        <w:tc>
          <w:tcPr>
            <w:tcW w:w="1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expense</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959,741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927,500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899,334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865,345</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919,444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core deposit and other</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2"/>
                <w:szCs w:val="12"/>
                <w:color w:val="auto"/>
              </w:rPr>
              <w:t>(2,738 )</w:t>
            </w:r>
          </w:p>
        </w:tc>
        <w:tc>
          <w:tcPr>
            <w:tcW w:w="0" w:type="dxa"/>
            <w:vAlign w:val="bottom"/>
          </w:tcPr>
          <w:p>
            <w:pPr>
              <w:spacing w:after="0"/>
              <w:rPr>
                <w:sz w:val="1"/>
                <w:szCs w:val="1"/>
                <w:color w:val="auto"/>
              </w:rPr>
            </w:pPr>
          </w:p>
        </w:tc>
      </w:tr>
      <w:tr>
        <w:trPr>
          <w:trHeight w:val="143"/>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intangible assets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(1,256)</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(1,954)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(2,738)</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(2,737)</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Merger-related expenses</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(17,372)</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(21,190)</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(8,826)</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(3,893)</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(9,951 )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Noninterest operating expense</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941,113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904,356</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887,770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858,715</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906,755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Merger-related expenses</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300" w:type="dxa"/>
            <w:vAlign w:val="bottom"/>
          </w:tcPr>
          <w:p>
            <w:pPr>
              <w:spacing w:after="0"/>
              <w:rPr>
                <w:sz w:val="12"/>
                <w:szCs w:val="12"/>
                <w:color w:val="auto"/>
              </w:rPr>
            </w:pPr>
          </w:p>
        </w:tc>
        <w:tc>
          <w:tcPr>
            <w:tcW w:w="1200" w:type="dxa"/>
            <w:vAlign w:val="bottom"/>
            <w:gridSpan w:val="2"/>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1,807</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300" w:type="dxa"/>
            <w:vAlign w:val="bottom"/>
          </w:tcPr>
          <w:p>
            <w:pPr>
              <w:spacing w:after="0"/>
              <w:rPr>
                <w:sz w:val="12"/>
                <w:szCs w:val="12"/>
                <w:color w:val="auto"/>
              </w:rPr>
            </w:pPr>
          </w:p>
        </w:tc>
        <w:tc>
          <w:tcPr>
            <w:tcW w:w="1200" w:type="dxa"/>
            <w:vAlign w:val="bottom"/>
            <w:gridSpan w:val="2"/>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Advertising and marketing</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Printing, postage and supplies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2,049</w:t>
            </w:r>
          </w:p>
        </w:tc>
        <w:tc>
          <w:tcPr>
            <w:tcW w:w="300" w:type="dxa"/>
            <w:vAlign w:val="bottom"/>
          </w:tcPr>
          <w:p>
            <w:pPr>
              <w:spacing w:after="0"/>
              <w:rPr>
                <w:sz w:val="12"/>
                <w:szCs w:val="12"/>
                <w:color w:val="auto"/>
              </w:rPr>
            </w:pPr>
          </w:p>
        </w:tc>
        <w:tc>
          <w:tcPr>
            <w:tcW w:w="1200" w:type="dxa"/>
            <w:vAlign w:val="bottom"/>
            <w:gridSpan w:val="2"/>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costs of operations</w:t>
            </w:r>
          </w:p>
        </w:tc>
        <w:tc>
          <w:tcPr>
            <w:tcW w:w="1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13,876</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19,965</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6,905</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Other expense</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21,190</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3,893</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Efficiency ratio</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Noninterest operating expense (numerator)</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941,113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904,356</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887,770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858,715</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906,755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Taxable-equivalent net interest income</w:t>
            </w:r>
          </w:p>
        </w:tc>
        <w:tc>
          <w:tcPr>
            <w:tcW w:w="13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907,408</w:t>
            </w: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937,356</w:t>
            </w: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970,953</w:t>
            </w: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946,072</w:t>
            </w: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985,128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540,887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578,637</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569,126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513,633</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505,598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Gain (loss) on bank investment</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(12,282 )</w:t>
            </w: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securities</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(743)</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1,426</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(10,655)</w:t>
            </w:r>
          </w:p>
        </w:tc>
        <w:tc>
          <w:tcPr>
            <w:tcW w:w="12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Denominator</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1,449,038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1,514,567</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1,539,788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1,470,360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29"/>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Efficiency ratio</w:t>
            </w: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2"/>
                <w:szCs w:val="12"/>
                <w:color w:val="auto"/>
              </w:rPr>
              <w:t>64.9%</w:t>
            </w:r>
          </w:p>
        </w:tc>
        <w:tc>
          <w:tcPr>
            <w:tcW w:w="3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2"/>
                <w:szCs w:val="12"/>
                <w:color w:val="auto"/>
              </w:rPr>
              <w:t>59.7%</w:t>
            </w:r>
          </w:p>
        </w:tc>
        <w:tc>
          <w:tcPr>
            <w:tcW w:w="138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2"/>
                <w:szCs w:val="12"/>
                <w:color w:val="auto"/>
              </w:rPr>
              <w:t>57.7%</w:t>
            </w:r>
          </w:p>
        </w:tc>
        <w:tc>
          <w:tcPr>
            <w:tcW w:w="2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2"/>
                <w:szCs w:val="12"/>
                <w:color w:val="auto"/>
              </w:rPr>
              <w:t>58.4%</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60.3</w:t>
            </w:r>
          </w:p>
        </w:tc>
        <w:tc>
          <w:tcPr>
            <w:tcW w:w="1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sheet data (in millions)</w:t>
            </w:r>
          </w:p>
        </w:tc>
        <w:tc>
          <w:tcPr>
            <w:tcW w:w="1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Average assets</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Average assets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151,648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157,722</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154,037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150,641</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148,157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(4,593 )</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w:t>
            </w:r>
          </w:p>
        </w:tc>
        <w:tc>
          <w:tcPr>
            <w:tcW w:w="12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Average tangible assets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147,053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153,125</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149,439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146,041</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Average common equity</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Average total equity</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17,894</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17,613</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17,109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16,571</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(1,750)</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(1,750)</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(1,495)</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(1,250)</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(1,250 )</w:t>
            </w:r>
          </w:p>
        </w:tc>
        <w:tc>
          <w:tcPr>
            <w:tcW w:w="0" w:type="dxa"/>
            <w:vAlign w:val="bottom"/>
          </w:tcPr>
          <w:p>
            <w:pPr>
              <w:spacing w:after="0"/>
              <w:rPr>
                <w:sz w:val="1"/>
                <w:szCs w:val="1"/>
                <w:color w:val="auto"/>
              </w:rPr>
            </w:pPr>
          </w:p>
        </w:tc>
      </w:tr>
      <w:tr>
        <w:trPr>
          <w:trHeight w:val="14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Average common equity</w:t>
            </w: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16,144</w:t>
            </w: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15,863</w:t>
            </w:r>
          </w:p>
        </w:tc>
        <w:tc>
          <w:tcPr>
            <w:tcW w:w="30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15,321</w:t>
            </w:r>
          </w:p>
        </w:tc>
        <w:tc>
          <w:tcPr>
            <w:tcW w:w="300" w:type="dxa"/>
            <w:vAlign w:val="bottom"/>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(4,593 )</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w:t>
            </w:r>
          </w:p>
        </w:tc>
        <w:tc>
          <w:tcPr>
            <w:tcW w:w="12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Average tangible common equity</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11,266</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10,721</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At end of quarter</w:t>
            </w:r>
          </w:p>
        </w:tc>
        <w:tc>
          <w:tcPr>
            <w:tcW w:w="1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149,864</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155,107</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151,901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150,623</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150,481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2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(4,593 )</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(6)</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(12 )</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Total tangible assets</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145,269</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150,511</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147,304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146,023</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145,879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 common equity</w:t>
            </w:r>
          </w:p>
        </w:tc>
        <w:tc>
          <w:tcPr>
            <w:tcW w:w="1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equity</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17,876</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17,903</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17,529</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16,720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(1,750)</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(1,750)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(1,750)</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(1,250)</w:t>
            </w:r>
          </w:p>
        </w:tc>
        <w:tc>
          <w:tcPr>
            <w:tcW w:w="12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(1,250 )</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Common equity</w:t>
            </w:r>
          </w:p>
        </w:tc>
        <w:tc>
          <w:tcPr>
            <w:tcW w:w="1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16,126</w:t>
            </w: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16,153</w:t>
            </w:r>
          </w:p>
        </w:tc>
        <w:tc>
          <w:tcPr>
            <w:tcW w:w="3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15,779</w:t>
            </w: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15,470</w:t>
            </w:r>
          </w:p>
        </w:tc>
        <w:tc>
          <w:tcPr>
            <w:tcW w:w="3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15,197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3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2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(4,593)</w:t>
            </w:r>
          </w:p>
        </w:tc>
        <w:tc>
          <w:tcPr>
            <w:tcW w:w="12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(4,593 )</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(6)</w:t>
            </w: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w:t>
            </w:r>
          </w:p>
        </w:tc>
        <w:tc>
          <w:tcPr>
            <w:tcW w:w="1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2"/>
                <w:szCs w:val="12"/>
                <w:color w:val="auto"/>
              </w:rPr>
              <w:t>(12 )</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Total tangible common equity</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11,531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11,557</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11,182</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10,870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543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1"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After any related tax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3</w:t>
            </w:r>
          </w:p>
        </w:tc>
        <w:tc>
          <w:tcPr>
            <w:tcW w:w="0" w:type="dxa"/>
            <w:vAlign w:val="bottom"/>
          </w:tcPr>
          <w:p>
            <w:pPr>
              <w:spacing w:after="0"/>
              <w:rPr>
                <w:sz w:val="1"/>
                <w:szCs w:val="1"/>
                <w:color w:val="auto"/>
              </w:rPr>
            </w:pPr>
          </w:p>
        </w:tc>
      </w:tr>
      <w:tr>
        <w:trPr>
          <w:trHeight w:val="316"/>
        </w:trPr>
        <w:tc>
          <w:tcPr>
            <w:tcW w:w="766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2022 First Quarter</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2021 Fourth Quarter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2021 Third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7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00" w:type="dxa"/>
            <w:vAlign w:val="bottom"/>
            <w:gridSpan w:val="3"/>
            <w:vMerge w:val="continue"/>
          </w:tcPr>
          <w:p>
            <w:pPr>
              <w:spacing w:after="0"/>
              <w:rPr>
                <w:sz w:val="15"/>
                <w:szCs w:val="15"/>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20" w:type="dxa"/>
            <w:vAlign w:val="bottom"/>
            <w:gridSpan w:val="3"/>
            <w:vMerge w:val="continue"/>
          </w:tcPr>
          <w:p>
            <w:pPr>
              <w:spacing w:after="0"/>
              <w:rPr>
                <w:sz w:val="15"/>
                <w:szCs w:val="15"/>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discount (a)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$ 207,715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$ 205,491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$ 236,820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364,795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141,001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143,675</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17,913</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873,833</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93,250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908,580</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95,314</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948,124</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32,516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subdivisions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39,183</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36,315</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33,258</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138,624</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931,490</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144,420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962,081</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140,420</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996,649</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151,648</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157,722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154,037</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69,914</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73,432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73,412</w:t>
            </w:r>
          </w:p>
        </w:tc>
        <w:tc>
          <w:tcPr>
            <w:tcW w:w="22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20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24,725</w:t>
            </w:r>
          </w:p>
        </w:tc>
        <w:tc>
          <w:tcPr>
            <w:tcW w:w="220" w:type="dxa"/>
            <w:vAlign w:val="bottom"/>
            <w:tcBorders>
              <w:bottom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77,559</w:t>
            </w:r>
          </w:p>
        </w:tc>
        <w:tc>
          <w:tcPr>
            <w:tcW w:w="22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25,696</w:t>
            </w:r>
          </w:p>
        </w:tc>
        <w:tc>
          <w:tcPr>
            <w:tcW w:w="200" w:type="dxa"/>
            <w:vAlign w:val="bottom"/>
            <w:tcBorders>
              <w:bottom w:val="single" w:sz="8" w:color="CFF0FC"/>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58,141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57,218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133,754</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140,109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136,928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6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151,648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157,722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154,037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income/margin 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earning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$ 907,408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$ 937,356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$ 970,953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15430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2"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 BALANCE SHEETS AND ANNUALIZED TAXABLE-EQUIVALENT RATES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2021 Second Quarter</w:t>
            </w: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2021 First Quarter</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 assets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 net of unearned</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discount (a)</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financial, etc.</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219,686</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27,723</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240,961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 commercial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371,050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37,609</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391,094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Real estate – consumer</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150,704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17,404</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154,219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189,254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190,038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98,610</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930,694</w:t>
            </w: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99,356</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976,312</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funds sold and agreements</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resell securities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Trading account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(b)</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31,621</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34,094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34,469</w:t>
            </w: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37,129</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136,951</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974,090</w:t>
            </w:r>
          </w:p>
        </w:tc>
        <w:tc>
          <w:tcPr>
            <w:tcW w:w="3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134,355</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1,020,695</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150,641</w:t>
            </w:r>
          </w:p>
        </w:tc>
        <w:tc>
          <w:tcPr>
            <w:tcW w:w="30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148,157</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8,052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 at Cayman Islands office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74,969</w:t>
            </w: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74,873</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78,459</w:t>
            </w:r>
          </w:p>
        </w:tc>
        <w:tc>
          <w:tcPr>
            <w:tcW w:w="30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28,018</w:t>
            </w:r>
          </w:p>
        </w:tc>
        <w:tc>
          <w:tcPr>
            <w:tcW w:w="32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78,786</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35,567</w:t>
            </w:r>
          </w:p>
        </w:tc>
        <w:tc>
          <w:tcPr>
            <w:tcW w:w="32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53,444</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134,070</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16,327</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150,641</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148,157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946,072</w:t>
            </w:r>
          </w:p>
        </w:tc>
        <w:tc>
          <w:tcPr>
            <w:tcW w:w="3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985,128</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163195</wp:posOffset>
            </wp:positionV>
            <wp:extent cx="1543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57"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110" w:lineRule="exact"/>
        <w:rPr>
          <w:sz w:val="20"/>
          <w:szCs w:val="20"/>
          <w:color w:val="auto"/>
        </w:rPr>
      </w:pPr>
    </w:p>
    <w:p>
      <w:pPr>
        <w:ind w:firstLine="468"/>
        <w:spacing w:after="0" w:line="270"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8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110" w:lineRule="exact"/>
        <w:rPr>
          <w:sz w:val="20"/>
          <w:szCs w:val="20"/>
          <w:color w:val="auto"/>
        </w:rPr>
      </w:pPr>
    </w:p>
    <w:p>
      <w:pPr>
        <w:jc w:val="both"/>
        <w:ind w:firstLine="476"/>
        <w:spacing w:after="0" w:line="251" w:lineRule="auto"/>
        <w:tabs>
          <w:tab w:leader="none" w:pos="78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Senior Executive Vice President and Chief Financial Officer, concluded that M&amp;T’s disclosure controls and procedures were effective as of March 31, 2022.</w:t>
      </w:r>
    </w:p>
    <w:p>
      <w:pPr>
        <w:spacing w:after="0" w:line="204" w:lineRule="exact"/>
        <w:rPr>
          <w:rFonts w:ascii="Times New Roman" w:cs="Times New Roman" w:eastAsia="Times New Roman" w:hAnsi="Times New Roman"/>
          <w:sz w:val="21"/>
          <w:szCs w:val="21"/>
          <w:color w:val="auto"/>
        </w:rPr>
      </w:pPr>
    </w:p>
    <w:p>
      <w:pPr>
        <w:jc w:val="both"/>
        <w:ind w:firstLine="476"/>
        <w:spacing w:after="0" w:line="248" w:lineRule="auto"/>
        <w:tabs>
          <w:tab w:leader="none" w:pos="80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2022 that have materially affected, or are reasonably likely to materially affect, M&amp;T’s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10"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at March 31,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2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1A.</w:t>
      </w:r>
      <w:r>
        <w:rPr>
          <w:sz w:val="20"/>
          <w:szCs w:val="20"/>
          <w:color w:val="auto"/>
        </w:rPr>
        <w:tab/>
      </w:r>
      <w:r>
        <w:rPr>
          <w:rFonts w:ascii="Times New Roman" w:cs="Times New Roman" w:eastAsia="Times New Roman" w:hAnsi="Times New Roman"/>
          <w:sz w:val="20"/>
          <w:szCs w:val="20"/>
          <w:color w:val="auto"/>
        </w:rPr>
        <w:t>Risk Factors.</w:t>
      </w:r>
    </w:p>
    <w:p>
      <w:pPr>
        <w:spacing w:after="0" w:line="110" w:lineRule="exact"/>
        <w:rPr>
          <w:sz w:val="20"/>
          <w:szCs w:val="20"/>
          <w:color w:val="auto"/>
        </w:rPr>
      </w:pPr>
    </w:p>
    <w:p>
      <w:pPr>
        <w:jc w:val="both"/>
        <w:ind w:firstLine="562"/>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Item 1A. to Part I of Form 10-K for the year ended December 31, 2021.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7" w:name="page78"/>
    <w:bookmarkEnd w:id="77"/>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ectPr>
          <w:pgSz w:w="11900" w:h="16838" w:orient="portrait"/>
          <w:cols w:equalWidth="0" w:num="1">
            <w:col w:w="11240"/>
          </w:cols>
          <w:pgMar w:left="320" w:top="552" w:right="339" w:bottom="1440" w:gutter="0" w:footer="0" w:header="0"/>
        </w:sectPr>
      </w:pPr>
    </w:p>
    <w:p>
      <w:pPr>
        <w:spacing w:after="0" w:line="110" w:lineRule="exact"/>
        <w:rPr>
          <w:sz w:val="20"/>
          <w:szCs w:val="20"/>
          <w:color w:val="auto"/>
        </w:rPr>
      </w:pPr>
    </w:p>
    <w:p>
      <w:pPr>
        <w:ind w:left="800" w:hanging="282"/>
        <w:spacing w:after="0"/>
        <w:tabs>
          <w:tab w:leader="none" w:pos="8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(b) Not applicable.</w:t>
      </w:r>
    </w:p>
    <w:p>
      <w:pPr>
        <w:spacing w:after="0" w:line="121" w:lineRule="exact"/>
        <w:rPr>
          <w:rFonts w:ascii="Times New Roman" w:cs="Times New Roman" w:eastAsia="Times New Roman" w:hAnsi="Times New Roman"/>
          <w:sz w:val="20"/>
          <w:szCs w:val="20"/>
          <w:color w:val="auto"/>
        </w:rPr>
      </w:pPr>
    </w:p>
    <w:p>
      <w:pPr>
        <w:spacing w:after="0"/>
        <w:tabs>
          <w:tab w:leader="none" w:pos="0" w:val="left"/>
        </w:tabs>
        <w:numPr>
          <w:ilvl w:val="0"/>
          <w:numId w:val="26"/>
        </w:numPr>
        <w:rPr>
          <w:rFonts w:ascii="Times New Roman" w:cs="Times New Roman" w:eastAsia="Times New Roman" w:hAnsi="Times New Roman"/>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(c)Total</w:t>
            </w:r>
          </w:p>
        </w:tc>
        <w:tc>
          <w:tcPr>
            <w:tcW w:w="11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(d)Maximum</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(b)Average</w:t>
            </w: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60" w:space="720"/>
            <w:col w:w="7260"/>
          </w:cols>
          <w:pgMar w:left="320" w:top="552"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January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800,000,000</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800,000,000</w:t>
            </w: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March 31, 2022</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800,000,000</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43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62" w:lineRule="exact"/>
        <w:rPr>
          <w:sz w:val="20"/>
          <w:szCs w:val="20"/>
          <w:color w:val="auto"/>
        </w:rPr>
      </w:pPr>
    </w:p>
    <w:p>
      <w:pPr>
        <w:jc w:val="both"/>
        <w:ind w:left="500" w:hanging="492"/>
        <w:spacing w:after="0" w:line="256" w:lineRule="auto"/>
        <w:tabs>
          <w:tab w:leader="none" w:pos="5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Times New Roman" w:cs="Times New Roman" w:eastAsia="Times New Roman" w:hAnsi="Times New Roman"/>
          <w:sz w:val="18"/>
          <w:szCs w:val="18"/>
          <w:i w:val="1"/>
          <w:iCs w:val="1"/>
          <w:color w:val="auto"/>
        </w:rPr>
      </w:pPr>
    </w:p>
    <w:p>
      <w:pPr>
        <w:jc w:val="both"/>
        <w:ind w:left="500" w:hanging="492"/>
        <w:spacing w:after="0" w:line="253" w:lineRule="auto"/>
        <w:tabs>
          <w:tab w:leader="none" w:pos="5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January 2021, M&amp;T’s Board of Directors authorized a program to repurchase up to $800 million of common shares, with the exact number, timing, price and terms of such repurchases to be determined at the discretion of management and subject to all regulatory limitations. No common shares were repurchased during 2021, and on February 15, 2022, M&amp;T’s Board of Directors reaffirmed the January 2021 authorization to repurchase up to $800 million of common shares.</w:t>
      </w:r>
    </w:p>
    <w:p>
      <w:pPr>
        <w:spacing w:after="0" w:line="2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type w:val="continuous"/>
        </w:sectPr>
      </w:pPr>
    </w:p>
    <w:bookmarkStart w:id="78" w:name="page79"/>
    <w:bookmarkEnd w:id="78"/>
    <w:p>
      <w:pPr>
        <w:spacing w:after="0"/>
        <w:tabs>
          <w:tab w:leader="none" w:pos="1000" w:val="left"/>
        </w:tabs>
        <w:rPr>
          <w:sz w:val="20"/>
          <w:szCs w:val="20"/>
          <w:color w:val="auto"/>
        </w:rPr>
      </w:pPr>
      <w:r>
        <w:rPr>
          <w:rFonts w:ascii="Times New Roman" w:cs="Times New Roman" w:eastAsia="Times New Roman" w:hAnsi="Times New Roman"/>
          <w:sz w:val="21"/>
          <w:szCs w:val="21"/>
          <w:color w:val="auto"/>
        </w:rPr>
        <w:t>Item 6.</w:t>
      </w:r>
      <w:r>
        <w:rPr>
          <w:sz w:val="20"/>
          <w:szCs w:val="20"/>
          <w:color w:val="auto"/>
        </w:rPr>
        <w:tab/>
      </w:r>
      <w:r>
        <w:rPr>
          <w:rFonts w:ascii="Times New Roman" w:cs="Times New Roman" w:eastAsia="Times New Roman" w:hAnsi="Times New Roman"/>
          <w:sz w:val="20"/>
          <w:szCs w:val="20"/>
          <w:color w:val="auto"/>
        </w:rPr>
        <w:t>Exhibits.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Exhibit</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00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gridSpan w:val="5"/>
          </w:tcPr>
          <w:p>
            <w:pPr>
              <w:ind w:left="120"/>
              <w:spacing w:after="0"/>
              <w:rPr>
                <w:rFonts w:ascii="Times New Roman" w:cs="Times New Roman" w:eastAsia="Times New Roman" w:hAnsi="Times New Roman"/>
                <w:sz w:val="21"/>
                <w:szCs w:val="21"/>
                <w:color w:val="0000EE"/>
              </w:rPr>
            </w:pPr>
            <w:hyperlink r:id="rId117">
              <w:r>
                <w:rPr>
                  <w:rFonts w:ascii="Times New Roman" w:cs="Times New Roman" w:eastAsia="Times New Roman" w:hAnsi="Times New Roman"/>
                  <w:sz w:val="21"/>
                  <w:szCs w:val="21"/>
                  <w:color w:val="0000EE"/>
                </w:rPr>
                <w:t>2.</w:t>
              </w:r>
              <w:r>
                <w:rPr>
                  <w:rFonts w:ascii="Times New Roman" w:cs="Times New Roman" w:eastAsia="Times New Roman" w:hAnsi="Times New Roman"/>
                  <w:sz w:val="21"/>
                  <w:szCs w:val="21"/>
                  <w:u w:val="single" w:color="auto"/>
                  <w:color w:val="0000EE"/>
                </w:rPr>
                <w:t>1</w:t>
              </w:r>
            </w:hyperlink>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Amendment No. 1 to the Agreement and Plan of Merger, dated February 21, 2021, by and among M&amp;T Bank</w:t>
            </w:r>
          </w:p>
        </w:tc>
      </w:tr>
      <w:tr>
        <w:trPr>
          <w:trHeight w:val="244"/>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Corporation, Bridge Merger Corp., a direct, wholly owned subsidiary of M&amp;T Bank Corporation, and People’s United</w:t>
            </w:r>
          </w:p>
        </w:tc>
      </w:tr>
      <w:tr>
        <w:trPr>
          <w:trHeight w:val="243"/>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Financial, Inc. Incorporated by reference to Exhibit 2.1 of the Current Report on Form 8-K of M&amp;T Bank Corporation</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filed on February 25, 2021.</w:t>
            </w:r>
          </w:p>
        </w:tc>
      </w:tr>
      <w:tr>
        <w:trPr>
          <w:trHeight w:val="438"/>
        </w:trPr>
        <w:tc>
          <w:tcPr>
            <w:tcW w:w="260" w:type="dxa"/>
            <w:vAlign w:val="bottom"/>
            <w:tcBorders>
              <w:bottom w:val="single" w:sz="8" w:color="0000EE"/>
            </w:tcBorders>
            <w:gridSpan w:val="3"/>
          </w:tcPr>
          <w:p>
            <w:pPr>
              <w:spacing w:after="0"/>
              <w:rPr>
                <w:rFonts w:ascii="Times New Roman" w:cs="Times New Roman" w:eastAsia="Times New Roman" w:hAnsi="Times New Roman"/>
                <w:sz w:val="21"/>
                <w:szCs w:val="21"/>
                <w:color w:val="0000EE"/>
                <w:w w:val="91"/>
              </w:rPr>
            </w:pPr>
            <w:hyperlink r:id="rId118">
              <w:r>
                <w:rPr>
                  <w:rFonts w:ascii="Times New Roman" w:cs="Times New Roman" w:eastAsia="Times New Roman" w:hAnsi="Times New Roman"/>
                  <w:sz w:val="21"/>
                  <w:szCs w:val="21"/>
                  <w:color w:val="0000EE"/>
                  <w:w w:val="91"/>
                </w:rPr>
                <w:t>3.</w:t>
              </w:r>
              <w:r>
                <w:rPr>
                  <w:rFonts w:ascii="Times New Roman" w:cs="Times New Roman" w:eastAsia="Times New Roman" w:hAnsi="Times New Roman"/>
                  <w:sz w:val="21"/>
                  <w:szCs w:val="21"/>
                  <w:u w:val="single" w:color="auto"/>
                  <w:color w:val="0000EE"/>
                  <w:w w:val="91"/>
                </w:rPr>
                <w:t>1</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Certificate of Amendment to the Restated Certificate of Incorporation of M&amp;T Bank Corporation with Respect to</w:t>
            </w:r>
          </w:p>
        </w:tc>
      </w:tr>
      <w:tr>
        <w:trPr>
          <w:trHeight w:val="244"/>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Authorized Capital Stock and Authorized Preferred Stock, dated April 1, 2022. Incorporated by reference to Exhibit 3.1</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of the Current Report on Form 8-K of M&amp;T Bank Corporation filed on April 4, 2022.</w:t>
            </w:r>
          </w:p>
        </w:tc>
      </w:tr>
      <w:tr>
        <w:trPr>
          <w:trHeight w:val="438"/>
        </w:trPr>
        <w:tc>
          <w:tcPr>
            <w:tcW w:w="480" w:type="dxa"/>
            <w:vAlign w:val="bottom"/>
            <w:gridSpan w:val="5"/>
          </w:tcPr>
          <w:p>
            <w:pPr>
              <w:ind w:left="120"/>
              <w:spacing w:after="0"/>
              <w:rPr>
                <w:rFonts w:ascii="Times New Roman" w:cs="Times New Roman" w:eastAsia="Times New Roman" w:hAnsi="Times New Roman"/>
                <w:sz w:val="21"/>
                <w:szCs w:val="21"/>
                <w:color w:val="0000EE"/>
              </w:rPr>
            </w:pPr>
            <w:hyperlink r:id="rId119">
              <w:r>
                <w:rPr>
                  <w:rFonts w:ascii="Times New Roman" w:cs="Times New Roman" w:eastAsia="Times New Roman" w:hAnsi="Times New Roman"/>
                  <w:sz w:val="21"/>
                  <w:szCs w:val="21"/>
                  <w:color w:val="0000EE"/>
                </w:rPr>
                <w:t>3.</w:t>
              </w:r>
              <w:r>
                <w:rPr>
                  <w:rFonts w:ascii="Times New Roman" w:cs="Times New Roman" w:eastAsia="Times New Roman" w:hAnsi="Times New Roman"/>
                  <w:sz w:val="21"/>
                  <w:szCs w:val="21"/>
                  <w:u w:val="single" w:color="auto"/>
                  <w:color w:val="0000EE"/>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Certificate of Amendment to the Restated Certificate of Incorporation of M&amp;T Bank Corporation with Respect to the</w:t>
            </w:r>
          </w:p>
        </w:tc>
      </w:tr>
      <w:tr>
        <w:trPr>
          <w:trHeight w:val="244"/>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Perpetual Fixed-to-Floating Rate Non-Cumulative Preferred Stock, Series H, dated April 1, 2022. Incorporated by</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reference to Exhibit 3.2 of the Current Report on Form 8-K of M&amp;T Bank Corporation filed on April 4, 2022.</w:t>
            </w:r>
          </w:p>
        </w:tc>
      </w:tr>
      <w:tr>
        <w:trPr>
          <w:trHeight w:val="438"/>
        </w:trPr>
        <w:tc>
          <w:tcPr>
            <w:tcW w:w="480" w:type="dxa"/>
            <w:vAlign w:val="bottom"/>
            <w:gridSpan w:val="5"/>
          </w:tcPr>
          <w:p>
            <w:pPr>
              <w:ind w:left="120"/>
              <w:spacing w:after="0"/>
              <w:rPr>
                <w:rFonts w:ascii="Times New Roman" w:cs="Times New Roman" w:eastAsia="Times New Roman" w:hAnsi="Times New Roman"/>
                <w:sz w:val="21"/>
                <w:szCs w:val="21"/>
                <w:color w:val="0000EE"/>
                <w:w w:val="92"/>
              </w:rPr>
            </w:pPr>
            <w:hyperlink r:id="rId120">
              <w:r>
                <w:rPr>
                  <w:rFonts w:ascii="Times New Roman" w:cs="Times New Roman" w:eastAsia="Times New Roman" w:hAnsi="Times New Roman"/>
                  <w:sz w:val="21"/>
                  <w:szCs w:val="21"/>
                  <w:color w:val="0000EE"/>
                  <w:w w:val="92"/>
                </w:rPr>
                <w:t>10.</w:t>
              </w:r>
              <w:r>
                <w:rPr>
                  <w:rFonts w:ascii="Times New Roman" w:cs="Times New Roman" w:eastAsia="Times New Roman" w:hAnsi="Times New Roman"/>
                  <w:sz w:val="21"/>
                  <w:szCs w:val="21"/>
                  <w:u w:val="single" w:color="auto"/>
                  <w:color w:val="0000EE"/>
                  <w:w w:val="92"/>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Non-Competition and Non-Solicitation Agreement, dated as of February 21, 2021, by and between John P. Barnes and</w:t>
            </w:r>
          </w:p>
        </w:tc>
      </w:tr>
      <w:tr>
        <w:trPr>
          <w:trHeight w:val="244"/>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People’s United Financial, Inc. Incorporated by reference to Exhibit 10.1 of the Current Report on Form 8-K of M&amp;T</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Bank Corporation filed on April 4, 2022.</w:t>
            </w:r>
          </w:p>
        </w:tc>
      </w:tr>
      <w:tr>
        <w:trPr>
          <w:trHeight w:val="438"/>
        </w:trPr>
        <w:tc>
          <w:tcPr>
            <w:tcW w:w="480" w:type="dxa"/>
            <w:vAlign w:val="bottom"/>
            <w:gridSpan w:val="5"/>
          </w:tcPr>
          <w:p>
            <w:pPr>
              <w:ind w:left="120"/>
              <w:spacing w:after="0"/>
              <w:rPr>
                <w:rFonts w:ascii="Times New Roman" w:cs="Times New Roman" w:eastAsia="Times New Roman" w:hAnsi="Times New Roman"/>
                <w:sz w:val="21"/>
                <w:szCs w:val="21"/>
                <w:color w:val="0000EE"/>
                <w:w w:val="92"/>
              </w:rPr>
            </w:pPr>
            <w:hyperlink r:id="rId121">
              <w:r>
                <w:rPr>
                  <w:rFonts w:ascii="Times New Roman" w:cs="Times New Roman" w:eastAsia="Times New Roman" w:hAnsi="Times New Roman"/>
                  <w:sz w:val="21"/>
                  <w:szCs w:val="21"/>
                  <w:color w:val="0000EE"/>
                  <w:w w:val="92"/>
                </w:rPr>
                <w:t>10.</w:t>
              </w:r>
              <w:r>
                <w:rPr>
                  <w:rFonts w:ascii="Times New Roman" w:cs="Times New Roman" w:eastAsia="Times New Roman" w:hAnsi="Times New Roman"/>
                  <w:sz w:val="21"/>
                  <w:szCs w:val="21"/>
                  <w:u w:val="single" w:color="auto"/>
                  <w:color w:val="0000EE"/>
                  <w:w w:val="92"/>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9"/>
              </w:rPr>
              <w:t>Non-Competition and Non-Solicitation Agreement, dated as of February 21, 2021, by and between Kirk W. Walters and</w:t>
            </w:r>
          </w:p>
        </w:tc>
      </w:tr>
      <w:tr>
        <w:trPr>
          <w:trHeight w:val="244"/>
        </w:trPr>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People’s United Financial, Inc. Incorporated by reference to Exhibit 10.2 of the Current Report on Form 8-K of M&amp;T</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Bank Corporation filed on April 4, 2022.</w:t>
            </w:r>
          </w:p>
        </w:tc>
      </w:tr>
      <w:tr>
        <w:trPr>
          <w:trHeight w:val="438"/>
        </w:trPr>
        <w:tc>
          <w:tcPr>
            <w:tcW w:w="60" w:type="dxa"/>
            <w:vAlign w:val="bottom"/>
          </w:tcPr>
          <w:p>
            <w:pPr>
              <w:spacing w:after="0"/>
              <w:rPr>
                <w:sz w:val="24"/>
                <w:szCs w:val="24"/>
                <w:color w:val="auto"/>
              </w:rPr>
            </w:pPr>
          </w:p>
        </w:tc>
        <w:tc>
          <w:tcPr>
            <w:tcW w:w="420" w:type="dxa"/>
            <w:vAlign w:val="bottom"/>
            <w:tcBorders>
              <w:bottom w:val="single" w:sz="8" w:color="0000EE"/>
            </w:tcBorders>
            <w:gridSpan w:val="4"/>
          </w:tcPr>
          <w:p>
            <w:pPr>
              <w:ind w:left="60"/>
              <w:spacing w:after="0"/>
              <w:rPr>
                <w:sz w:val="20"/>
                <w:szCs w:val="20"/>
                <w:color w:val="auto"/>
              </w:rPr>
            </w:pPr>
            <w:r>
              <w:rPr>
                <w:rFonts w:ascii="Times New Roman" w:cs="Times New Roman" w:eastAsia="Times New Roman" w:hAnsi="Times New Roman"/>
                <w:sz w:val="21"/>
                <w:szCs w:val="21"/>
                <w:color w:val="0000EE"/>
                <w:w w:val="92"/>
              </w:rPr>
              <w:t>31.1</w:t>
            </w:r>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Executive Officer under Section 302 of the Sarbanes-Oxley Act of 2002. Filed herewith.</w:t>
            </w:r>
          </w:p>
        </w:tc>
      </w:tr>
      <w:tr>
        <w:trPr>
          <w:trHeight w:val="466"/>
        </w:trPr>
        <w:tc>
          <w:tcPr>
            <w:tcW w:w="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0000EE"/>
                <w:w w:val="92"/>
              </w:rPr>
              <w:t>31.</w:t>
            </w:r>
            <w:r>
              <w:rPr>
                <w:rFonts w:ascii="Times New Roman" w:cs="Times New Roman" w:eastAsia="Times New Roman" w:hAnsi="Times New Roman"/>
                <w:sz w:val="21"/>
                <w:szCs w:val="21"/>
                <w:u w:val="single" w:color="auto"/>
                <w:color w:val="0000EE"/>
                <w:w w:val="92"/>
              </w:rPr>
              <w:t>2</w:t>
            </w:r>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Financial Officer under Section 302 of the Sarbanes-Oxley Act of 2002. Filed herewith.</w:t>
            </w:r>
          </w:p>
        </w:tc>
      </w:tr>
      <w:tr>
        <w:trPr>
          <w:trHeight w:val="20"/>
        </w:trPr>
        <w:tc>
          <w:tcPr>
            <w:tcW w:w="120" w:type="dxa"/>
            <w:vAlign w:val="bottom"/>
            <w:gridSpan w:val="2"/>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1</w:t>
            </w:r>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 pursuant to Section 906 of the Sarbanes-Oxley Act of</w:t>
            </w:r>
          </w:p>
        </w:tc>
      </w:tr>
      <w:tr>
        <w:trPr>
          <w:trHeight w:val="272"/>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38"/>
        </w:trPr>
        <w:tc>
          <w:tcPr>
            <w:tcW w:w="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0000EE"/>
                <w:w w:val="92"/>
              </w:rPr>
              <w:t>32.</w:t>
            </w:r>
            <w:r>
              <w:rPr>
                <w:rFonts w:ascii="Times New Roman" w:cs="Times New Roman" w:eastAsia="Times New Roman" w:hAnsi="Times New Roman"/>
                <w:sz w:val="21"/>
                <w:szCs w:val="21"/>
                <w:u w:val="single" w:color="auto"/>
                <w:color w:val="0000EE"/>
                <w:w w:val="92"/>
              </w:rPr>
              <w:t>2</w:t>
            </w:r>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 pursuant to Section 906 of the Sarbanes-Oxley Act of</w:t>
            </w:r>
          </w:p>
        </w:tc>
      </w:tr>
      <w:tr>
        <w:trPr>
          <w:trHeight w:val="271"/>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2002. Filed herewith.</w:t>
            </w:r>
          </w:p>
        </w:tc>
      </w:tr>
      <w:tr>
        <w:trPr>
          <w:trHeight w:val="486"/>
        </w:trPr>
        <w:tc>
          <w:tcPr>
            <w:tcW w:w="96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101.INS</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486"/>
        </w:trPr>
        <w:tc>
          <w:tcPr>
            <w:tcW w:w="96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101.SCH</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Schema. Filed herewith.</w:t>
            </w:r>
          </w:p>
        </w:tc>
      </w:tr>
      <w:tr>
        <w:trPr>
          <w:trHeight w:val="486"/>
        </w:trPr>
        <w:tc>
          <w:tcPr>
            <w:tcW w:w="96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101.CAL</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Calculation Linkbase. Filed herewith.</w:t>
            </w:r>
          </w:p>
        </w:tc>
      </w:tr>
      <w:tr>
        <w:trPr>
          <w:trHeight w:val="486"/>
        </w:trPr>
        <w:tc>
          <w:tcPr>
            <w:tcW w:w="96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101.DEF</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Definition Linkbase. Filed herewith.</w:t>
            </w:r>
          </w:p>
        </w:tc>
      </w:tr>
      <w:tr>
        <w:trPr>
          <w:trHeight w:val="486"/>
        </w:trPr>
        <w:tc>
          <w:tcPr>
            <w:tcW w:w="96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101.LAB</w:t>
            </w:r>
          </w:p>
        </w:tc>
        <w:tc>
          <w:tcPr>
            <w:tcW w:w="10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Inline XBRL Taxonomy Extension Label Linkbase. Filed herewith.</w:t>
            </w:r>
          </w:p>
        </w:tc>
      </w:tr>
      <w:tr>
        <w:trPr>
          <w:trHeight w:val="667"/>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- 79 -</w:t>
            </w:r>
          </w:p>
        </w:tc>
      </w:tr>
      <w:tr>
        <w:trPr>
          <w:trHeight w:val="115"/>
        </w:trPr>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9" w:name="page80"/>
    <w:bookmarkEnd w:id="79"/>
    <w:p>
      <w:pPr>
        <w:spacing w:after="0"/>
        <w:tabs>
          <w:tab w:leader="none" w:pos="1120" w:val="left"/>
        </w:tabs>
        <w:rPr>
          <w:sz w:val="20"/>
          <w:szCs w:val="20"/>
          <w:color w:val="auto"/>
        </w:rPr>
      </w:pPr>
      <w:r>
        <w:rPr>
          <w:rFonts w:ascii="Times New Roman" w:cs="Times New Roman" w:eastAsia="Times New Roman" w:hAnsi="Times New Roman"/>
          <w:sz w:val="21"/>
          <w:szCs w:val="21"/>
          <w:color w:val="auto"/>
        </w:rPr>
        <w:t>101.PRE</w:t>
      </w:r>
      <w:r>
        <w:rPr>
          <w:sz w:val="20"/>
          <w:szCs w:val="20"/>
          <w:color w:val="auto"/>
        </w:rPr>
        <w:tab/>
      </w:r>
      <w:r>
        <w:rPr>
          <w:rFonts w:ascii="Times New Roman" w:cs="Times New Roman" w:eastAsia="Times New Roman" w:hAnsi="Times New Roman"/>
          <w:sz w:val="20"/>
          <w:szCs w:val="20"/>
          <w:color w:val="auto"/>
        </w:rPr>
        <w:t>Inline XBRL Taxonomy Extension Presentation Linkbase. Filed herewith.</w:t>
      </w:r>
    </w:p>
    <w:p>
      <w:pPr>
        <w:spacing w:after="0" w:line="245" w:lineRule="exact"/>
        <w:rPr>
          <w:sz w:val="20"/>
          <w:szCs w:val="20"/>
          <w:color w:val="auto"/>
        </w:rPr>
      </w:pPr>
    </w:p>
    <w:p>
      <w:pPr>
        <w:ind w:left="1140" w:right="599" w:hanging="1132"/>
        <w:spacing w:after="0" w:line="270" w:lineRule="auto"/>
        <w:tabs>
          <w:tab w:leader="none" w:pos="11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 Bank Corporation’s Quarterly Report on Form 10-Q for the quarter ended March 31, 2022 has been formatted in Inline XBRL.</w:t>
      </w:r>
    </w:p>
    <w:p>
      <w:pPr>
        <w:spacing w:after="0" w:line="200" w:lineRule="exact"/>
        <w:rPr>
          <w:rFonts w:ascii="Times New Roman" w:cs="Times New Roman" w:eastAsia="Times New Roman" w:hAnsi="Times New Roman"/>
          <w:sz w:val="21"/>
          <w:szCs w:val="21"/>
          <w:color w:val="auto"/>
        </w:rPr>
      </w:pPr>
    </w:p>
    <w:p>
      <w:pPr>
        <w:spacing w:after="0" w:line="391"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ind w:firstLine="510"/>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Times New Roman" w:cs="Times New Roman" w:eastAsia="Times New Roman" w:hAnsi="Times New Roman"/>
          <w:sz w:val="20"/>
          <w:szCs w:val="20"/>
          <w:color w:val="auto"/>
        </w:rPr>
        <w:t>Date: May 5,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13970</wp:posOffset>
            </wp:positionV>
            <wp:extent cx="26574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Darren J. King</w:t>
      </w:r>
    </w:p>
    <w:p>
      <w:pPr>
        <w:spacing w:after="0" w:line="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Senior Executive Vice President</w:t>
      </w:r>
    </w:p>
    <w:p>
      <w:pPr>
        <w:ind w:left="706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- 81 -</w:t>
      </w:r>
    </w:p>
    <w:p>
      <w:pPr>
        <w:sectPr>
          <w:pgSz w:w="11900" w:h="16838" w:orient="portrait"/>
          <w:cols w:equalWidth="0" w:num="1">
            <w:col w:w="11220"/>
          </w:cols>
          <w:pgMar w:left="320" w:top="552" w:right="3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20" w:hanging="412"/>
        <w:spacing w:after="0" w:line="196" w:lineRule="auto"/>
        <w:tabs>
          <w:tab w:leader="none" w:pos="4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20" w:hanging="412"/>
        <w:spacing w:after="0" w:line="196" w:lineRule="auto"/>
        <w:tabs>
          <w:tab w:leader="none" w:pos="4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jc w:val="both"/>
        <w:ind w:left="420" w:right="20" w:hanging="412"/>
        <w:spacing w:after="0" w:line="225" w:lineRule="auto"/>
        <w:tabs>
          <w:tab w:leader="none" w:pos="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4" w:lineRule="auto"/>
        <w:tabs>
          <w:tab w:leader="none" w:pos="4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13335</wp:posOffset>
            </wp:positionV>
            <wp:extent cx="25285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René F. Jones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8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sz w:val="20"/>
          <w:szCs w:val="20"/>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1"/>
          <w:szCs w:val="21"/>
          <w:color w:val="auto"/>
        </w:rPr>
      </w:pPr>
    </w:p>
    <w:p>
      <w:pPr>
        <w:jc w:val="both"/>
        <w:ind w:left="420" w:hanging="412"/>
        <w:spacing w:after="0" w:line="196" w:lineRule="auto"/>
        <w:tabs>
          <w:tab w:leader="none" w:pos="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sz w:val="20"/>
          <w:szCs w:val="20"/>
          <w:color w:val="auto"/>
        </w:rPr>
      </w:pPr>
    </w:p>
    <w:p>
      <w:pPr>
        <w:jc w:val="both"/>
        <w:ind w:left="420" w:hanging="412"/>
        <w:spacing w:after="0" w:line="196"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sz w:val="20"/>
          <w:szCs w:val="20"/>
          <w:color w:val="auto"/>
        </w:rPr>
      </w:pPr>
    </w:p>
    <w:p>
      <w:pPr>
        <w:jc w:val="both"/>
        <w:ind w:left="420" w:right="20" w:hanging="412"/>
        <w:spacing w:after="0" w:line="225" w:lineRule="auto"/>
        <w:tabs>
          <w:tab w:leader="none" w:pos="4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4" w:lineRule="auto"/>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2022</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5457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Darren J. King</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240"/>
          </w:cols>
          <w:pgMar w:left="320" w:top="242" w:right="339" w:bottom="1440" w:gutter="0" w:footer="0" w:header="0"/>
        </w:sectPr>
      </w:pPr>
    </w:p>
    <w:bookmarkStart w:id="83" w:name="page84"/>
    <w:bookmarkEnd w:id="83"/>
    <w:p>
      <w:pPr>
        <w:ind w:left="10000"/>
        <w:spacing w:after="0"/>
        <w:rPr>
          <w:sz w:val="20"/>
          <w:szCs w:val="20"/>
          <w:color w:val="auto"/>
        </w:rPr>
      </w:pPr>
      <w:r>
        <w:rPr>
          <w:rFonts w:ascii="Times New Roman" w:cs="Times New Roman" w:eastAsia="Times New Roman" w:hAnsi="Times New Roman"/>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7" w:lineRule="exact"/>
        <w:rPr>
          <w:sz w:val="20"/>
          <w:szCs w:val="20"/>
          <w:color w:val="auto"/>
        </w:rPr>
      </w:pPr>
    </w:p>
    <w:p>
      <w:pPr>
        <w:jc w:val="both"/>
        <w:ind w:left="1880" w:right="1860" w:hanging="941"/>
        <w:spacing w:after="0" w:line="232" w:lineRule="auto"/>
        <w:tabs>
          <w:tab w:leader="none" w:pos="18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2022 (the "Report") fully complies with the requirements of Section 13(a) or 15(d) of the Securities Exchange Act of 1934 (15 U.S.C. 78m or 78o(d)); and</w:t>
      </w:r>
    </w:p>
    <w:p>
      <w:pPr>
        <w:spacing w:after="0" w:line="163" w:lineRule="exact"/>
        <w:rPr>
          <w:rFonts w:ascii="Times New Roman" w:cs="Times New Roman" w:eastAsia="Times New Roman" w:hAnsi="Times New Roman"/>
          <w:sz w:val="21"/>
          <w:szCs w:val="21"/>
          <w:color w:val="auto"/>
        </w:rPr>
      </w:pPr>
    </w:p>
    <w:p>
      <w:pPr>
        <w:ind w:left="1880" w:right="1860" w:hanging="941"/>
        <w:spacing w:after="0" w:line="243" w:lineRule="auto"/>
        <w:tabs>
          <w:tab w:leader="none" w:pos="18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825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René F. Jones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5,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08" w:right="339" w:bottom="1440" w:gutter="0" w:footer="0" w:header="0"/>
        </w:sectPr>
      </w:pPr>
    </w:p>
    <w:bookmarkStart w:id="84" w:name="page85"/>
    <w:bookmarkEnd w:id="84"/>
    <w:p>
      <w:pPr>
        <w:ind w:left="10000"/>
        <w:spacing w:after="0"/>
        <w:rPr>
          <w:sz w:val="20"/>
          <w:szCs w:val="20"/>
          <w:color w:val="auto"/>
        </w:rPr>
      </w:pPr>
      <w:r>
        <w:rPr>
          <w:rFonts w:ascii="Times New Roman" w:cs="Times New Roman" w:eastAsia="Times New Roman" w:hAnsi="Times New Roman"/>
          <w:sz w:val="20"/>
          <w:szCs w:val="20"/>
          <w:color w:val="auto"/>
        </w:rPr>
        <w:t>EXHIBIT 32.2</w:t>
      </w:r>
    </w:p>
    <w:p>
      <w:pPr>
        <w:spacing w:after="0" w:line="20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Darren J. King, Senior Executive Vice President and Chief Financial Officer of M&amp;T Bank Corporation, certify, pursuant to Section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 of the Sarbanes-Oxley Act of 2002, 18 U.S.C. Section 1350, that:</w:t>
      </w:r>
    </w:p>
    <w:p>
      <w:pPr>
        <w:spacing w:after="0" w:line="167" w:lineRule="exact"/>
        <w:rPr>
          <w:sz w:val="20"/>
          <w:szCs w:val="20"/>
          <w:color w:val="auto"/>
        </w:rPr>
      </w:pPr>
    </w:p>
    <w:p>
      <w:pPr>
        <w:jc w:val="both"/>
        <w:ind w:left="1880" w:right="1860" w:hanging="941"/>
        <w:spacing w:after="0" w:line="232" w:lineRule="auto"/>
        <w:tabs>
          <w:tab w:leader="none" w:pos="18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2022 (the "Report") fully complies with the requirements of Section 13(a) or 15(d) of the Securities Exchange Act of 1934 (15 U.S.C. 78m or 78o(d)); and</w:t>
      </w:r>
    </w:p>
    <w:p>
      <w:pPr>
        <w:spacing w:after="0" w:line="163" w:lineRule="exact"/>
        <w:rPr>
          <w:rFonts w:ascii="Times New Roman" w:cs="Times New Roman" w:eastAsia="Times New Roman" w:hAnsi="Times New Roman"/>
          <w:sz w:val="21"/>
          <w:szCs w:val="21"/>
          <w:color w:val="auto"/>
        </w:rPr>
      </w:pPr>
    </w:p>
    <w:p>
      <w:pPr>
        <w:ind w:left="1880" w:right="1860" w:hanging="941"/>
        <w:spacing w:after="0" w:line="243" w:lineRule="auto"/>
        <w:tabs>
          <w:tab w:leader="none" w:pos="18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825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Darren J. King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5,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decimal"/>
      <w:start w:val="4"/>
    </w:lvl>
  </w:abstractNum>
  <w:abstractNum w:abstractNumId="4">
    <w:nsid w:val="333AB105"/>
    <w:multiLevelType w:val="hybridMultilevel"/>
    <w:lvl w:ilvl="0">
      <w:lvlJc w:val="left"/>
      <w:lvlText w:val="(%1)"/>
      <w:numFmt w:val="lowerLetter"/>
      <w:start w:val="1"/>
    </w:lvl>
    <w:lvl w:ilvl="1">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lvl w:ilvl="1">
      <w:lvlJc w:val="left"/>
      <w:lvlText w:val="-"/>
      <w:numFmt w:val="bullet"/>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Letter"/>
      <w:start w:val="1"/>
    </w:lvl>
    <w:lvl w:ilvl="1">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12"/>
    </w:lvl>
  </w:abstractNum>
  <w:abstractNum w:abstractNumId="14">
    <w:nsid w:val="189A769B"/>
    <w:multiLevelType w:val="hybridMultilevel"/>
    <w:lvl w:ilvl="0">
      <w:lvlJc w:val="left"/>
      <w:lvlText w:val="(%1)"/>
      <w:numFmt w:val="lowerLetter"/>
      <w:start w:val="1"/>
    </w:lvl>
    <w:lvl w:ilvl="1">
      <w:lvlJc w:val="left"/>
      <w:lvlText w:val="-"/>
      <w:numFmt w:val="bullet"/>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lvl w:ilvl="1">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lvl w:ilvl="1">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04"/>
    </w:lvl>
    <w:lvl w:ilvl="1">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17" Type="http://schemas.openxmlformats.org/officeDocument/2006/relationships/hyperlink" Target="http://www.sec.gov/Archives/edgar/data/36270/000119312521057039/d102284dex21.htm" TargetMode="External"/><Relationship Id="rId118" Type="http://schemas.openxmlformats.org/officeDocument/2006/relationships/hyperlink" Target="http://www.sec.gov/Archives/edgar/data/0000036270/000119312522094296/d349120dex31.htm" TargetMode="External"/><Relationship Id="rId119" Type="http://schemas.openxmlformats.org/officeDocument/2006/relationships/hyperlink" Target="http://www.sec.gov/Archives/edgar/data/0000036270/000119312522094296/d349120dex32.htm" TargetMode="External"/><Relationship Id="rId120" Type="http://schemas.openxmlformats.org/officeDocument/2006/relationships/hyperlink" Target="http://www.sec.gov/Archives/edgar/data/36270/000119312522094296/d349120dex101.htm" TargetMode="External"/><Relationship Id="rId121" Type="http://schemas.openxmlformats.org/officeDocument/2006/relationships/hyperlink" Target="http://www.sec.gov/Archives/edgar/data/36270/000119312522094296/d34912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2022-05-05T17:08:52Z</dcterms:created>
  <dcterms:modified xsi:type="dcterms:W3CDTF">2022-05-05T17:08:52Z</dcterms:modified>
</cp:coreProperties>
</file>