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New York</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5"/>
              </w:rPr>
              <w:t>One M &amp; T Plaza</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Buffalo, New York</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14203</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(716) 842-5445</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940" w:space="220"/>
            <w:col w:w="160" w:space="80"/>
            <w:col w:w="260" w:space="180"/>
            <w:col w:w="160" w:space="80"/>
            <w:col w:w="234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October 31, 2012: 128,005,934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September 30,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0" w:type="dxa"/>
            <w:vAlign w:val="bottom"/>
            <w:gridSpan w:val="23"/>
          </w:tcPr>
          <w:p>
            <w:pPr>
              <w:spacing w:after="0"/>
              <w:rPr>
                <w:sz w:val="20"/>
                <w:szCs w:val="20"/>
                <w:color w:val="auto"/>
              </w:rPr>
            </w:pPr>
            <w:r>
              <w:rPr>
                <w:rFonts w:ascii="Arial" w:cs="Arial" w:eastAsia="Arial" w:hAnsi="Arial"/>
                <w:sz w:val="14"/>
                <w:szCs w:val="14"/>
                <w:color w:val="auto"/>
              </w:rPr>
              <w:t>Table of Contents of Information Required in Report</w:t>
            </w:r>
          </w:p>
        </w:tc>
        <w:tc>
          <w:tcPr>
            <w:tcW w:w="320" w:type="dxa"/>
            <w:vAlign w:val="bottom"/>
          </w:tcPr>
          <w:p>
            <w:pPr>
              <w:jc w:val="right"/>
              <w:spacing w:after="0"/>
              <w:rPr>
                <w:sz w:val="20"/>
                <w:szCs w:val="20"/>
                <w:color w:val="auto"/>
              </w:rPr>
            </w:pPr>
            <w:r>
              <w:rPr>
                <w:rFonts w:ascii="Arial" w:cs="Arial" w:eastAsia="Arial" w:hAnsi="Arial"/>
                <w:sz w:val="14"/>
                <w:szCs w:val="14"/>
                <w:color w:val="auto"/>
                <w:w w:val="85"/>
              </w:rPr>
              <w:t>Page</w:t>
            </w:r>
          </w:p>
        </w:tc>
      </w:tr>
      <w:tr>
        <w:trPr>
          <w:trHeight w:val="149"/>
        </w:trPr>
        <w:tc>
          <w:tcPr>
            <w:tcW w:w="3040" w:type="dxa"/>
            <w:vAlign w:val="bottom"/>
            <w:tcBorders>
              <w:top w:val="single" w:sz="8" w:color="auto"/>
            </w:tcBorders>
            <w:gridSpan w:val="12"/>
          </w:tcPr>
          <w:p>
            <w:pPr>
              <w:spacing w:after="0" w:line="149" w:lineRule="exact"/>
              <w:rPr>
                <w:rFonts w:ascii="Arial" w:cs="Arial" w:eastAsia="Arial" w:hAnsi="Arial"/>
                <w:sz w:val="16"/>
                <w:szCs w:val="16"/>
                <w:color w:val="0000EE"/>
              </w:rPr>
            </w:pPr>
            <w:hyperlink w:anchor="page3">
              <w:r>
                <w:rPr>
                  <w:rFonts w:ascii="Arial" w:cs="Arial" w:eastAsia="Arial" w:hAnsi="Arial"/>
                  <w:sz w:val="16"/>
                  <w:szCs w:val="16"/>
                  <w:color w:val="0000EE"/>
                </w:rPr>
                <w:t>Part I. FINANCIAL INFORMATION</w:t>
              </w:r>
            </w:hyperlink>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9"/>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w:t>
              </w:r>
            </w:hyperlink>
            <w:r>
              <w:rPr>
                <w:rFonts w:ascii="Arial" w:cs="Arial" w:eastAsia="Arial" w:hAnsi="Arial"/>
                <w:sz w:val="18"/>
                <w:szCs w:val="18"/>
                <w:color w:val="000000"/>
                <w:w w:val="95"/>
              </w:rPr>
              <w:t>.</w:t>
            </w:r>
          </w:p>
        </w:tc>
        <w:tc>
          <w:tcPr>
            <w:tcW w:w="83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September 30, 2012 and December 31,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nine months ended September 30, 2012 and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COMPREHENSIVE INCOME – Three and nine months ended September 30, 2012 and 2011</w:t>
              </w:r>
            </w:hyperlink>
          </w:p>
        </w:tc>
        <w:tc>
          <w:tcPr>
            <w:tcW w:w="78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 OF CASH FLOWS - Nine months ended September 30, 2012 and 2011</w:t>
              </w:r>
            </w:hyperlink>
          </w:p>
        </w:tc>
        <w:tc>
          <w:tcPr>
            <w:tcW w:w="26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120" w:type="dxa"/>
            <w:vAlign w:val="bottom"/>
            <w:gridSpan w:val="21"/>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CONSOLIDATED STATEMENT OF CHANGES IN SHAREHOLDERS’ EQUITY – Nine months ended September 30, 2012 and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NOTES TO FINANCIAL STATEMENTS</w:t>
              </w:r>
            </w:hyperlink>
          </w:p>
        </w:tc>
        <w:tc>
          <w:tcPr>
            <w:tcW w:w="6680" w:type="dxa"/>
            <w:vAlign w:val="bottom"/>
            <w:tcBorders>
              <w:top w:val="single" w:sz="8" w:color="0000EE"/>
            </w:tcBorders>
            <w:gridSpan w:val="8"/>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440" w:type="dxa"/>
            <w:vAlign w:val="bottom"/>
          </w:tcPr>
          <w:p>
            <w:pPr>
              <w:spacing w:after="0"/>
              <w:rPr>
                <w:sz w:val="24"/>
                <w:szCs w:val="24"/>
                <w:color w:val="auto"/>
              </w:rPr>
            </w:pPr>
          </w:p>
        </w:tc>
        <w:tc>
          <w:tcPr>
            <w:tcW w:w="10560" w:type="dxa"/>
            <w:vAlign w:val="bottom"/>
            <w:gridSpan w:val="2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2. Management’s Discussion and Analysis of Financial Condition and Results of Operations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440" w:type="dxa"/>
            <w:vAlign w:val="bottom"/>
          </w:tcPr>
          <w:p>
            <w:pPr>
              <w:spacing w:after="0"/>
              <w:rPr>
                <w:sz w:val="24"/>
                <w:szCs w:val="24"/>
                <w:color w:val="auto"/>
              </w:rPr>
            </w:pPr>
          </w:p>
        </w:tc>
        <w:tc>
          <w:tcPr>
            <w:tcW w:w="6840" w:type="dxa"/>
            <w:vAlign w:val="bottom"/>
            <w:tcBorders>
              <w:top w:val="single" w:sz="8" w:color="0000EE"/>
            </w:tcBorders>
            <w:gridSpan w:val="1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3. Quantitative and Qualitative Disclosures About Market Risk</w:t>
              </w:r>
            </w:hyperlink>
            <w:r>
              <w:rPr>
                <w:rFonts w:ascii="Arial" w:cs="Arial" w:eastAsia="Arial" w:hAnsi="Arial"/>
                <w:sz w:val="18"/>
                <w:szCs w:val="18"/>
                <w:color w:val="000000"/>
              </w:rPr>
              <w:t>.</w:t>
            </w:r>
          </w:p>
        </w:tc>
        <w:tc>
          <w:tcPr>
            <w:tcW w:w="37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tcBorders>
            <w:gridSpan w:val="1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4. Controls and Procedures</w:t>
              </w:r>
            </w:hyperlink>
            <w:r>
              <w:rPr>
                <w:rFonts w:ascii="Arial" w:cs="Arial" w:eastAsia="Arial" w:hAnsi="Arial"/>
                <w:sz w:val="18"/>
                <w:szCs w:val="18"/>
                <w:color w:val="000000"/>
              </w:rPr>
              <w:t>.</w:t>
            </w:r>
          </w:p>
        </w:tc>
        <w:tc>
          <w:tcPr>
            <w:tcW w:w="57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2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12">
              <w:r>
                <w:rPr>
                  <w:rFonts w:ascii="Arial" w:cs="Arial" w:eastAsia="Arial" w:hAnsi="Arial"/>
                  <w:sz w:val="18"/>
                  <w:szCs w:val="18"/>
                  <w:color w:val="0000EE"/>
                  <w:w w:val="95"/>
                </w:rPr>
                <w:t>Part II. OTHER INFORMATION</w:t>
              </w:r>
            </w:hyperlink>
          </w:p>
        </w:tc>
        <w:tc>
          <w:tcPr>
            <w:tcW w:w="856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2"/>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 Legal Proceedings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04"/>
        </w:trPr>
        <w:tc>
          <w:tcPr>
            <w:tcW w:w="440" w:type="dxa"/>
            <w:vAlign w:val="bottom"/>
          </w:tcPr>
          <w:p>
            <w:pPr>
              <w:spacing w:after="0"/>
              <w:rPr>
                <w:sz w:val="24"/>
                <w:szCs w:val="24"/>
                <w:color w:val="auto"/>
              </w:rPr>
            </w:pPr>
          </w:p>
        </w:tc>
        <w:tc>
          <w:tcPr>
            <w:tcW w:w="1840" w:type="dxa"/>
            <w:vAlign w:val="bottom"/>
            <w:tcBorders>
              <w:top w:val="single" w:sz="8" w:color="0000EE"/>
            </w:tcBorders>
            <w:gridSpan w:val="7"/>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1A. Risk Factors</w:t>
              </w:r>
            </w:hyperlink>
            <w:r>
              <w:rPr>
                <w:rFonts w:ascii="Arial" w:cs="Arial" w:eastAsia="Arial" w:hAnsi="Arial"/>
                <w:sz w:val="18"/>
                <w:szCs w:val="18"/>
                <w:color w:val="000000"/>
              </w:rPr>
              <w:t>.</w:t>
            </w:r>
          </w:p>
        </w:tc>
        <w:tc>
          <w:tcPr>
            <w:tcW w:w="872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60" w:type="dxa"/>
            <w:vAlign w:val="bottom"/>
            <w:gridSpan w:val="2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2. Unregistered Sales of Equity Securities and Use of Proceeds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4"/>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3. Defaults Upon Senior Securities</w:t>
              </w:r>
            </w:hyperlink>
            <w:r>
              <w:rPr>
                <w:rFonts w:ascii="Arial" w:cs="Arial" w:eastAsia="Arial" w:hAnsi="Arial"/>
                <w:sz w:val="18"/>
                <w:szCs w:val="18"/>
                <w:color w:val="000000"/>
              </w:rPr>
              <w:t>.</w:t>
            </w:r>
          </w:p>
        </w:tc>
        <w:tc>
          <w:tcPr>
            <w:tcW w:w="57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4. Mine Safety Disclosures</w:t>
              </w:r>
            </w:hyperlink>
            <w:r>
              <w:rPr>
                <w:rFonts w:ascii="Arial" w:cs="Arial" w:eastAsia="Arial" w:hAnsi="Arial"/>
                <w:sz w:val="18"/>
                <w:szCs w:val="18"/>
                <w:color w:val="000000"/>
              </w:rPr>
              <w:t>.</w:t>
            </w:r>
          </w:p>
        </w:tc>
        <w:tc>
          <w:tcPr>
            <w:tcW w:w="77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5. Other Information</w:t>
              </w:r>
            </w:hyperlink>
            <w:r>
              <w:rPr>
                <w:rFonts w:ascii="Arial" w:cs="Arial" w:eastAsia="Arial" w:hAnsi="Arial"/>
                <w:sz w:val="18"/>
                <w:szCs w:val="18"/>
                <w:color w:val="000000"/>
              </w:rPr>
              <w:t>.</w:t>
            </w:r>
          </w:p>
        </w:tc>
        <w:tc>
          <w:tcPr>
            <w:tcW w:w="83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6. Exhibits</w:t>
              </w:r>
            </w:hyperlink>
            <w:r>
              <w:rPr>
                <w:rFonts w:ascii="Arial" w:cs="Arial" w:eastAsia="Arial" w:hAnsi="Arial"/>
                <w:sz w:val="18"/>
                <w:szCs w:val="18"/>
                <w:color w:val="000000"/>
              </w:rPr>
              <w:t>.</w:t>
            </w:r>
          </w:p>
        </w:tc>
        <w:tc>
          <w:tcPr>
            <w:tcW w:w="874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40" w:type="dxa"/>
            <w:vAlign w:val="bottom"/>
            <w:gridSpan w:val="1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000" w:type="dxa"/>
            <w:vAlign w:val="bottom"/>
            <w:gridSpan w:val="2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20"/>
        </w:trPr>
        <w:tc>
          <w:tcPr>
            <w:tcW w:w="10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0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15">
              <w:r>
                <w:rPr>
                  <w:rFonts w:ascii="Arial" w:cs="Arial" w:eastAsia="Arial" w:hAnsi="Arial"/>
                  <w:sz w:val="18"/>
                  <w:szCs w:val="18"/>
                  <w:color w:val="0000EE"/>
                  <w:w w:val="98"/>
                </w:rPr>
                <w:t>EXHIBIT INDEX</w:t>
              </w:r>
            </w:hyperlink>
          </w:p>
        </w:tc>
        <w:tc>
          <w:tcPr>
            <w:tcW w:w="9700" w:type="dxa"/>
            <w:vAlign w:val="bottom"/>
            <w:gridSpan w:val="1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83"/>
        </w:trPr>
        <w:tc>
          <w:tcPr>
            <w:tcW w:w="6940" w:type="dxa"/>
            <w:vAlign w:val="bottom"/>
            <w:gridSpan w:val="17"/>
          </w:tcPr>
          <w:p>
            <w:pPr>
              <w:ind w:left="5560"/>
              <w:spacing w:after="0"/>
              <w:rPr>
                <w:sz w:val="20"/>
                <w:szCs w:val="20"/>
                <w:color w:val="auto"/>
              </w:rPr>
            </w:pPr>
            <w:r>
              <w:rPr>
                <w:rFonts w:ascii="Arial" w:cs="Arial" w:eastAsia="Arial" w:hAnsi="Arial"/>
                <w:sz w:val="18"/>
                <w:szCs w:val="18"/>
                <w:color w:val="auto"/>
              </w:rPr>
              <w:t>- 2 -</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60" w:type="dxa"/>
            <w:vAlign w:val="bottom"/>
          </w:tcPr>
          <w:p>
            <w:pPr>
              <w:spacing w:after="0"/>
              <w:rPr>
                <w:sz w:val="14"/>
                <w:szCs w:val="14"/>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4"/>
                <w:szCs w:val="14"/>
                <w:color w:val="auto"/>
                <w:w w:val="89"/>
              </w:rPr>
              <w:t>September 30,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66"/>
        </w:trPr>
        <w:tc>
          <w:tcPr>
            <w:tcW w:w="9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line="146"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4"/>
                <w:szCs w:val="14"/>
                <w:color w:val="auto"/>
              </w:rPr>
            </w:pPr>
          </w:p>
        </w:tc>
        <w:tc>
          <w:tcPr>
            <w:tcW w:w="86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8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Cash and due from banks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1,622,928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at banks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411,994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Federal funds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526,844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w w:val="91"/>
              </w:rPr>
              <w:t>Investment securities (includes pledged securities that can be sold or repledged of $1,826,216 at September 30, 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640"/>
              <w:spacing w:after="0"/>
              <w:rPr>
                <w:sz w:val="20"/>
                <w:szCs w:val="20"/>
                <w:color w:val="auto"/>
              </w:rPr>
            </w:pPr>
            <w:r>
              <w:rPr>
                <w:rFonts w:ascii="Arial" w:cs="Arial" w:eastAsia="Arial" w:hAnsi="Arial"/>
                <w:sz w:val="18"/>
                <w:szCs w:val="18"/>
                <w:color w:val="auto"/>
              </w:rPr>
              <w:t>$1,826,011 at December 31, 2011)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Available for sale (cost: $5,091,116 at September 30, 2012; $6,312,423 at December 31, 2011)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5,183,878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860"/>
              <w:spacing w:after="0"/>
              <w:rPr>
                <w:sz w:val="20"/>
                <w:szCs w:val="20"/>
                <w:color w:val="auto"/>
              </w:rPr>
            </w:pPr>
            <w:r>
              <w:rPr>
                <w:rFonts w:ascii="Arial" w:cs="Arial" w:eastAsia="Arial" w:hAnsi="Arial"/>
                <w:sz w:val="18"/>
                <w:szCs w:val="18"/>
                <w:color w:val="auto"/>
              </w:rPr>
              <w:t>Held to maturity (fair value: $1,074,771 at September 30, 2012; $1,012,562 at December 31, 2011)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1,121,325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(fair value: $318,801 at September 30, 2012; $366,886 at December 31, 2011)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318,801</w:t>
            </w: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tcPr>
          <w:p>
            <w:pPr>
              <w:ind w:left="128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6,624,004</w:t>
            </w:r>
          </w:p>
        </w:tc>
        <w:tc>
          <w:tcPr>
            <w:tcW w:w="3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and leases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64,335,438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60,377,875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860"/>
              <w:spacing w:after="0"/>
              <w:rPr>
                <w:sz w:val="20"/>
                <w:szCs w:val="20"/>
                <w:color w:val="auto"/>
              </w:rPr>
            </w:pPr>
            <w:r>
              <w:rPr>
                <w:rFonts w:ascii="Arial" w:cs="Arial" w:eastAsia="Arial" w:hAnsi="Arial"/>
                <w:sz w:val="18"/>
                <w:szCs w:val="18"/>
                <w:color w:val="auto"/>
              </w:rPr>
              <w:t>Unearned discount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(223,483)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Loans and leases, net of unearned discount</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64,111,955</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60,096,005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860"/>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(921,223)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Loans and leases, net</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63,190,732</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59,187,715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589,035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581,435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3,524,625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129,628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interest and other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4,465,443</w:t>
            </w: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1280"/>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81,085,233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77,924,287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Noninterest-bearing deposits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22,968,401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20,017,883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1,499,915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33,163,780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31,001,083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4,972,409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6,107,530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1,402,753</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64,007,258</w:t>
            </w: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59,394,649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Federal funds purchased and agreements to repurchase securities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592,154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732,059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short-term borrowings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Accrued interest and 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1,570,758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4,969,536</w:t>
            </w:r>
          </w:p>
        </w:tc>
        <w:tc>
          <w:tcPr>
            <w:tcW w:w="3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tcPr>
          <w:p>
            <w:pPr>
              <w:ind w:left="12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71,139,706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68,653,078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w w:val="91"/>
              </w:rPr>
              <w:t>Preferred stock, $1.00 par, 1,000,000 shares authorized; Issued and outstanding: Liquidation preference of $1,000 per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640"/>
              <w:spacing w:after="0"/>
              <w:rPr>
                <w:sz w:val="20"/>
                <w:szCs w:val="20"/>
                <w:color w:val="auto"/>
              </w:rPr>
            </w:pPr>
            <w:r>
              <w:rPr>
                <w:rFonts w:ascii="Arial" w:cs="Arial" w:eastAsia="Arial" w:hAnsi="Arial"/>
                <w:sz w:val="18"/>
                <w:szCs w:val="18"/>
                <w:color w:val="auto"/>
                <w:w w:val="90"/>
              </w:rPr>
              <w:t>share: 381,500 shares at September 30, 2012 and December 31, 2011; Liquidation preference of $10,000 per share: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640"/>
              <w:spacing w:after="0"/>
              <w:rPr>
                <w:sz w:val="20"/>
                <w:szCs w:val="20"/>
                <w:color w:val="auto"/>
              </w:rPr>
            </w:pPr>
            <w:r>
              <w:rPr>
                <w:rFonts w:ascii="Arial" w:cs="Arial" w:eastAsia="Arial" w:hAnsi="Arial"/>
                <w:sz w:val="18"/>
                <w:szCs w:val="18"/>
                <w:color w:val="auto"/>
              </w:rPr>
              <w:t>50,000 shares at September 30, 2012 and December 31, 2011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870,416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864,585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Common stock, $.50 par, 250,000,000 shares authorized, 127,403,420 shares issued at September 30, 2012; 125,683,398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shares issued at December 31, 2011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63,702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Common stock issuable, 57,316 shares at September 30, 2012; 68,220 shares at December 31, 2011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3,451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2,951,248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6,286,785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5,867,165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(230,075)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tcPr>
          <w:p>
            <w:pPr>
              <w:ind w:left="128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9,945,527</w:t>
            </w:r>
          </w:p>
        </w:tc>
        <w:tc>
          <w:tcPr>
            <w:tcW w:w="3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81,085,233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77,924,287</w:t>
            </w: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jc w:val="right"/>
              <w:ind w:right="3220"/>
              <w:spacing w:after="0"/>
              <w:rPr>
                <w:sz w:val="20"/>
                <w:szCs w:val="20"/>
                <w:color w:val="auto"/>
              </w:rPr>
            </w:pPr>
            <w:r>
              <w:rPr>
                <w:rFonts w:ascii="Arial" w:cs="Arial" w:eastAsia="Arial" w:hAnsi="Arial"/>
                <w:sz w:val="18"/>
                <w:szCs w:val="18"/>
                <w:color w:val="auto"/>
              </w:rPr>
              <w:t>- 3 -</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0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 except per share</w:t>
            </w:r>
          </w:p>
        </w:tc>
        <w:tc>
          <w:tcPr>
            <w:tcW w:w="5480" w:type="dxa"/>
            <w:vAlign w:val="bottom"/>
          </w:tcPr>
          <w:p>
            <w:pPr>
              <w:spacing w:after="0"/>
              <w:rPr>
                <w:sz w:val="14"/>
                <w:szCs w:val="14"/>
                <w:color w:val="auto"/>
              </w:rPr>
            </w:pPr>
          </w:p>
        </w:tc>
        <w:tc>
          <w:tcPr>
            <w:tcW w:w="2080" w:type="dxa"/>
            <w:vAlign w:val="bottom"/>
            <w:gridSpan w:val="5"/>
          </w:tcPr>
          <w:p>
            <w:pPr>
              <w:jc w:val="right"/>
              <w:ind w:right="160"/>
              <w:spacing w:after="0"/>
              <w:rPr>
                <w:sz w:val="20"/>
                <w:szCs w:val="20"/>
                <w:color w:val="auto"/>
              </w:rPr>
            </w:pPr>
            <w:r>
              <w:rPr>
                <w:rFonts w:ascii="Arial" w:cs="Arial" w:eastAsia="Arial" w:hAnsi="Arial"/>
                <w:sz w:val="14"/>
                <w:szCs w:val="14"/>
                <w:color w:val="auto"/>
                <w:w w:val="85"/>
              </w:rPr>
              <w:t>Three months ended September 30</w:t>
            </w:r>
          </w:p>
        </w:tc>
        <w:tc>
          <w:tcPr>
            <w:tcW w:w="80" w:type="dxa"/>
            <w:vAlign w:val="bottom"/>
          </w:tcPr>
          <w:p>
            <w:pPr>
              <w:spacing w:after="0"/>
              <w:rPr>
                <w:sz w:val="14"/>
                <w:szCs w:val="14"/>
                <w:color w:val="auto"/>
              </w:rPr>
            </w:pPr>
          </w:p>
        </w:tc>
        <w:tc>
          <w:tcPr>
            <w:tcW w:w="2020" w:type="dxa"/>
            <w:vAlign w:val="bottom"/>
            <w:gridSpan w:val="5"/>
          </w:tcPr>
          <w:p>
            <w:pPr>
              <w:jc w:val="right"/>
              <w:ind w:right="140"/>
              <w:spacing w:after="0"/>
              <w:rPr>
                <w:sz w:val="20"/>
                <w:szCs w:val="20"/>
                <w:color w:val="auto"/>
              </w:rPr>
            </w:pPr>
            <w:r>
              <w:rPr>
                <w:rFonts w:ascii="Arial" w:cs="Arial" w:eastAsia="Arial" w:hAnsi="Arial"/>
                <w:sz w:val="14"/>
                <w:szCs w:val="14"/>
                <w:color w:val="auto"/>
                <w:w w:val="87"/>
              </w:rPr>
              <w:t>Nine months ended September 30</w:t>
            </w:r>
          </w:p>
        </w:tc>
        <w:tc>
          <w:tcPr>
            <w:tcW w:w="0" w:type="dxa"/>
            <w:vAlign w:val="bottom"/>
          </w:tcPr>
          <w:p>
            <w:pPr>
              <w:spacing w:after="0"/>
              <w:rPr>
                <w:sz w:val="1"/>
                <w:szCs w:val="1"/>
                <w:color w:val="auto"/>
              </w:rPr>
            </w:pPr>
          </w:p>
        </w:tc>
      </w:tr>
      <w:tr>
        <w:trPr>
          <w:trHeight w:val="166"/>
        </w:trPr>
        <w:tc>
          <w:tcPr>
            <w:tcW w:w="1760" w:type="dxa"/>
            <w:vAlign w:val="bottom"/>
            <w:tcBorders>
              <w:bottom w:val="single" w:sz="8" w:color="auto"/>
            </w:tcBorders>
            <w:vMerge w:val="continue"/>
          </w:tcPr>
          <w:p>
            <w:pPr>
              <w:spacing w:after="0"/>
              <w:rPr>
                <w:sz w:val="14"/>
                <w:szCs w:val="14"/>
                <w:color w:val="auto"/>
              </w:rPr>
            </w:pPr>
          </w:p>
        </w:tc>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240" w:type="dxa"/>
            <w:vAlign w:val="bottom"/>
          </w:tcPr>
          <w:p>
            <w:pPr>
              <w:spacing w:after="0"/>
              <w:rPr>
                <w:sz w:val="14"/>
                <w:szCs w:val="14"/>
                <w:color w:val="auto"/>
              </w:rPr>
            </w:pPr>
          </w:p>
        </w:tc>
        <w:tc>
          <w:tcPr>
            <w:tcW w:w="86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84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480" w:type="dxa"/>
            <w:vAlign w:val="bottom"/>
            <w:tcBorders>
              <w:top w:val="single" w:sz="8" w:color="CCEEFF"/>
            </w:tcBorders>
            <w:shd w:val="clear" w:color="auto" w:fill="CCEEFF"/>
          </w:tcPr>
          <w:p>
            <w:pPr>
              <w:ind w:left="620"/>
              <w:spacing w:after="0" w:line="202" w:lineRule="exact"/>
              <w:rPr>
                <w:sz w:val="20"/>
                <w:szCs w:val="20"/>
                <w:color w:val="auto"/>
              </w:rPr>
            </w:pPr>
            <w:r>
              <w:rPr>
                <w:rFonts w:ascii="Arial" w:cs="Arial" w:eastAsia="Arial" w:hAnsi="Arial"/>
                <w:sz w:val="18"/>
                <w:szCs w:val="18"/>
                <w:color w:val="auto"/>
              </w:rPr>
              <w:t>Loans and leases, including fees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687,466</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655,581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2,010,529</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1,873,860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Deposits at banks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Federal funds sold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Agreements to resell securities</w:t>
            </w: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Trading account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Investment securities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Fully taxable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192,369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80" w:type="dxa"/>
            <w:vAlign w:val="bottom"/>
          </w:tcPr>
          <w:p>
            <w:pPr>
              <w:ind w:left="1060"/>
              <w:spacing w:after="0"/>
              <w:rPr>
                <w:sz w:val="20"/>
                <w:szCs w:val="20"/>
                <w:color w:val="auto"/>
              </w:rPr>
            </w:pPr>
            <w:r>
              <w:rPr>
                <w:rFonts w:ascii="Arial" w:cs="Arial" w:eastAsia="Arial" w:hAnsi="Arial"/>
                <w:sz w:val="18"/>
                <w:szCs w:val="18"/>
                <w:color w:val="auto"/>
              </w:rPr>
              <w:t>Exempt from federal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744,851</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2,196,332</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Interest expense</w:t>
            </w:r>
          </w:p>
        </w:tc>
        <w:tc>
          <w:tcPr>
            <w:tcW w:w="5480" w:type="dxa"/>
            <w:vAlign w:val="bottom"/>
          </w:tcPr>
          <w:p>
            <w:pPr>
              <w:ind w:left="620"/>
              <w:spacing w:after="0"/>
              <w:rPr>
                <w:sz w:val="20"/>
                <w:szCs w:val="20"/>
                <w:color w:val="auto"/>
              </w:rPr>
            </w:pPr>
            <w:r>
              <w:rPr>
                <w:rFonts w:ascii="Arial" w:cs="Arial" w:eastAsia="Arial" w:hAnsi="Arial"/>
                <w:sz w:val="18"/>
                <w:szCs w:val="18"/>
                <w:color w:val="auto"/>
              </w:rPr>
              <w:t>NOW accounts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51,633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10,843</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17,684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36,706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56,065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Deposits at Cayman Islands office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Long-term borrowings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174,068</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5480" w:type="dxa"/>
            <w:vAlign w:val="bottom"/>
          </w:tcPr>
          <w:p>
            <w:pPr>
              <w:ind w:left="148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82,129</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265,238</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i w:val="1"/>
                <w:iCs w:val="1"/>
                <w:color w:val="auto"/>
              </w:rPr>
              <w:t>Net interest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1,931,094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1,771,725</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interest income after provision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616,722</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1,776,094</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Other income</w:t>
            </w:r>
          </w:p>
        </w:tc>
        <w:tc>
          <w:tcPr>
            <w:tcW w:w="5480" w:type="dxa"/>
            <w:vAlign w:val="bottom"/>
          </w:tcPr>
          <w:p>
            <w:pPr>
              <w:ind w:left="620"/>
              <w:spacing w:after="0"/>
              <w:rPr>
                <w:sz w:val="20"/>
                <w:szCs w:val="20"/>
                <w:color w:val="auto"/>
              </w:rPr>
            </w:pPr>
            <w:r>
              <w:rPr>
                <w:rFonts w:ascii="Arial" w:cs="Arial" w:eastAsia="Arial" w:hAnsi="Arial"/>
                <w:sz w:val="18"/>
                <w:szCs w:val="18"/>
                <w:color w:val="auto"/>
              </w:rPr>
              <w:t>Mortgage banking revenues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106,812</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232,518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125,448</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334,334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351,024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Trust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115,709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113,652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354,937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218,565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Brokerage services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Trading account and foreign exchange gains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8,469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25,278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Gain on bank investment securities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150,186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Total other-than-temporary impairment (“OTTI”) losses</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(2,134)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(26,246)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(50,374)</w:t>
            </w:r>
          </w:p>
        </w:tc>
        <w:tc>
          <w:tcPr>
            <w:tcW w:w="0" w:type="dxa"/>
            <w:vAlign w:val="bottom"/>
          </w:tcPr>
          <w:p>
            <w:pPr>
              <w:spacing w:after="0"/>
              <w:rPr>
                <w:sz w:val="1"/>
                <w:szCs w:val="1"/>
                <w:color w:val="auto"/>
              </w:rPr>
            </w:pPr>
          </w:p>
        </w:tc>
      </w:tr>
      <w:tr>
        <w:trPr>
          <w:trHeight w:val="208"/>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Portion of OTTI losses recognized in other comprehensive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spacing w:after="0"/>
              <w:rPr>
                <w:sz w:val="19"/>
                <w:szCs w:val="19"/>
                <w:color w:val="auto"/>
              </w:rPr>
            </w:pPr>
          </w:p>
        </w:tc>
        <w:tc>
          <w:tcPr>
            <w:tcW w:w="5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(before taxes)</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480" w:type="dxa"/>
            <w:vAlign w:val="bottom"/>
            <w:vMerge w:val="restart"/>
          </w:tcPr>
          <w:p>
            <w:pPr>
              <w:ind w:left="1480"/>
              <w:spacing w:after="0"/>
              <w:rPr>
                <w:sz w:val="20"/>
                <w:szCs w:val="20"/>
                <w:color w:val="auto"/>
              </w:rPr>
            </w:pPr>
            <w:r>
              <w:rPr>
                <w:rFonts w:ascii="Arial" w:cs="Arial" w:eastAsia="Arial" w:hAnsi="Arial"/>
                <w:sz w:val="18"/>
                <w:szCs w:val="18"/>
                <w:color w:val="auto"/>
              </w:rPr>
              <w:t>Net OTTI losses recognized in earnings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76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(5,672)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(33,331)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(52,213)</w:t>
            </w:r>
          </w:p>
        </w:tc>
        <w:tc>
          <w:tcPr>
            <w:tcW w:w="0" w:type="dxa"/>
            <w:vAlign w:val="bottom"/>
          </w:tcPr>
          <w:p>
            <w:pPr>
              <w:spacing w:after="0"/>
              <w:rPr>
                <w:sz w:val="1"/>
                <w:szCs w:val="1"/>
                <w:color w:val="auto"/>
              </w:rPr>
            </w:pPr>
          </w:p>
        </w:tc>
      </w:tr>
      <w:tr>
        <w:trPr>
          <w:trHeight w:val="28"/>
        </w:trPr>
        <w:tc>
          <w:tcPr>
            <w:tcW w:w="17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Equity in earnings of Bayview Lending Group LLC</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(16,570)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Other revenues from operations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96,649</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272,744</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Total other income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445,733</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1,214,106</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Other expense</w:t>
            </w:r>
          </w:p>
        </w:tc>
        <w:tc>
          <w:tcPr>
            <w:tcW w:w="5480" w:type="dxa"/>
            <w:vAlign w:val="bottom"/>
          </w:tcPr>
          <w:p>
            <w:pPr>
              <w:ind w:left="620"/>
              <w:spacing w:after="0"/>
              <w:rPr>
                <w:sz w:val="20"/>
                <w:szCs w:val="20"/>
                <w:color w:val="auto"/>
              </w:rPr>
            </w:pPr>
            <w:r>
              <w:rPr>
                <w:rFonts w:ascii="Arial" w:cs="Arial" w:eastAsia="Arial" w:hAnsi="Arial"/>
                <w:sz w:val="18"/>
                <w:szCs w:val="18"/>
                <w:color w:val="auto"/>
              </w:rPr>
              <w:t>Salaries and employee benefits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321,746</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325,197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991,530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891,465</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Equipment and net occupancy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194,667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184,434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Printing, postage and supplies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8,272</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10,593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31,512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29,518</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Amortization of core deposit and other intangible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FDIC assessments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23,801</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77,712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72,404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costs of operations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183,875</w:t>
            </w:r>
          </w:p>
        </w:tc>
        <w:tc>
          <w:tcPr>
            <w:tcW w:w="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540,927</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5480" w:type="dxa"/>
            <w:vAlign w:val="bottom"/>
          </w:tcPr>
          <w:p>
            <w:pPr>
              <w:ind w:left="148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616,027</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1,883,114</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Income before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265,082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1,107,086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1,021,698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152,966</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373,781</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i w:val="1"/>
                <w:iCs w:val="1"/>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733,305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711,739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480" w:type="dxa"/>
            <w:vAlign w:val="bottom"/>
            <w:vMerge w:val="restart"/>
          </w:tcPr>
          <w:p>
            <w:pPr>
              <w:ind w:left="620"/>
              <w:spacing w:after="0"/>
              <w:rPr>
                <w:sz w:val="20"/>
                <w:szCs w:val="20"/>
                <w:color w:val="auto"/>
              </w:rPr>
            </w:pPr>
            <w:r>
              <w:rPr>
                <w:rFonts w:ascii="Arial" w:cs="Arial" w:eastAsia="Arial" w:hAnsi="Arial"/>
                <w:sz w:val="18"/>
                <w:szCs w:val="18"/>
                <w:color w:val="auto"/>
              </w:rPr>
              <w:t>Net income available to common shareholders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18"/>
                <w:szCs w:val="18"/>
                <w:color w:val="auto"/>
              </w:rPr>
            </w:pPr>
          </w:p>
        </w:tc>
        <w:tc>
          <w:tcPr>
            <w:tcW w:w="5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676,821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651,941</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5480" w:type="dxa"/>
            <w:vAlign w:val="bottom"/>
          </w:tcPr>
          <w:p>
            <w:pPr>
              <w:ind w:left="14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273,896</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164,671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676,842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651,966</w:t>
            </w:r>
          </w:p>
        </w:tc>
        <w:tc>
          <w:tcPr>
            <w:tcW w:w="0" w:type="dxa"/>
            <w:vAlign w:val="bottom"/>
          </w:tcPr>
          <w:p>
            <w:pPr>
              <w:spacing w:after="0"/>
              <w:rPr>
                <w:sz w:val="1"/>
                <w:szCs w:val="1"/>
                <w:color w:val="auto"/>
              </w:rPr>
            </w:pPr>
          </w:p>
        </w:tc>
      </w:tr>
      <w:tr>
        <w:trPr>
          <w:trHeight w:val="102"/>
        </w:trPr>
        <w:tc>
          <w:tcPr>
            <w:tcW w:w="17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14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322"/>
        </w:trPr>
        <w:tc>
          <w:tcPr>
            <w:tcW w:w="1760" w:type="dxa"/>
            <w:vAlign w:val="bottom"/>
          </w:tcPr>
          <w:p>
            <w:pPr>
              <w:spacing w:after="0"/>
              <w:rPr>
                <w:sz w:val="24"/>
                <w:szCs w:val="24"/>
                <w:color w:val="auto"/>
              </w:rPr>
            </w:pPr>
          </w:p>
        </w:tc>
        <w:tc>
          <w:tcPr>
            <w:tcW w:w="5480" w:type="dxa"/>
            <w:vAlign w:val="bottom"/>
          </w:tcPr>
          <w:p>
            <w:pPr>
              <w:ind w:left="620"/>
              <w:spacing w:after="0"/>
              <w:rPr>
                <w:sz w:val="20"/>
                <w:szCs w:val="20"/>
                <w:color w:val="auto"/>
              </w:rPr>
            </w:pPr>
            <w:r>
              <w:rPr>
                <w:rFonts w:ascii="Arial" w:cs="Arial" w:eastAsia="Arial" w:hAnsi="Arial"/>
                <w:sz w:val="18"/>
                <w:szCs w:val="18"/>
                <w:color w:val="auto"/>
              </w:rPr>
              <w:t>Cash dividends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10"/>
        </w:trPr>
        <w:tc>
          <w:tcPr>
            <w:tcW w:w="176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Average common shares outstanding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80" w:type="dxa"/>
            <w:vAlign w:val="bottom"/>
          </w:tcPr>
          <w:p>
            <w:pPr>
              <w:ind w:left="14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125,819</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124,575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125,510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122,005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54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125,936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122,521</w:t>
            </w:r>
          </w:p>
        </w:tc>
        <w:tc>
          <w:tcPr>
            <w:tcW w:w="0" w:type="dxa"/>
            <w:vAlign w:val="bottom"/>
          </w:tcPr>
          <w:p>
            <w:pPr>
              <w:spacing w:after="0"/>
              <w:rPr>
                <w:sz w:val="1"/>
                <w:szCs w:val="1"/>
                <w:color w:val="auto"/>
              </w:rPr>
            </w:pPr>
          </w:p>
        </w:tc>
      </w:tr>
      <w:tr>
        <w:trPr>
          <w:trHeight w:val="363"/>
        </w:trPr>
        <w:tc>
          <w:tcPr>
            <w:tcW w:w="1760" w:type="dxa"/>
            <w:vAlign w:val="bottom"/>
          </w:tcPr>
          <w:p>
            <w:pPr>
              <w:spacing w:after="0"/>
              <w:rPr>
                <w:sz w:val="24"/>
                <w:szCs w:val="24"/>
                <w:color w:val="auto"/>
              </w:rPr>
            </w:pPr>
          </w:p>
        </w:tc>
        <w:tc>
          <w:tcPr>
            <w:tcW w:w="5480" w:type="dxa"/>
            <w:vAlign w:val="bottom"/>
          </w:tcPr>
          <w:p>
            <w:pPr>
              <w:ind w:left="3800"/>
              <w:spacing w:after="0"/>
              <w:rPr>
                <w:sz w:val="20"/>
                <w:szCs w:val="20"/>
                <w:color w:val="auto"/>
              </w:rPr>
            </w:pPr>
            <w:r>
              <w:rPr>
                <w:rFonts w:ascii="Arial" w:cs="Arial" w:eastAsia="Arial" w:hAnsi="Arial"/>
                <w:sz w:val="18"/>
                <w:szCs w:val="18"/>
                <w:color w:val="auto"/>
              </w:rPr>
              <w:t>- 4 -</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59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5"/>
          </w:tcPr>
          <w:p>
            <w:pPr>
              <w:jc w:val="right"/>
              <w:ind w:right="240"/>
              <w:spacing w:after="0"/>
              <w:rPr>
                <w:sz w:val="20"/>
                <w:szCs w:val="20"/>
                <w:color w:val="auto"/>
              </w:rPr>
            </w:pPr>
            <w:r>
              <w:rPr>
                <w:rFonts w:ascii="Arial" w:cs="Arial" w:eastAsia="Arial" w:hAnsi="Arial"/>
                <w:sz w:val="14"/>
                <w:szCs w:val="14"/>
                <w:color w:val="auto"/>
                <w:w w:val="86"/>
              </w:rPr>
              <w:t>Three months ended September 30</w:t>
            </w:r>
          </w:p>
        </w:tc>
        <w:tc>
          <w:tcPr>
            <w:tcW w:w="120" w:type="dxa"/>
            <w:vAlign w:val="bottom"/>
          </w:tcPr>
          <w:p>
            <w:pPr>
              <w:spacing w:after="0"/>
              <w:rPr>
                <w:sz w:val="14"/>
                <w:szCs w:val="14"/>
                <w:color w:val="auto"/>
              </w:rPr>
            </w:pPr>
          </w:p>
        </w:tc>
        <w:tc>
          <w:tcPr>
            <w:tcW w:w="2100" w:type="dxa"/>
            <w:vAlign w:val="bottom"/>
            <w:gridSpan w:val="5"/>
          </w:tcPr>
          <w:p>
            <w:pPr>
              <w:jc w:val="right"/>
              <w:ind w:right="180"/>
              <w:spacing w:after="0"/>
              <w:rPr>
                <w:sz w:val="20"/>
                <w:szCs w:val="20"/>
                <w:color w:val="auto"/>
              </w:rPr>
            </w:pPr>
            <w:r>
              <w:rPr>
                <w:rFonts w:ascii="Arial" w:cs="Arial" w:eastAsia="Arial" w:hAnsi="Arial"/>
                <w:sz w:val="14"/>
                <w:szCs w:val="14"/>
                <w:color w:val="auto"/>
                <w:w w:val="89"/>
              </w:rPr>
              <w:t>Nine months ended September 30</w:t>
            </w:r>
          </w:p>
        </w:tc>
        <w:tc>
          <w:tcPr>
            <w:tcW w:w="0" w:type="dxa"/>
            <w:vAlign w:val="bottom"/>
          </w:tcPr>
          <w:p>
            <w:pPr>
              <w:spacing w:after="0"/>
              <w:rPr>
                <w:sz w:val="1"/>
                <w:szCs w:val="1"/>
                <w:color w:val="auto"/>
              </w:rPr>
            </w:pPr>
          </w:p>
        </w:tc>
      </w:tr>
      <w:tr>
        <w:trPr>
          <w:trHeight w:val="166"/>
        </w:trPr>
        <w:tc>
          <w:tcPr>
            <w:tcW w:w="76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line="146" w:lineRule="exact"/>
              <w:rPr>
                <w:sz w:val="20"/>
                <w:szCs w:val="20"/>
                <w:color w:val="auto"/>
              </w:rPr>
            </w:pPr>
            <w:r>
              <w:rPr>
                <w:rFonts w:ascii="Arial" w:cs="Arial" w:eastAsia="Arial" w:hAnsi="Arial"/>
                <w:sz w:val="14"/>
                <w:szCs w:val="14"/>
                <w:color w:val="auto"/>
              </w:rPr>
              <w:t>2012</w:t>
            </w:r>
          </w:p>
        </w:tc>
        <w:tc>
          <w:tcPr>
            <w:tcW w:w="1160" w:type="dxa"/>
            <w:vAlign w:val="bottom"/>
            <w:gridSpan w:val="2"/>
          </w:tcPr>
          <w:p>
            <w:pPr>
              <w:jc w:val="right"/>
              <w:ind w:right="192"/>
              <w:spacing w:after="0" w:line="146" w:lineRule="exact"/>
              <w:rPr>
                <w:sz w:val="20"/>
                <w:szCs w:val="20"/>
                <w:color w:val="auto"/>
              </w:rPr>
            </w:pPr>
            <w:r>
              <w:rPr>
                <w:rFonts w:ascii="Arial" w:cs="Arial" w:eastAsia="Arial" w:hAnsi="Arial"/>
                <w:sz w:val="14"/>
                <w:szCs w:val="14"/>
                <w:color w:val="auto"/>
              </w:rPr>
              <w:t>2011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line="146"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4"/>
                <w:szCs w:val="14"/>
                <w:color w:val="auto"/>
              </w:rPr>
            </w:pPr>
          </w:p>
        </w:tc>
        <w:tc>
          <w:tcPr>
            <w:tcW w:w="840" w:type="dxa"/>
            <w:vAlign w:val="bottom"/>
          </w:tcPr>
          <w:p>
            <w:pPr>
              <w:jc w:val="right"/>
              <w:ind w:right="195"/>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293,462</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183,108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733,305</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711,739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unrealized gains on investment securities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42,560</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34,862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111,931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323"/>
        </w:trPr>
        <w:tc>
          <w:tcPr>
            <w:tcW w:w="6680" w:type="dxa"/>
            <w:vAlign w:val="bottom"/>
            <w:gridSpan w:val="2"/>
          </w:tcPr>
          <w:p>
            <w:pPr>
              <w:ind w:left="440"/>
              <w:spacing w:after="0"/>
              <w:rPr>
                <w:sz w:val="20"/>
                <w:szCs w:val="20"/>
                <w:color w:val="auto"/>
              </w:rPr>
            </w:pPr>
            <w:r>
              <w:rPr>
                <w:rFonts w:ascii="Arial" w:cs="Arial" w:eastAsia="Arial" w:hAnsi="Arial"/>
                <w:sz w:val="18"/>
                <w:szCs w:val="18"/>
                <w:color w:val="auto"/>
                <w:w w:val="93"/>
              </w:rPr>
              <w:t>Reclassification to income for amortization of gains on terminated cash flow hedges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7"/>
        </w:trPr>
        <w:tc>
          <w:tcPr>
            <w:tcW w:w="6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6680" w:type="dxa"/>
            <w:vAlign w:val="bottom"/>
            <w:gridSpan w:val="2"/>
          </w:tcPr>
          <w:p>
            <w:pPr>
              <w:ind w:left="440"/>
              <w:spacing w:after="0"/>
              <w:rPr>
                <w:sz w:val="20"/>
                <w:szCs w:val="20"/>
                <w:color w:val="auto"/>
              </w:rPr>
            </w:pPr>
            <w:r>
              <w:rPr>
                <w:rFonts w:ascii="Arial" w:cs="Arial" w:eastAsia="Arial" w:hAnsi="Arial"/>
                <w:sz w:val="18"/>
                <w:szCs w:val="18"/>
                <w:color w:val="auto"/>
              </w:rPr>
              <w:t>Defined benefit plans liability adjustment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4,732</w:t>
            </w: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14,196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Total other comprehensive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126,366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92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Total comprehensive income</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5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341,236</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219,344</w:t>
            </w:r>
          </w:p>
        </w:tc>
        <w:tc>
          <w:tcPr>
            <w:tcW w:w="3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859,671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724,426</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ind w:left="5560"/>
              <w:spacing w:after="0"/>
              <w:rPr>
                <w:sz w:val="20"/>
                <w:szCs w:val="20"/>
                <w:color w:val="auto"/>
              </w:rPr>
            </w:pPr>
            <w:r>
              <w:rPr>
                <w:rFonts w:ascii="Arial" w:cs="Arial" w:eastAsia="Arial" w:hAnsi="Arial"/>
                <w:sz w:val="18"/>
                <w:szCs w:val="18"/>
                <w:color w:val="auto"/>
              </w:rPr>
              <w:t>- 5 -</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220"/>
              <w:spacing w:after="0"/>
              <w:rPr>
                <w:sz w:val="20"/>
                <w:szCs w:val="20"/>
                <w:color w:val="auto"/>
              </w:rPr>
            </w:pPr>
            <w:r>
              <w:rPr>
                <w:rFonts w:ascii="Arial" w:cs="Arial" w:eastAsia="Arial" w:hAnsi="Arial"/>
                <w:sz w:val="14"/>
                <w:szCs w:val="14"/>
                <w:color w:val="auto"/>
                <w:w w:val="85"/>
              </w:rPr>
              <w:t>Nine months ended September 30</w:t>
            </w:r>
          </w:p>
        </w:tc>
        <w:tc>
          <w:tcPr>
            <w:tcW w:w="0" w:type="dxa"/>
            <w:vAlign w:val="bottom"/>
          </w:tcPr>
          <w:p>
            <w:pPr>
              <w:spacing w:after="0"/>
              <w:rPr>
                <w:sz w:val="1"/>
                <w:szCs w:val="1"/>
                <w:color w:val="auto"/>
              </w:rPr>
            </w:pPr>
          </w:p>
        </w:tc>
      </w:tr>
      <w:tr>
        <w:trPr>
          <w:trHeight w:val="146"/>
        </w:trPr>
        <w:tc>
          <w:tcPr>
            <w:tcW w:w="2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2"/>
                <w:szCs w:val="12"/>
                <w:color w:val="auto"/>
              </w:rPr>
            </w:pPr>
          </w:p>
        </w:tc>
        <w:tc>
          <w:tcPr>
            <w:tcW w:w="86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flows from</w:t>
            </w:r>
          </w:p>
        </w:tc>
        <w:tc>
          <w:tcPr>
            <w:tcW w:w="16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733,305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credit losses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Depreciation and amortization of premises and equipment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63,344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capitalized servicing rights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44,678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Amortization of core deposit and other intangible assets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46,766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108,699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Asset write-downs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46,505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gain on sales of assets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Net change in accrued interest receivable, payable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(10,712)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other accrued income and expense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(204,876)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Net change in loans originated for sale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(528,606)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Net change in trading account assets and liabilities</w:t>
            </w: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473,776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1,285,497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160" w:type="dxa"/>
            <w:vAlign w:val="bottom"/>
            <w:tcBorders>
              <w:top w:val="single" w:sz="8" w:color="auto"/>
            </w:tcBorders>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 securities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Available for sale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49,430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61,648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Proceeds from maturities of investment securities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 for sale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1,155,603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Held to maturity</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237,933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Available for sale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(26,115)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(2,569,168)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Held to maturity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(282,704)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(13,563)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increase in loans and leases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(3,572,339)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Net (increase) decrease in interest-bearing deposits at banks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(257,034)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decrease in agreements to resell securities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Other investments,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(7,447)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(65,947)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Acquisitions, net of cash acquired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Banks and bank holding companies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178,940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Wilmington Trust Corporation preferred stock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80,762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(86,649)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Net cash (used) provided by investing activities</w:t>
            </w:r>
          </w:p>
        </w:tc>
        <w:tc>
          <w:tcPr>
            <w:tcW w:w="5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9"/>
              </w:rPr>
              <w:t>(2,726,422)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4,624,134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Net decrease in short-term borrowings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(189,906)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on long-term borrowings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(1,727,313)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(1,750,195)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preferred stock</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Redemption of preferred stock</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Dividends paid - common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(267,481)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 - preferred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(31,494)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15,237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(used) by financing activities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2,423,177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(1,479,882)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170,531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420,302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1,452,397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1,622,928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1,354,057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Supplemental</w:t>
            </w:r>
          </w:p>
        </w:tc>
        <w:tc>
          <w:tcPr>
            <w:tcW w:w="160" w:type="dxa"/>
            <w:vAlign w:val="bottom"/>
            <w:tcBorders>
              <w:top w:val="single" w:sz="8" w:color="auto"/>
            </w:tcBorders>
            <w:shd w:val="clear" w:color="auto" w:fill="CCEEFF"/>
          </w:tcPr>
          <w:p>
            <w:pPr>
              <w:spacing w:after="0"/>
              <w:rPr>
                <w:sz w:val="19"/>
                <w:szCs w:val="19"/>
                <w:color w:val="auto"/>
              </w:rPr>
            </w:pPr>
          </w:p>
        </w:tc>
        <w:tc>
          <w:tcPr>
            <w:tcW w:w="6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disclosure of cash</w:t>
            </w: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flow information</w:t>
            </w: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received during the period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2,187,027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Interest paid during the period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280,983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320,758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63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 paid during the period</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272,502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20" w:type="dxa"/>
            <w:vAlign w:val="bottom"/>
            <w:gridSpan w:val="3"/>
          </w:tcPr>
          <w:p>
            <w:pPr>
              <w:spacing w:after="0"/>
              <w:rPr>
                <w:sz w:val="20"/>
                <w:szCs w:val="20"/>
                <w:color w:val="auto"/>
              </w:rPr>
            </w:pPr>
            <w:r>
              <w:rPr>
                <w:rFonts w:ascii="Arial" w:cs="Arial" w:eastAsia="Arial" w:hAnsi="Arial"/>
                <w:sz w:val="18"/>
                <w:szCs w:val="18"/>
                <w:color w:val="auto"/>
              </w:rPr>
              <w:t>Supplemental schedule of</w:t>
            </w:r>
          </w:p>
        </w:tc>
        <w:tc>
          <w:tcPr>
            <w:tcW w:w="1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w w:val="93"/>
              </w:rPr>
              <w:t>noncash investing and financing</w:t>
            </w:r>
          </w:p>
        </w:tc>
        <w:tc>
          <w:tcPr>
            <w:tcW w:w="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3"/>
          </w:tcPr>
          <w:p>
            <w:pPr>
              <w:spacing w:after="0"/>
              <w:rPr>
                <w:sz w:val="20"/>
                <w:szCs w:val="20"/>
                <w:color w:val="auto"/>
              </w:rPr>
            </w:pPr>
            <w:r>
              <w:rPr>
                <w:rFonts w:ascii="Arial" w:cs="Arial" w:eastAsia="Arial" w:hAnsi="Arial"/>
                <w:sz w:val="18"/>
                <w:szCs w:val="18"/>
                <w:color w:val="auto"/>
              </w:rPr>
              <w:t>activities</w:t>
            </w: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Real estate acquired in settlement of loans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36,881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51,046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Fair value of:</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acquired (noncash)</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10,666,102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Liabilities assumed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10,044,555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 issued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Retirement of Wilmington Trust Corporation preferred stock</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9019"/>
          </w:cols>
          <w:pgMar w:left="1440" w:top="131"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Accumulated</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other</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Common</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Additional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comprehensive</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6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Preferred</w:t>
            </w:r>
          </w:p>
        </w:tc>
        <w:tc>
          <w:tcPr>
            <w:tcW w:w="680" w:type="dxa"/>
            <w:vAlign w:val="bottom"/>
            <w:gridSpan w:val="2"/>
          </w:tcPr>
          <w:p>
            <w:pPr>
              <w:spacing w:after="0"/>
              <w:rPr>
                <w:sz w:val="20"/>
                <w:szCs w:val="20"/>
                <w:color w:val="auto"/>
              </w:rPr>
            </w:pPr>
            <w:r>
              <w:rPr>
                <w:rFonts w:ascii="Arial" w:cs="Arial" w:eastAsia="Arial" w:hAnsi="Arial"/>
                <w:sz w:val="14"/>
                <w:szCs w:val="14"/>
                <w:color w:val="auto"/>
              </w:rPr>
              <w:t>Common</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stock</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paid-in</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Retained</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income</w:t>
            </w:r>
          </w:p>
        </w:tc>
        <w:tc>
          <w:tcPr>
            <w:tcW w:w="680" w:type="dxa"/>
            <w:vAlign w:val="bottom"/>
            <w:gridSpan w:val="2"/>
          </w:tcPr>
          <w:p>
            <w:pPr>
              <w:spacing w:after="0"/>
              <w:rPr>
                <w:sz w:val="20"/>
                <w:szCs w:val="20"/>
                <w:color w:val="auto"/>
              </w:rPr>
            </w:pPr>
            <w:r>
              <w:rPr>
                <w:rFonts w:ascii="Arial" w:cs="Arial" w:eastAsia="Arial" w:hAnsi="Arial"/>
                <w:sz w:val="14"/>
                <w:szCs w:val="14"/>
                <w:color w:val="auto"/>
              </w:rPr>
              <w:t>Treasury</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tcPr>
          <w:p>
            <w:pPr>
              <w:jc w:val="right"/>
              <w:ind w:right="320"/>
              <w:spacing w:after="0" w:line="146" w:lineRule="exact"/>
              <w:rPr>
                <w:sz w:val="20"/>
                <w:szCs w:val="20"/>
                <w:color w:val="auto"/>
              </w:rPr>
            </w:pPr>
            <w:r>
              <w:rPr>
                <w:rFonts w:ascii="Arial" w:cs="Arial" w:eastAsia="Arial" w:hAnsi="Arial"/>
                <w:sz w:val="14"/>
                <w:szCs w:val="14"/>
                <w:color w:val="auto"/>
              </w:rPr>
              <w:t>stock</w:t>
            </w:r>
          </w:p>
        </w:tc>
        <w:tc>
          <w:tcPr>
            <w:tcW w:w="68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stock</w:t>
            </w:r>
          </w:p>
        </w:tc>
        <w:tc>
          <w:tcPr>
            <w:tcW w:w="7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5"/>
              </w:rPr>
              <w:t>issuable</w:t>
            </w:r>
          </w:p>
        </w:tc>
        <w:tc>
          <w:tcPr>
            <w:tcW w:w="7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capital</w:t>
            </w:r>
          </w:p>
        </w:tc>
        <w:tc>
          <w:tcPr>
            <w:tcW w:w="780" w:type="dxa"/>
            <w:vAlign w:val="bottom"/>
            <w:gridSpan w:val="2"/>
          </w:tcPr>
          <w:p>
            <w:pPr>
              <w:jc w:val="right"/>
              <w:ind w:right="260"/>
              <w:spacing w:after="0" w:line="146" w:lineRule="exact"/>
              <w:rPr>
                <w:sz w:val="20"/>
                <w:szCs w:val="20"/>
                <w:color w:val="auto"/>
              </w:rPr>
            </w:pPr>
            <w:r>
              <w:rPr>
                <w:rFonts w:ascii="Arial" w:cs="Arial" w:eastAsia="Arial" w:hAnsi="Arial"/>
                <w:sz w:val="14"/>
                <w:szCs w:val="14"/>
                <w:color w:val="auto"/>
                <w:w w:val="93"/>
              </w:rPr>
              <w:t>earnings</w:t>
            </w: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4"/>
              </w:rPr>
              <w:t>(loss), net</w:t>
            </w:r>
          </w:p>
        </w:tc>
        <w:tc>
          <w:tcPr>
            <w:tcW w:w="68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stock</w:t>
            </w:r>
          </w:p>
        </w:tc>
        <w:tc>
          <w:tcPr>
            <w:tcW w:w="6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2011</w:t>
            </w:r>
          </w:p>
        </w:tc>
        <w:tc>
          <w:tcPr>
            <w:tcW w:w="30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Balance—January 1, 2011</w:t>
            </w:r>
          </w:p>
        </w:tc>
        <w:tc>
          <w:tcPr>
            <w:tcW w:w="13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$ 740,657</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60,198</w:t>
            </w:r>
          </w:p>
        </w:tc>
        <w:tc>
          <w:tcPr>
            <w:tcW w:w="1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4,189</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2,398,615</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5,426,701</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(205,220)</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(67,445)</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8,357,695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711,739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12,687</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724,426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Acquisition of Wilmington Trust Corporation—common stock issued</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2,348</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403,209</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Partial redemption of Series A preferred stock</w:t>
            </w:r>
          </w:p>
        </w:tc>
        <w:tc>
          <w:tcPr>
            <w:tcW w:w="13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(370,000)</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w w:val="99"/>
              </w:rPr>
              <w:t>Conversion of Series B preferred stock into 433,144 shares of common stock</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(26,500)</w:t>
            </w: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192</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21,754</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4,554</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13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(34,125)</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13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18,560</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(18,560)</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 expense, net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31,666</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Exercises of stock options, net</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(6,691)</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30,106</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Directors’ stock plan</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414</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612</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(123)</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(203)</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507</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1,395</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cash dividends—$2.10 per share</w:t>
            </w:r>
          </w:p>
        </w:tc>
        <w:tc>
          <w:tcPr>
            <w:tcW w:w="62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(261,686)</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(261,686)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Balance—September 30, 2011</w:t>
            </w:r>
          </w:p>
        </w:tc>
        <w:tc>
          <w:tcPr>
            <w:tcW w:w="1360" w:type="dxa"/>
            <w:vAlign w:val="bottom"/>
            <w:tcBorders>
              <w:top w:val="single" w:sz="8" w:color="auto"/>
              <w:bottom w:val="single" w:sz="8" w:color="auto"/>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$ 862,717</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62,805</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4,066</w:t>
            </w:r>
          </w:p>
        </w:tc>
        <w:tc>
          <w:tcPr>
            <w:tcW w:w="760" w:type="dxa"/>
            <w:vAlign w:val="bottom"/>
            <w:tcBorders>
              <w:top w:val="single" w:sz="8" w:color="auto"/>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2,814,143</w:t>
            </w:r>
          </w:p>
        </w:tc>
        <w:tc>
          <w:tcPr>
            <w:tcW w:w="780" w:type="dxa"/>
            <w:vAlign w:val="bottom"/>
            <w:tcBorders>
              <w:top w:val="single" w:sz="8" w:color="auto"/>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5,823,928</w:t>
            </w:r>
          </w:p>
        </w:tc>
        <w:tc>
          <w:tcPr>
            <w:tcW w:w="1000" w:type="dxa"/>
            <w:vAlign w:val="bottom"/>
            <w:tcBorders>
              <w:top w:val="single" w:sz="8" w:color="auto"/>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(192,533)</w:t>
            </w:r>
          </w:p>
        </w:tc>
        <w:tc>
          <w:tcPr>
            <w:tcW w:w="680" w:type="dxa"/>
            <w:vAlign w:val="bottom"/>
            <w:tcBorders>
              <w:top w:val="single" w:sz="8" w:color="auto"/>
              <w:bottom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9,375,126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2012</w:t>
            </w:r>
          </w:p>
        </w:tc>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Balance—January 1, 2012</w:t>
            </w:r>
          </w:p>
        </w:tc>
        <w:tc>
          <w:tcPr>
            <w:tcW w:w="13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$ 864,585</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62,842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4,072</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2,828,986</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5,867,165</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(356,441)</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9,271,209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Total comprehensive income</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733,305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126,366</w:t>
            </w:r>
          </w:p>
        </w:tc>
        <w:tc>
          <w:tcPr>
            <w:tcW w:w="180" w:type="dxa"/>
            <w:vAlign w:val="bottom"/>
          </w:tcPr>
          <w:p>
            <w:pPr>
              <w:spacing w:after="0"/>
              <w:rPr>
                <w:sz w:val="12"/>
                <w:szCs w:val="12"/>
                <w:color w:val="auto"/>
              </w:rPr>
            </w:pP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859,671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cash dividends</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(40,088)</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preferred stock discount</w:t>
            </w:r>
          </w:p>
        </w:tc>
        <w:tc>
          <w:tcPr>
            <w:tcW w:w="13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5,831</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(5,831)</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plans:</w:t>
            </w: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Compensation expense, net</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228</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37,655</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Exercises of stock options, net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545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71,939</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Stock purchase plan</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10,026</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Directors’ stock plan</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1,114</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compensation plans, net, including dividend equivalents</w:t>
            </w:r>
          </w:p>
        </w:tc>
        <w:tc>
          <w:tcPr>
            <w:tcW w:w="62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(621)</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576</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952</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cash dividends—$2.10 per share</w:t>
            </w:r>
          </w:p>
        </w:tc>
        <w:tc>
          <w:tcPr>
            <w:tcW w:w="620" w:type="dxa"/>
            <w:vAlign w:val="bottom"/>
          </w:tcPr>
          <w:p>
            <w:pPr>
              <w:spacing w:after="0"/>
              <w:rPr>
                <w:sz w:val="13"/>
                <w:szCs w:val="13"/>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(267,646)</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(267,646)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Balance—September 30, 2012</w:t>
            </w:r>
          </w:p>
        </w:tc>
        <w:tc>
          <w:tcPr>
            <w:tcW w:w="1360" w:type="dxa"/>
            <w:vAlign w:val="bottom"/>
            <w:tcBorders>
              <w:top w:val="single" w:sz="8" w:color="auto"/>
              <w:bottom w:val="single" w:sz="8" w:color="auto"/>
            </w:tcBorders>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$ 870,416</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63,702</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3,451</w:t>
            </w:r>
          </w:p>
        </w:tc>
        <w:tc>
          <w:tcPr>
            <w:tcW w:w="760" w:type="dxa"/>
            <w:vAlign w:val="bottom"/>
            <w:tcBorders>
              <w:top w:val="single" w:sz="8" w:color="auto"/>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2,951,248</w:t>
            </w:r>
          </w:p>
        </w:tc>
        <w:tc>
          <w:tcPr>
            <w:tcW w:w="780" w:type="dxa"/>
            <w:vAlign w:val="bottom"/>
            <w:tcBorders>
              <w:top w:val="single" w:sz="8" w:color="auto"/>
              <w:bottom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6,286,785</w:t>
            </w:r>
          </w:p>
        </w:tc>
        <w:tc>
          <w:tcPr>
            <w:tcW w:w="1000" w:type="dxa"/>
            <w:vAlign w:val="bottom"/>
            <w:tcBorders>
              <w:top w:val="single" w:sz="8" w:color="auto"/>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(230,075)</w:t>
            </w:r>
          </w:p>
        </w:tc>
        <w:tc>
          <w:tcPr>
            <w:tcW w:w="680" w:type="dxa"/>
            <w:vAlign w:val="bottom"/>
            <w:tcBorders>
              <w:top w:val="single" w:sz="8" w:color="auto"/>
              <w:bottom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9,945,527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2011 Annual Report. In the opinion of management, all adjustments necessary for a fair presentation have been made and were all of a normal recurring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27, 2012, M&amp;T announced that it had entered into a definitive agreement with Hudson City Bancorp, Inc. (“Hudson City”), headquartered in Paramus, New Jersey, under which Hudson City will be acquired by M&amp;T. Pursuant to the terms of the agreement, Hudson City shareholders will receive consideration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September 30, 2012, Hudson City had $41.9 billion of assets, including $27.8 billion of loans and $12.5 billion of investment securities, and $37.2 billion of liabilities, including $24.0 billion of deposits. After the merger is completed, M&amp;T expects to repay approximately $13 billion of Hudson City’s long-term borrowings by liquidating its comparably-sized investment securities portfolio. The merger is subject to a number of conditions, including regulatory approvals and approval by common shareholders of M&amp;T and Hudson City, and is expected to be completed by mid-year 2013.</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116"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(“TARP”) of the U.S. Department of Treasury (“U.S. Treasury”). In connection with the acquisition, the Company recorded $112 million of core deposit and other intangible assets. The core deposit and other intangible assets are generally being amortized over periods of 5 to 7 years using an accelerated method. There was no goodwill recorded as a result of the transaction, however, a non-taxable gain of $65 million was realized, which represented the excess of the fair value of</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assets acquired less liabilities assumed over consideration exchanged. The acquisition of Wilmington Trust added to M&amp;T’s market-leading position in the Mid-Atlantic region by giving M&amp;T the leading deposit market share in Delaware.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consideration paid for Wilmington Trust’s common equity and the amounts of acquired identifiable assets and liabilities assumed as of the acquisition date were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Value of:</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shares issued (4,694,486 shares)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w w:val="88"/>
              </w:rPr>
              <w:t>Preferred stock purchased from U.S. Treasury</w:t>
            </w:r>
          </w:p>
        </w:tc>
        <w:tc>
          <w:tcPr>
            <w:tcW w:w="3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purchase price</w:t>
            </w:r>
          </w:p>
        </w:tc>
        <w:tc>
          <w:tcPr>
            <w:tcW w:w="3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due from banks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Interest-bearing deposits at banks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2,606,265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short-term investments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Core deposit and other intangibles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Total identifiable assets</w:t>
            </w:r>
          </w:p>
        </w:tc>
        <w:tc>
          <w:tcPr>
            <w:tcW w:w="3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10,845,042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Deposits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3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10,044,555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80" w:type="dxa"/>
            <w:vAlign w:val="bottom"/>
            <w:vMerge w:val="restart"/>
          </w:tcPr>
          <w:p>
            <w:pPr>
              <w:jc w:val="right"/>
              <w:ind w:right="2672"/>
              <w:spacing w:after="0"/>
              <w:rPr>
                <w:sz w:val="20"/>
                <w:szCs w:val="20"/>
                <w:color w:val="auto"/>
              </w:rPr>
            </w:pPr>
            <w:r>
              <w:rPr>
                <w:rFonts w:ascii="Arial" w:cs="Arial" w:eastAsia="Arial" w:hAnsi="Arial"/>
                <w:sz w:val="18"/>
                <w:szCs w:val="18"/>
                <w:color w:val="auto"/>
                <w:w w:val="93"/>
              </w:rPr>
              <w:t>- 9 -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table presents certain pro forma information as if Wilmington Trust had been included in the Company’s results of operations for the nine months ended September 30, 2011 rather than since the acquisition date on May 16, 2011.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as indicated. In particular, no adjustments have been made to eliminate the amount of Wilmington Trust’s provision for credit losses of $41 million or the impact of other-than-temporary impairment losses of $5 million recognized by Wilmington Trust during the first quarter of 2011 that may not have been necessary had the acquired loans and investment securities been recorded at fair value as of the beginning of 2011. Additionally, the Company expects to achieve operating cost savings and other business synergies as a result of the acquisition which are not reflected in the pro forma amounts that follow:</w:t>
      </w:r>
    </w:p>
    <w:p>
      <w:pPr>
        <w:spacing w:after="0" w:line="14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Pro forma</w:t>
            </w:r>
          </w:p>
        </w:tc>
      </w:tr>
      <w:tr>
        <w:trPr>
          <w:trHeight w:val="162"/>
        </w:trPr>
        <w:tc>
          <w:tcPr>
            <w:tcW w:w="3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Nine months ended</w:t>
            </w:r>
          </w:p>
        </w:tc>
      </w:tr>
      <w:tr>
        <w:trPr>
          <w:trHeight w:val="159"/>
        </w:trPr>
        <w:tc>
          <w:tcPr>
            <w:tcW w:w="3920" w:type="dxa"/>
            <w:vAlign w:val="bottom"/>
          </w:tcPr>
          <w:p>
            <w:pPr>
              <w:spacing w:after="0"/>
              <w:rPr>
                <w:sz w:val="13"/>
                <w:szCs w:val="13"/>
                <w:color w:val="auto"/>
              </w:rPr>
            </w:pPr>
          </w:p>
        </w:tc>
        <w:tc>
          <w:tcPr>
            <w:tcW w:w="3840" w:type="dxa"/>
            <w:vAlign w:val="bottom"/>
            <w:gridSpan w:val="4"/>
          </w:tcPr>
          <w:p>
            <w:pPr>
              <w:jc w:val="center"/>
              <w:ind w:left="2482"/>
              <w:spacing w:after="0" w:line="159" w:lineRule="exact"/>
              <w:rPr>
                <w:sz w:val="20"/>
                <w:szCs w:val="20"/>
                <w:color w:val="auto"/>
              </w:rPr>
            </w:pPr>
            <w:r>
              <w:rPr>
                <w:rFonts w:ascii="Arial" w:cs="Arial" w:eastAsia="Arial" w:hAnsi="Arial"/>
                <w:sz w:val="14"/>
                <w:szCs w:val="14"/>
                <w:color w:val="auto"/>
                <w:w w:val="85"/>
              </w:rPr>
              <w:t>September 30, 2011</w:t>
            </w:r>
          </w:p>
        </w:tc>
      </w:tr>
      <w:tr>
        <w:trPr>
          <w:trHeight w:val="142"/>
        </w:trPr>
        <w:tc>
          <w:tcPr>
            <w:tcW w:w="3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2"/>
              <w:spacing w:after="0" w:line="142" w:lineRule="exact"/>
              <w:rPr>
                <w:sz w:val="20"/>
                <w:szCs w:val="20"/>
                <w:color w:val="auto"/>
              </w:rPr>
            </w:pPr>
            <w:r>
              <w:rPr>
                <w:rFonts w:ascii="Arial" w:cs="Arial" w:eastAsia="Arial" w:hAnsi="Arial"/>
                <w:sz w:val="14"/>
                <w:szCs w:val="14"/>
                <w:color w:val="auto"/>
                <w:w w:val="85"/>
              </w:rPr>
              <w:t>(in thousands)</w:t>
            </w: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3,190,437</w:t>
            </w:r>
          </w:p>
        </w:tc>
        <w:tc>
          <w:tcPr>
            <w:tcW w:w="100" w:type="dxa"/>
            <w:vAlign w:val="bottom"/>
            <w:shd w:val="clear" w:color="auto" w:fill="CCEEFF"/>
          </w:tcPr>
          <w:p>
            <w:pPr>
              <w:spacing w:after="0"/>
              <w:rPr>
                <w:sz w:val="18"/>
                <w:szCs w:val="18"/>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663,048</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the conversion of systems and/or integration of operations; costs related to termination of existing contractual arrangements of Wilmington Trust to purchase various services; initial marketing and promotion expenses designed to introduce M&amp;T Bank to its new customers; severance for former employees; travel costs; and printing, postage, supplies and other costs of completing the transactions and commencing operations in new markets and offices.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merger-related expenses included in the consolidated statement of income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4"/>
          </w:tcPr>
          <w:p>
            <w:pPr>
              <w:ind w:left="340"/>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14"/>
                <w:szCs w:val="14"/>
                <w:color w:val="auto"/>
              </w:rPr>
            </w:pPr>
          </w:p>
        </w:tc>
        <w:tc>
          <w:tcPr>
            <w:tcW w:w="2160" w:type="dxa"/>
            <w:vAlign w:val="bottom"/>
            <w:gridSpan w:val="4"/>
          </w:tcPr>
          <w:p>
            <w:pPr>
              <w:ind w:left="420"/>
              <w:spacing w:after="0"/>
              <w:rPr>
                <w:sz w:val="20"/>
                <w:szCs w:val="20"/>
                <w:color w:val="auto"/>
              </w:rPr>
            </w:pPr>
            <w:r>
              <w:rPr>
                <w:rFonts w:ascii="Arial" w:cs="Arial" w:eastAsia="Arial" w:hAnsi="Arial"/>
                <w:sz w:val="14"/>
                <w:szCs w:val="14"/>
                <w:color w:val="auto"/>
              </w:rPr>
              <w:t>Nine months ended</w:t>
            </w:r>
          </w:p>
        </w:tc>
      </w:tr>
      <w:tr>
        <w:trPr>
          <w:trHeight w:val="131"/>
        </w:trPr>
        <w:tc>
          <w:tcPr>
            <w:tcW w:w="3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4"/>
              </w:rPr>
              <w:t>September 30,</w:t>
            </w:r>
          </w:p>
        </w:tc>
        <w:tc>
          <w:tcPr>
            <w:tcW w:w="6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4"/>
              </w:rPr>
              <w:t>September 30,</w:t>
            </w:r>
          </w:p>
        </w:tc>
        <w:tc>
          <w:tcPr>
            <w:tcW w:w="680" w:type="dxa"/>
            <w:vAlign w:val="bottom"/>
          </w:tcPr>
          <w:p>
            <w:pPr>
              <w:spacing w:after="0"/>
              <w:rPr>
                <w:sz w:val="11"/>
                <w:szCs w:val="11"/>
                <w:color w:val="auto"/>
              </w:rPr>
            </w:pPr>
          </w:p>
        </w:tc>
        <w:tc>
          <w:tcPr>
            <w:tcW w:w="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2"/>
              </w:rPr>
              <w:t>September 30,</w:t>
            </w:r>
          </w:p>
        </w:tc>
        <w:tc>
          <w:tcPr>
            <w:tcW w:w="6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2"/>
              </w:rPr>
              <w:t>September 30,</w:t>
            </w:r>
          </w:p>
        </w:tc>
        <w:tc>
          <w:tcPr>
            <w:tcW w:w="100" w:type="dxa"/>
            <w:vAlign w:val="bottom"/>
          </w:tcPr>
          <w:p>
            <w:pPr>
              <w:spacing w:after="0"/>
              <w:rPr>
                <w:sz w:val="11"/>
                <w:szCs w:val="11"/>
                <w:color w:val="auto"/>
              </w:rPr>
            </w:pPr>
          </w:p>
        </w:tc>
      </w:tr>
      <w:tr>
        <w:trPr>
          <w:trHeight w:val="159"/>
        </w:trPr>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2012</w:t>
            </w:r>
          </w:p>
        </w:tc>
        <w:tc>
          <w:tcPr>
            <w:tcW w:w="1440" w:type="dxa"/>
            <w:vAlign w:val="bottom"/>
            <w:tcBorders>
              <w:bottom w:val="single" w:sz="8" w:color="auto"/>
            </w:tcBorders>
            <w:gridSpan w:val="2"/>
          </w:tcPr>
          <w:p>
            <w:pPr>
              <w:jc w:val="right"/>
              <w:ind w:right="162"/>
              <w:spacing w:after="0" w:line="159" w:lineRule="exact"/>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9" w:lineRule="exact"/>
              <w:rPr>
                <w:sz w:val="20"/>
                <w:szCs w:val="20"/>
                <w:color w:val="auto"/>
              </w:rPr>
            </w:pPr>
            <w:r>
              <w:rPr>
                <w:rFonts w:ascii="Arial" w:cs="Arial" w:eastAsia="Arial" w:hAnsi="Arial"/>
                <w:sz w:val="14"/>
                <w:szCs w:val="14"/>
                <w:color w:val="auto"/>
              </w:rPr>
              <w:t>2012</w:t>
            </w:r>
          </w:p>
        </w:tc>
        <w:tc>
          <w:tcPr>
            <w:tcW w:w="1460" w:type="dxa"/>
            <w:vAlign w:val="bottom"/>
            <w:tcBorders>
              <w:bottom w:val="single" w:sz="8" w:color="auto"/>
            </w:tcBorders>
            <w:gridSpan w:val="2"/>
          </w:tcPr>
          <w:p>
            <w:pPr>
              <w:jc w:val="right"/>
              <w:ind w:right="19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36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3"/>
          </w:tcPr>
          <w:p>
            <w:pPr>
              <w:ind w:left="740"/>
              <w:spacing w:after="0" w:line="142" w:lineRule="exact"/>
              <w:rPr>
                <w:sz w:val="20"/>
                <w:szCs w:val="20"/>
                <w:color w:val="auto"/>
              </w:rPr>
            </w:pPr>
            <w:r>
              <w:rPr>
                <w:rFonts w:ascii="Arial" w:cs="Arial" w:eastAsia="Arial" w:hAnsi="Arial"/>
                <w:sz w:val="14"/>
                <w:szCs w:val="14"/>
                <w:color w:val="auto"/>
                <w:w w:val="99"/>
              </w:rPr>
              <w:t>(in thousands)</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8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68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723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24,876</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50,286</w:t>
            </w:r>
          </w:p>
        </w:tc>
        <w:tc>
          <w:tcPr>
            <w:tcW w:w="100" w:type="dxa"/>
            <w:vAlign w:val="bottom"/>
          </w:tcPr>
          <w:p>
            <w:pPr>
              <w:spacing w:after="0"/>
              <w:rPr>
                <w:sz w:val="18"/>
                <w:szCs w:val="18"/>
                <w:color w:val="auto"/>
              </w:rPr>
            </w:pPr>
          </w:p>
        </w:tc>
      </w:tr>
      <w:tr>
        <w:trPr>
          <w:trHeight w:val="27"/>
        </w:trPr>
        <w:tc>
          <w:tcPr>
            <w:tcW w:w="3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26,003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100" w:type="dxa"/>
            <w:vAlign w:val="bottom"/>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- 10 -</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1"/>
              </w:rPr>
              <w:t>Amortized</w:t>
            </w:r>
          </w:p>
        </w:tc>
        <w:tc>
          <w:tcPr>
            <w:tcW w:w="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unrealized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3"/>
              <w:spacing w:after="0" w:line="159" w:lineRule="exact"/>
              <w:rPr>
                <w:sz w:val="20"/>
                <w:szCs w:val="20"/>
                <w:color w:val="auto"/>
              </w:rPr>
            </w:pPr>
            <w:r>
              <w:rPr>
                <w:rFonts w:ascii="Arial" w:cs="Arial" w:eastAsia="Arial" w:hAnsi="Arial"/>
                <w:sz w:val="14"/>
                <w:szCs w:val="14"/>
                <w:color w:val="auto"/>
              </w:rPr>
              <w:t>cost</w:t>
            </w:r>
          </w:p>
        </w:tc>
        <w:tc>
          <w:tcPr>
            <w:tcW w:w="400" w:type="dxa"/>
            <w:vAlign w:val="bottom"/>
          </w:tcPr>
          <w:p>
            <w:pPr>
              <w:spacing w:after="0"/>
              <w:rPr>
                <w:sz w:val="13"/>
                <w:szCs w:val="13"/>
                <w:color w:val="auto"/>
              </w:rPr>
            </w:pPr>
          </w:p>
        </w:tc>
        <w:tc>
          <w:tcPr>
            <w:tcW w:w="10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3"/>
              </w:rPr>
              <w:t>gains</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Borders>
              <w:top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55,288</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33,402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588</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3,502,237</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246,190</w:t>
            </w: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3,748,252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1,198,896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4,929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1,055,068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10,837</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15,147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136,418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2,146</w:t>
            </w:r>
          </w:p>
        </w:tc>
        <w:tc>
          <w:tcPr>
            <w:tcW w:w="640" w:type="dxa"/>
            <w:vAlign w:val="bottom"/>
          </w:tcPr>
          <w:p>
            <w:pPr>
              <w:jc w:val="right"/>
              <w:spacing w:after="0"/>
              <w:rPr>
                <w:sz w:val="20"/>
                <w:szCs w:val="20"/>
                <w:color w:val="auto"/>
              </w:rPr>
            </w:pPr>
            <w:r>
              <w:rPr>
                <w:rFonts w:ascii="Arial" w:cs="Arial" w:eastAsia="Arial" w:hAnsi="Arial"/>
                <w:sz w:val="18"/>
                <w:szCs w:val="18"/>
                <w:color w:val="auto"/>
              </w:rPr>
              <w:t>29,159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5,091,116</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279,693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186,931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5,183,878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192,621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8,848</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669,169</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37,259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1,121,325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318,801</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6,531,242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326,134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279,926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6,577,450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69,468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1,255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39,518</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4,344,116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177,392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residential</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1,369,371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6,373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239,488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commercial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43,834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11,154</w:t>
            </w:r>
          </w:p>
        </w:tc>
        <w:tc>
          <w:tcPr>
            <w:tcW w:w="640" w:type="dxa"/>
            <w:vAlign w:val="bottom"/>
          </w:tcPr>
          <w:p>
            <w:pPr>
              <w:jc w:val="right"/>
              <w:spacing w:after="0"/>
              <w:rPr>
                <w:sz w:val="20"/>
                <w:szCs w:val="20"/>
                <w:color w:val="auto"/>
              </w:rPr>
            </w:pPr>
            <w:r>
              <w:rPr>
                <w:rFonts w:ascii="Arial" w:cs="Arial" w:eastAsia="Arial" w:hAnsi="Arial"/>
                <w:sz w:val="18"/>
                <w:szCs w:val="18"/>
                <w:color w:val="auto"/>
              </w:rPr>
              <w:t>2,488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216,700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securities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211,737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8,468</w:t>
            </w:r>
          </w:p>
        </w:tc>
        <w:tc>
          <w:tcPr>
            <w:tcW w:w="640" w:type="dxa"/>
            <w:vAlign w:val="bottom"/>
          </w:tcPr>
          <w:p>
            <w:pPr>
              <w:jc w:val="right"/>
              <w:spacing w:after="0"/>
              <w:rPr>
                <w:sz w:val="20"/>
                <w:szCs w:val="20"/>
                <w:color w:val="auto"/>
              </w:rPr>
            </w:pPr>
            <w:r>
              <w:rPr>
                <w:rFonts w:ascii="Arial" w:cs="Arial" w:eastAsia="Arial" w:hAnsi="Arial"/>
                <w:sz w:val="18"/>
                <w:szCs w:val="18"/>
                <w:color w:val="auto"/>
              </w:rPr>
              <w:t>4,500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6,312,423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210,001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293,864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6,228,560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608,533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24,881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268,642</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99,140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1,077,708</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34,022</w:t>
            </w:r>
          </w:p>
        </w:tc>
        <w:tc>
          <w:tcPr>
            <w:tcW w:w="640" w:type="dxa"/>
            <w:vAlign w:val="bottom"/>
          </w:tcPr>
          <w:p>
            <w:pPr>
              <w:jc w:val="right"/>
              <w:spacing w:after="0"/>
              <w:rPr>
                <w:sz w:val="20"/>
                <w:szCs w:val="20"/>
                <w:color w:val="auto"/>
              </w:rPr>
            </w:pPr>
            <w:r>
              <w:rPr>
                <w:rFonts w:ascii="Arial" w:cs="Arial" w:eastAsia="Arial" w:hAnsi="Arial"/>
                <w:sz w:val="18"/>
                <w:szCs w:val="18"/>
                <w:color w:val="auto"/>
              </w:rPr>
              <w:t>99,168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1,012,562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7,757,017</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244,023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393,032</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7,608,008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40" w:type="dxa"/>
            <w:vAlign w:val="bottom"/>
            <w:vMerge w:val="restart"/>
          </w:tcPr>
          <w:p>
            <w:pPr>
              <w:jc w:val="right"/>
              <w:ind w:right="792"/>
              <w:spacing w:after="0"/>
              <w:rPr>
                <w:sz w:val="20"/>
                <w:szCs w:val="20"/>
                <w:color w:val="auto"/>
              </w:rPr>
            </w:pPr>
            <w:r>
              <w:rPr>
                <w:rFonts w:ascii="Arial" w:cs="Arial" w:eastAsia="Arial" w:hAnsi="Arial"/>
                <w:sz w:val="18"/>
                <w:szCs w:val="18"/>
                <w:color w:val="auto"/>
              </w:rPr>
              <w:t>- 11 -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Gross realized gains on investment securities were $90 thousand and $150 million for the three-month and nine-month periods ended September 30, 2011, respectively. Gross realized gains were not significant in 2012. Gross realized losses on investment securities were not significant during the three-month and nine-month periods ended September 30, 2012 and 2011. During the second quarter of 2011, the Company sold residential mortgage-backed securities guaranteed by the Federal National Mortgage Association (“Fannie Mae”) and Federal Home Loan Mortgage Corporation (“Freddie Mac”) having an aggregate amortized cost of approximately $1.0 billion which resulted in a gain of $66 million (pre-tax). The Company also sold trust preferred securities and collateralized debt obligations during the second quarter of 2011 having an aggregate amortized cost of $136 million and $100 million, respectively, which resulted in gains of $25 million (pre-tax) and $20 million (pre-tax), respectively. During the first quarter of 2011, the Company sold residential mortgage-backed securities guaranteed by Fannie Mae and Freddie Mac having an aggregate amortized cost of approximately $484 million which resulted in a gain of $39 million (pre-tax).</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recognized pre-tax other-than-temporary impairment losses of $6 million and $33 million during the three months and nine months ended September 30, 2012, respectively, and $10 million and $52 million during the three months and nine months ended September 30, 2011, respectively, related to privately issued mortgage-backed securities. The impairment charges were recognized in light of deterioration of real estate values and a rise in delinquencies and charge-offs of underlying mortgage loans collateralizing those securities. The other-than-temporary losses represent management’s estimate of credit losses inherent in the debt securities considering projected cash flows using assumptions of delinquency rates, loss severities, and other estimates for future collateral performance.</w:t>
      </w:r>
    </w:p>
    <w:p>
      <w:pPr>
        <w:spacing w:after="0" w:line="14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displays changes in credit losses associated with debt securities for which other-than-temporary impairment losses have been previously recognized in earnings for the three months and nine months ended September 30, 2012 and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color w:val="auto"/>
                <w:w w:val="85"/>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60" w:type="dxa"/>
            <w:vAlign w:val="bottom"/>
            <w:gridSpan w:val="2"/>
          </w:tcPr>
          <w:p>
            <w:pPr>
              <w:jc w:val="right"/>
              <w:ind w:right="165"/>
              <w:spacing w:after="0" w:line="159"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620" w:type="dxa"/>
            <w:vAlign w:val="bottom"/>
          </w:tcPr>
          <w:p>
            <w:pPr>
              <w:jc w:val="right"/>
              <w:ind w:right="96"/>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$ 264,197</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5,672</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1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15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(67,926)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$ 201,943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284,566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00" w:type="dxa"/>
            <w:vAlign w:val="bottom"/>
            <w:gridSpan w:val="4"/>
          </w:tcPr>
          <w:p>
            <w:pPr>
              <w:jc w:val="center"/>
              <w:ind w:right="140"/>
              <w:spacing w:after="0"/>
              <w:rPr>
                <w:sz w:val="20"/>
                <w:szCs w:val="20"/>
                <w:color w:val="auto"/>
              </w:rPr>
            </w:pPr>
            <w:r>
              <w:rPr>
                <w:rFonts w:ascii="Arial" w:cs="Arial" w:eastAsia="Arial" w:hAnsi="Arial"/>
                <w:sz w:val="14"/>
                <w:szCs w:val="14"/>
                <w:color w:val="auto"/>
                <w:w w:val="85"/>
              </w:rPr>
              <w:t>Nine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900" w:type="dxa"/>
            <w:vAlign w:val="bottom"/>
            <w:gridSpan w:val="4"/>
          </w:tcPr>
          <w:p>
            <w:pPr>
              <w:jc w:val="center"/>
              <w:ind w:right="120"/>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5"/>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$ 285,399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327,912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33,331</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1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15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(116,787)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(90,449)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$ 201,943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284,566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2012, the amortized cost and estimated fair value of debt securities by contractual maturity were as follows: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color w:val="auto"/>
                <w:w w:val="91"/>
              </w:rPr>
              <w:t>Amortized</w:t>
            </w:r>
          </w:p>
        </w:tc>
        <w:tc>
          <w:tcPr>
            <w:tcW w:w="4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cost</w:t>
            </w:r>
          </w:p>
        </w:tc>
        <w:tc>
          <w:tcPr>
            <w:tcW w:w="420" w:type="dxa"/>
            <w:vAlign w:val="bottom"/>
          </w:tcPr>
          <w:p>
            <w:pPr>
              <w:spacing w:after="0"/>
              <w:rPr>
                <w:sz w:val="13"/>
                <w:szCs w:val="13"/>
                <w:color w:val="auto"/>
              </w:rPr>
            </w:pPr>
          </w:p>
        </w:tc>
        <w:tc>
          <w:tcPr>
            <w:tcW w:w="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ind w:right="53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33,460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183,926</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268,402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256,931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4,711,970</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4,813,888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4,980,372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5,070,819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36,459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212,534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917,610</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1,121,325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1,074,771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940" w:type="dxa"/>
            <w:vAlign w:val="bottom"/>
            <w:vMerge w:val="restart"/>
          </w:tcPr>
          <w:p>
            <w:pPr>
              <w:jc w:val="right"/>
              <w:ind w:right="1992"/>
              <w:spacing w:after="0"/>
              <w:rPr>
                <w:sz w:val="20"/>
                <w:szCs w:val="20"/>
                <w:color w:val="auto"/>
              </w:rPr>
            </w:pPr>
            <w:r>
              <w:rPr>
                <w:rFonts w:ascii="Arial" w:cs="Arial" w:eastAsia="Arial" w:hAnsi="Arial"/>
                <w:sz w:val="18"/>
                <w:szCs w:val="18"/>
                <w:color w:val="auto"/>
              </w:rPr>
              <w:t>- 13 -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investment securities that as of September 30, 2012 and December 31, 2011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color w:val="auto"/>
                <w:w w:val="93"/>
              </w:rPr>
              <w:t>Less than 12 months</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Unrealized</w:t>
            </w: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4"/>
              </w:rPr>
              <w:t>Fair value</w:t>
            </w:r>
          </w:p>
        </w:tc>
        <w:tc>
          <w:tcPr>
            <w:tcW w:w="300" w:type="dxa"/>
            <w:vAlign w:val="bottom"/>
          </w:tcPr>
          <w:p>
            <w:pPr>
              <w:spacing w:after="0"/>
              <w:rPr>
                <w:sz w:val="13"/>
                <w:szCs w:val="13"/>
                <w:color w:val="auto"/>
              </w:rPr>
            </w:pPr>
          </w:p>
        </w:tc>
        <w:tc>
          <w:tcPr>
            <w:tcW w:w="9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losses</w:t>
            </w:r>
          </w:p>
        </w:tc>
        <w:tc>
          <w:tcPr>
            <w:tcW w:w="7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13"/>
                <w:szCs w:val="13"/>
                <w:color w:val="auto"/>
              </w:rPr>
            </w:pP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Borders>
              <w:top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issued or guaranteed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Privately issued residential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81,620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(454)</w:t>
            </w:r>
          </w:p>
        </w:tc>
        <w:tc>
          <w:tcPr>
            <w:tcW w:w="740" w:type="dxa"/>
            <w:vAlign w:val="bottom"/>
          </w:tcPr>
          <w:p>
            <w:pPr>
              <w:jc w:val="right"/>
              <w:spacing w:after="0"/>
              <w:rPr>
                <w:sz w:val="20"/>
                <w:szCs w:val="20"/>
                <w:color w:val="auto"/>
              </w:rPr>
            </w:pPr>
            <w:r>
              <w:rPr>
                <w:rFonts w:ascii="Arial" w:cs="Arial" w:eastAsia="Arial" w:hAnsi="Arial"/>
                <w:sz w:val="18"/>
                <w:szCs w:val="18"/>
                <w:color w:val="auto"/>
              </w:rPr>
              <w:t>828,916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(148,303)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Privately issued commercial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rPr>
              <w:t>5,842</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(29,159)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5,486</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(3,820)</w:t>
            </w:r>
          </w:p>
        </w:tc>
        <w:tc>
          <w:tcPr>
            <w:tcW w:w="740" w:type="dxa"/>
            <w:vAlign w:val="bottom"/>
          </w:tcPr>
          <w:p>
            <w:pPr>
              <w:jc w:val="right"/>
              <w:spacing w:after="0"/>
              <w:rPr>
                <w:sz w:val="20"/>
                <w:szCs w:val="20"/>
                <w:color w:val="auto"/>
              </w:rPr>
            </w:pPr>
            <w:r>
              <w:rPr>
                <w:rFonts w:ascii="Arial" w:cs="Arial" w:eastAsia="Arial" w:hAnsi="Arial"/>
                <w:sz w:val="18"/>
                <w:szCs w:val="18"/>
                <w:color w:val="auto"/>
              </w:rPr>
              <w:t>1,580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949,352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(182,593)</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155,189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(92,966)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(92,989)</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80" w:type="dxa"/>
            <w:vAlign w:val="bottom"/>
            <w:vMerge w:val="continue"/>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99,898</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(4,344)</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1,107,063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(275,582)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issued or guaranteed</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38,492</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Privately issued residential</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297,133</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(14,188)</w:t>
            </w:r>
          </w:p>
        </w:tc>
        <w:tc>
          <w:tcPr>
            <w:tcW w:w="740" w:type="dxa"/>
            <w:vAlign w:val="bottom"/>
          </w:tcPr>
          <w:p>
            <w:pPr>
              <w:jc w:val="right"/>
              <w:spacing w:after="0"/>
              <w:rPr>
                <w:sz w:val="20"/>
                <w:szCs w:val="20"/>
                <w:color w:val="auto"/>
              </w:rPr>
            </w:pPr>
            <w:r>
              <w:rPr>
                <w:rFonts w:ascii="Arial" w:cs="Arial" w:eastAsia="Arial" w:hAnsi="Arial"/>
                <w:sz w:val="18"/>
                <w:szCs w:val="18"/>
                <w:color w:val="auto"/>
              </w:rPr>
              <w:t>751,077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(225,300)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Privately issued commercial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2,871</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(335)</w:t>
            </w:r>
          </w:p>
        </w:tc>
        <w:tc>
          <w:tcPr>
            <w:tcW w:w="740" w:type="dxa"/>
            <w:vAlign w:val="bottom"/>
          </w:tcPr>
          <w:p>
            <w:pPr>
              <w:jc w:val="right"/>
              <w:spacing w:after="0"/>
              <w:rPr>
                <w:sz w:val="20"/>
                <w:szCs w:val="20"/>
                <w:color w:val="auto"/>
              </w:rPr>
            </w:pPr>
            <w:r>
              <w:rPr>
                <w:rFonts w:ascii="Arial" w:cs="Arial" w:eastAsia="Arial" w:hAnsi="Arial"/>
                <w:sz w:val="18"/>
                <w:szCs w:val="18"/>
                <w:color w:val="auto"/>
              </w:rPr>
              <w:t>4,863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72,637</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(29,096)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851,849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(264,768)</w:t>
            </w: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740" w:type="dxa"/>
            <w:vAlign w:val="bottom"/>
          </w:tcPr>
          <w:p>
            <w:pPr>
              <w:jc w:val="right"/>
              <w:spacing w:after="0"/>
              <w:rPr>
                <w:sz w:val="20"/>
                <w:szCs w:val="20"/>
                <w:color w:val="auto"/>
              </w:rPr>
            </w:pPr>
            <w:r>
              <w:rPr>
                <w:rFonts w:ascii="Arial" w:cs="Arial" w:eastAsia="Arial" w:hAnsi="Arial"/>
                <w:sz w:val="18"/>
                <w:szCs w:val="18"/>
                <w:color w:val="auto"/>
              </w:rPr>
              <w:t>167,139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(98,548)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425,983</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(29,692)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1,020,418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(363,340)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80" w:type="dxa"/>
            <w:vAlign w:val="bottom"/>
            <w:vMerge w:val="restart"/>
          </w:tcPr>
          <w:p>
            <w:pPr>
              <w:jc w:val="right"/>
              <w:ind w:right="1232"/>
              <w:spacing w:after="0"/>
              <w:rPr>
                <w:sz w:val="20"/>
                <w:szCs w:val="20"/>
                <w:color w:val="auto"/>
              </w:rPr>
            </w:pPr>
            <w:r>
              <w:rPr>
                <w:rFonts w:ascii="Arial" w:cs="Arial" w:eastAsia="Arial" w:hAnsi="Arial"/>
                <w:sz w:val="18"/>
                <w:szCs w:val="18"/>
                <w:color w:val="auto"/>
              </w:rPr>
              <w:t>- 14 -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owned 250 individual investment securities with aggregate gross unrealized losses of $280 million at September 30, 2012.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$242 million of the unrealized losses pertained to privately issued mortgage-backed securities with a cost basis of $1.3 billion. The Company also had $30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unrealized losses on available-for-sale trust preferred securities issued by financial institutions and securities backed by trust preferred securities having a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of $133 million. Based on a review of each of the securities in the investment securities portfolio at September 30, 2012, with the exception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aforementioned securities for which other-than-temporary impairment losses were recognized, the Company concluded that it expected to recover the 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basis of its investment. As of September 30, 2012, the Company does not intend to sell nor is it anticipated that it would be required to sell any of 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impaired investment securities. At September 30, 2012, the Company has not identified events or changes in circumstances which may have a significant adverse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effect on the fair value of the $319 million of cost method investment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82"/>
              </w:rPr>
              <w:t>September 30,</w:t>
            </w:r>
          </w:p>
        </w:tc>
        <w:tc>
          <w:tcPr>
            <w:tcW w:w="1300" w:type="dxa"/>
            <w:vAlign w:val="bottom"/>
            <w:gridSpan w:val="3"/>
          </w:tcPr>
          <w:p>
            <w:pPr>
              <w:ind w:left="440"/>
              <w:spacing w:after="0"/>
              <w:rPr>
                <w:sz w:val="20"/>
                <w:szCs w:val="20"/>
                <w:color w:val="auto"/>
              </w:rPr>
            </w:pPr>
            <w:r>
              <w:rPr>
                <w:rFonts w:ascii="Arial" w:cs="Arial" w:eastAsia="Arial" w:hAnsi="Arial"/>
                <w:sz w:val="14"/>
                <w:szCs w:val="14"/>
                <w:color w:val="auto"/>
                <w:w w:val="95"/>
              </w:rPr>
              <w:t>December 31,</w:t>
            </w:r>
          </w:p>
        </w:tc>
      </w:tr>
      <w:tr>
        <w:trPr>
          <w:trHeight w:val="159"/>
        </w:trPr>
        <w:tc>
          <w:tcPr>
            <w:tcW w:w="4740" w:type="dxa"/>
            <w:vAlign w:val="bottom"/>
          </w:tcPr>
          <w:p>
            <w:pPr>
              <w:spacing w:after="0"/>
              <w:rPr>
                <w:sz w:val="13"/>
                <w:szCs w:val="13"/>
                <w:color w:val="auto"/>
              </w:rPr>
            </w:pPr>
          </w:p>
        </w:tc>
        <w:tc>
          <w:tcPr>
            <w:tcW w:w="2640" w:type="dxa"/>
            <w:vAlign w:val="bottom"/>
            <w:gridSpan w:val="2"/>
          </w:tcPr>
          <w:p>
            <w:pPr>
              <w:jc w:val="right"/>
              <w:ind w:right="206"/>
              <w:spacing w:after="0" w:line="159" w:lineRule="exact"/>
              <w:rPr>
                <w:sz w:val="20"/>
                <w:szCs w:val="20"/>
                <w:color w:val="auto"/>
              </w:rPr>
            </w:pPr>
            <w:r>
              <w:rPr>
                <w:rFonts w:ascii="Arial" w:cs="Arial" w:eastAsia="Arial" w:hAnsi="Arial"/>
                <w:sz w:val="14"/>
                <w:szCs w:val="14"/>
                <w:color w:val="auto"/>
              </w:rPr>
              <w:t>2012</w:t>
            </w:r>
          </w:p>
        </w:tc>
        <w:tc>
          <w:tcPr>
            <w:tcW w:w="12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4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0" w:type="dxa"/>
            <w:vAlign w:val="bottom"/>
            <w:tcBorders>
              <w:top w:val="single" w:sz="8" w:color="auto"/>
            </w:tcBorders>
            <w:gridSpan w:val="3"/>
          </w:tcPr>
          <w:p>
            <w:pPr>
              <w:jc w:val="right"/>
              <w:ind w:right="53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$7,338,476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9,203,366</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Carrying amount:</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977,430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1,331,198</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2,962,899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3,879,518</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742,977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915,371</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1,700,161</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2,033,700</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6,383,467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8,159,787</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Purchased impaired loans included in the table above totaled $528 million at September 30, 2012 and $653 million at December 31, 2011, representing less than 1% of the Company’s assets as of each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income on acquired loans that were recorded at fair value at the acquisition date was $87 million and $259 million for the three months and nine months ended September 30, 2012 and $97 million and $207 million for the three months and nine months ended September 30, 2011, respectively. At December 31, 2010 and September 30, 2011, the accretable yield on acquired loans was $457 million and $944 million, respectively. A summary of changes in the accretable yield for acquired loans for the three months and nine months ended September 30, 2012 follows: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Reclassifications from (to) nonaccretable balance,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Other (a)</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Reclassifications from (to) nonaccretable balance,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Other (a)</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4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Other changes in expected cash flows including changes in interest rates and prepayments.</w:t>
      </w:r>
    </w:p>
    <w:p>
      <w:pPr>
        <w:spacing w:after="0" w:line="192" w:lineRule="exact"/>
        <w:rPr>
          <w:rFonts w:ascii="Arial" w:cs="Arial" w:eastAsia="Arial" w:hAnsi="Arial"/>
          <w:sz w:val="15"/>
          <w:szCs w:val="15"/>
          <w:i w:val="1"/>
          <w:iCs w:val="1"/>
          <w:color w:val="auto"/>
        </w:rPr>
      </w:pPr>
    </w:p>
    <w:p>
      <w:pPr>
        <w:ind w:left="5620" w:hanging="96"/>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Three months ended September 30, 2012</w:t>
      </w:r>
    </w:p>
    <w:tbl>
      <w:tblPr>
        <w:tblLayout w:type="fixed"/>
        <w:tblInd w:w="0" w:type="dxa"/>
        <w:tblCellMar>
          <w:top w:w="0" w:type="dxa"/>
          <w:left w:w="0" w:type="dxa"/>
          <w:bottom w:w="0" w:type="dxa"/>
          <w:right w:w="0" w:type="dxa"/>
        </w:tblCellMar>
      </w:tblPr>
      <w:tr>
        <w:trPr>
          <w:trHeight w:val="131"/>
        </w:trPr>
        <w:tc>
          <w:tcPr>
            <w:tcW w:w="90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color w:val="auto"/>
                <w:w w:val="89"/>
              </w:rPr>
              <w:t>Purchased</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60"/>
              <w:spacing w:after="0" w:line="131" w:lineRule="exact"/>
              <w:rPr>
                <w:sz w:val="20"/>
                <w:szCs w:val="20"/>
                <w:color w:val="auto"/>
              </w:rPr>
            </w:pPr>
            <w:r>
              <w:rPr>
                <w:rFonts w:ascii="Arial" w:cs="Arial" w:eastAsia="Arial" w:hAnsi="Arial"/>
                <w:sz w:val="14"/>
                <w:szCs w:val="14"/>
                <w:color w:val="auto"/>
                <w:w w:val="91"/>
              </w:rPr>
              <w:t>Other</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impaired</w:t>
            </w:r>
          </w:p>
        </w:tc>
        <w:tc>
          <w:tcPr>
            <w:tcW w:w="220" w:type="dxa"/>
            <w:vAlign w:val="bottom"/>
          </w:tcPr>
          <w:p>
            <w:pPr>
              <w:spacing w:after="0"/>
              <w:rPr>
                <w:sz w:val="13"/>
                <w:szCs w:val="13"/>
                <w:color w:val="auto"/>
              </w:rPr>
            </w:pPr>
          </w:p>
        </w:tc>
        <w:tc>
          <w:tcPr>
            <w:tcW w:w="114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r>
      <w:tr>
        <w:trPr>
          <w:trHeight w:val="134"/>
        </w:trPr>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200"/>
              <w:spacing w:after="0" w:line="134" w:lineRule="exact"/>
              <w:rPr>
                <w:sz w:val="20"/>
                <w:szCs w:val="20"/>
                <w:color w:val="auto"/>
              </w:rPr>
            </w:pPr>
            <w:r>
              <w:rPr>
                <w:rFonts w:ascii="Arial" w:cs="Arial" w:eastAsia="Arial" w:hAnsi="Arial"/>
                <w:sz w:val="14"/>
                <w:szCs w:val="14"/>
                <w:color w:val="auto"/>
                <w:w w:val="85"/>
              </w:rPr>
              <w:t>(in thousands)</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w w:val="91"/>
              </w:rPr>
              <w:t>$ 55,599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733,161</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788,760</w:t>
            </w:r>
          </w:p>
        </w:tc>
      </w:tr>
      <w:tr>
        <w:trPr>
          <w:trHeight w:val="21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(12,436)</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(74,936)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(87,372)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542</w:t>
            </w:r>
          </w:p>
        </w:tc>
      </w:tr>
      <w:tr>
        <w:trPr>
          <w:trHeight w:val="223"/>
        </w:trPr>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60" w:type="dxa"/>
            <w:vAlign w:val="bottom"/>
          </w:tcPr>
          <w:p>
            <w:pPr>
              <w:spacing w:after="0"/>
              <w:rPr>
                <w:sz w:val="19"/>
                <w:szCs w:val="19"/>
                <w:color w:val="auto"/>
              </w:rPr>
            </w:pPr>
          </w:p>
        </w:tc>
      </w:tr>
      <w:tr>
        <w:trPr>
          <w:trHeight w:val="223"/>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$ 43,705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659,607</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703,312</w:t>
            </w:r>
          </w:p>
        </w:tc>
        <w:tc>
          <w:tcPr>
            <w:tcW w:w="60" w:type="dxa"/>
            <w:vAlign w:val="bottom"/>
          </w:tcPr>
          <w:p>
            <w:pPr>
              <w:spacing w:after="0"/>
              <w:rPr>
                <w:sz w:val="19"/>
                <w:szCs w:val="19"/>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3020" w:type="dxa"/>
            <w:vAlign w:val="bottom"/>
            <w:gridSpan w:val="7"/>
          </w:tcPr>
          <w:p>
            <w:pPr>
              <w:jc w:val="center"/>
              <w:ind w:right="60"/>
              <w:spacing w:after="0"/>
              <w:rPr>
                <w:sz w:val="20"/>
                <w:szCs w:val="20"/>
                <w:color w:val="auto"/>
              </w:rPr>
            </w:pPr>
            <w:r>
              <w:rPr>
                <w:rFonts w:ascii="Arial" w:cs="Arial" w:eastAsia="Arial" w:hAnsi="Arial"/>
                <w:sz w:val="14"/>
                <w:szCs w:val="14"/>
                <w:color w:val="auto"/>
                <w:w w:val="85"/>
              </w:rPr>
              <w:t>Nine months ended September 30, 2012</w:t>
            </w:r>
          </w:p>
        </w:tc>
      </w:tr>
      <w:tr>
        <w:trPr>
          <w:trHeight w:val="131"/>
        </w:trPr>
        <w:tc>
          <w:tcPr>
            <w:tcW w:w="90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color w:val="auto"/>
                <w:w w:val="89"/>
              </w:rPr>
              <w:t>Purchased</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60"/>
              <w:spacing w:after="0" w:line="131" w:lineRule="exact"/>
              <w:rPr>
                <w:sz w:val="20"/>
                <w:szCs w:val="20"/>
                <w:color w:val="auto"/>
              </w:rPr>
            </w:pPr>
            <w:r>
              <w:rPr>
                <w:rFonts w:ascii="Arial" w:cs="Arial" w:eastAsia="Arial" w:hAnsi="Arial"/>
                <w:sz w:val="14"/>
                <w:szCs w:val="14"/>
                <w:color w:val="auto"/>
                <w:w w:val="91"/>
              </w:rPr>
              <w:t>Other</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impaired</w:t>
            </w:r>
          </w:p>
        </w:tc>
        <w:tc>
          <w:tcPr>
            <w:tcW w:w="220" w:type="dxa"/>
            <w:vAlign w:val="bottom"/>
          </w:tcPr>
          <w:p>
            <w:pPr>
              <w:spacing w:after="0"/>
              <w:rPr>
                <w:sz w:val="13"/>
                <w:szCs w:val="13"/>
                <w:color w:val="auto"/>
              </w:rPr>
            </w:pPr>
          </w:p>
        </w:tc>
        <w:tc>
          <w:tcPr>
            <w:tcW w:w="1140" w:type="dxa"/>
            <w:vAlign w:val="bottom"/>
            <w:gridSpan w:val="2"/>
          </w:tcPr>
          <w:p>
            <w:pPr>
              <w:jc w:val="right"/>
              <w:ind w:right="560"/>
              <w:spacing w:after="0" w:line="159" w:lineRule="exact"/>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r>
      <w:tr>
        <w:trPr>
          <w:trHeight w:val="134"/>
        </w:trPr>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200"/>
              <w:spacing w:after="0" w:line="134" w:lineRule="exact"/>
              <w:rPr>
                <w:sz w:val="20"/>
                <w:szCs w:val="20"/>
                <w:color w:val="auto"/>
              </w:rPr>
            </w:pPr>
            <w:r>
              <w:rPr>
                <w:rFonts w:ascii="Arial" w:cs="Arial" w:eastAsia="Arial" w:hAnsi="Arial"/>
                <w:sz w:val="14"/>
                <w:szCs w:val="14"/>
                <w:color w:val="auto"/>
                <w:w w:val="85"/>
              </w:rPr>
              <w:t>(in thousands)</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w w:val="91"/>
              </w:rPr>
              <w:t>$ 30,805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807,960</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838,765</w:t>
            </w:r>
          </w:p>
        </w:tc>
      </w:tr>
      <w:tr>
        <w:trPr>
          <w:trHeight w:val="216"/>
        </w:trPr>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(29,721)</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(228,908)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(258,629)</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42,621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98,165</w:t>
            </w:r>
          </w:p>
        </w:tc>
        <w:tc>
          <w:tcPr>
            <w:tcW w:w="4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140,786</w:t>
            </w:r>
          </w:p>
        </w:tc>
      </w:tr>
      <w:tr>
        <w:trPr>
          <w:trHeight w:val="223"/>
        </w:trPr>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(17,610)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(17,610)</w:t>
            </w:r>
          </w:p>
        </w:tc>
      </w:tr>
      <w:tr>
        <w:trPr>
          <w:trHeight w:val="223"/>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$ 43,705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659,607</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703,312</w:t>
            </w:r>
          </w:p>
        </w:tc>
        <w:tc>
          <w:tcPr>
            <w:tcW w:w="60" w:type="dxa"/>
            <w:vAlign w:val="bottom"/>
          </w:tcPr>
          <w:p>
            <w:pPr>
              <w:spacing w:after="0"/>
              <w:rPr>
                <w:sz w:val="19"/>
                <w:szCs w:val="19"/>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860" w:space="580"/>
            <w:col w:w="3740"/>
          </w:cols>
          <w:pgMar w:left="240" w:top="459" w:right="4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current, past due and nonaccrual loans as of September 30, 2012 and December 31,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88"/>
              </w:rPr>
              <w:t>90 Days or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more past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2"/>
          </w:tcPr>
          <w:p>
            <w:pPr>
              <w:jc w:val="center"/>
              <w:ind w:left="113"/>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48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5"/>
              </w:rPr>
              <w:t>due and accruing</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Purchased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7"/>
              </w:rPr>
              <w:t>Days</w:t>
            </w:r>
          </w:p>
        </w:tc>
        <w:tc>
          <w:tcPr>
            <w:tcW w:w="640" w:type="dxa"/>
            <w:vAlign w:val="bottom"/>
          </w:tcPr>
          <w:p>
            <w:pPr>
              <w:jc w:val="right"/>
              <w:ind w:right="97"/>
              <w:spacing w:after="0" w:line="131"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1"/>
                <w:szCs w:val="11"/>
                <w:color w:val="auto"/>
              </w:rPr>
            </w:pPr>
          </w:p>
        </w:tc>
        <w:tc>
          <w:tcPr>
            <w:tcW w:w="640" w:type="dxa"/>
            <w:vAlign w:val="bottom"/>
          </w:tcPr>
          <w:p>
            <w:pPr>
              <w:jc w:val="right"/>
              <w:ind w:right="2"/>
              <w:spacing w:after="0" w:line="131" w:lineRule="exact"/>
              <w:rPr>
                <w:sz w:val="20"/>
                <w:szCs w:val="20"/>
                <w:color w:val="auto"/>
              </w:rPr>
            </w:pPr>
            <w:r>
              <w:rPr>
                <w:rFonts w:ascii="Arial" w:cs="Arial" w:eastAsia="Arial" w:hAnsi="Arial"/>
                <w:sz w:val="14"/>
                <w:szCs w:val="14"/>
                <w:color w:val="auto"/>
                <w:w w:val="97"/>
              </w:rPr>
              <w:t>Acquired</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jc w:val="right"/>
              <w:ind w:right="153"/>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1"/>
              </w:rPr>
              <w:t>past due</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acquired</w:t>
            </w:r>
          </w:p>
        </w:tc>
        <w:tc>
          <w:tcPr>
            <w:tcW w:w="200" w:type="dxa"/>
            <w:vAlign w:val="bottom"/>
          </w:tcPr>
          <w:p>
            <w:pPr>
              <w:spacing w:after="0"/>
              <w:rPr>
                <w:sz w:val="13"/>
                <w:szCs w:val="13"/>
                <w:color w:val="auto"/>
              </w:rPr>
            </w:pPr>
          </w:p>
        </w:tc>
        <w:tc>
          <w:tcPr>
            <w:tcW w:w="640" w:type="dxa"/>
            <w:vAlign w:val="bottom"/>
          </w:tcPr>
          <w:p>
            <w:pPr>
              <w:jc w:val="right"/>
              <w:ind w:right="162"/>
              <w:spacing w:after="0" w:line="159" w:lineRule="exact"/>
              <w:rPr>
                <w:sz w:val="20"/>
                <w:szCs w:val="20"/>
                <w:color w:val="auto"/>
              </w:rPr>
            </w:pPr>
            <w:r>
              <w:rPr>
                <w:rFonts w:ascii="Arial" w:cs="Arial" w:eastAsia="Arial" w:hAnsi="Arial"/>
                <w:sz w:val="14"/>
                <w:szCs w:val="14"/>
                <w:color w:val="auto"/>
              </w:rPr>
              <w:t>(a)</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$16,496,862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50,980</w:t>
            </w:r>
          </w:p>
        </w:tc>
        <w:tc>
          <w:tcPr>
            <w:tcW w:w="640" w:type="dxa"/>
            <w:vAlign w:val="bottom"/>
          </w:tcPr>
          <w:p>
            <w:pPr>
              <w:jc w:val="right"/>
              <w:spacing w:after="0"/>
              <w:rPr>
                <w:sz w:val="20"/>
                <w:szCs w:val="20"/>
                <w:color w:val="auto"/>
              </w:rPr>
            </w:pPr>
            <w:r>
              <w:rPr>
                <w:rFonts w:ascii="Arial" w:cs="Arial" w:eastAsia="Arial" w:hAnsi="Arial"/>
                <w:sz w:val="18"/>
                <w:szCs w:val="18"/>
                <w:color w:val="auto"/>
              </w:rPr>
              <w:t>2,574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14,919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17,434</w:t>
            </w:r>
          </w:p>
        </w:tc>
        <w:tc>
          <w:tcPr>
            <w:tcW w:w="760" w:type="dxa"/>
            <w:vAlign w:val="bottom"/>
          </w:tcPr>
          <w:p>
            <w:pPr>
              <w:jc w:val="right"/>
              <w:spacing w:after="0"/>
              <w:rPr>
                <w:sz w:val="20"/>
                <w:szCs w:val="20"/>
                <w:color w:val="auto"/>
              </w:rPr>
            </w:pPr>
            <w:r>
              <w:rPr>
                <w:rFonts w:ascii="Arial" w:cs="Arial" w:eastAsia="Arial" w:hAnsi="Arial"/>
                <w:sz w:val="18"/>
                <w:szCs w:val="18"/>
                <w:color w:val="auto"/>
              </w:rPr>
              <w:t>121,806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16,704,575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20,926,702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142,780</w:t>
            </w:r>
          </w:p>
        </w:tc>
        <w:tc>
          <w:tcPr>
            <w:tcW w:w="640" w:type="dxa"/>
            <w:vAlign w:val="bottom"/>
          </w:tcPr>
          <w:p>
            <w:pPr>
              <w:jc w:val="right"/>
              <w:spacing w:after="0"/>
              <w:rPr>
                <w:sz w:val="20"/>
                <w:szCs w:val="20"/>
                <w:color w:val="auto"/>
              </w:rPr>
            </w:pPr>
            <w:r>
              <w:rPr>
                <w:rFonts w:ascii="Arial" w:cs="Arial" w:eastAsia="Arial" w:hAnsi="Arial"/>
                <w:sz w:val="18"/>
                <w:szCs w:val="18"/>
                <w:color w:val="auto"/>
              </w:rPr>
              <w:t>12,479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54,329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151,685</w:t>
            </w:r>
          </w:p>
        </w:tc>
        <w:tc>
          <w:tcPr>
            <w:tcW w:w="760" w:type="dxa"/>
            <w:vAlign w:val="bottom"/>
          </w:tcPr>
          <w:p>
            <w:pPr>
              <w:jc w:val="right"/>
              <w:spacing w:after="0"/>
              <w:rPr>
                <w:sz w:val="20"/>
                <w:szCs w:val="20"/>
                <w:color w:val="auto"/>
              </w:rPr>
            </w:pPr>
            <w:r>
              <w:rPr>
                <w:rFonts w:ascii="Arial" w:cs="Arial" w:eastAsia="Arial" w:hAnsi="Arial"/>
                <w:sz w:val="18"/>
                <w:szCs w:val="18"/>
                <w:color w:val="auto"/>
              </w:rPr>
              <w:t>172,246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21,460,221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781,007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244,017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2,056,594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36,738</w:t>
            </w:r>
          </w:p>
        </w:tc>
        <w:tc>
          <w:tcPr>
            <w:tcW w:w="640" w:type="dxa"/>
            <w:vAlign w:val="bottom"/>
          </w:tcPr>
          <w:p>
            <w:pPr>
              <w:jc w:val="right"/>
              <w:spacing w:after="0"/>
              <w:rPr>
                <w:sz w:val="20"/>
                <w:szCs w:val="20"/>
                <w:color w:val="auto"/>
              </w:rPr>
            </w:pPr>
            <w:r>
              <w:rPr>
                <w:rFonts w:ascii="Arial" w:cs="Arial" w:eastAsia="Arial" w:hAnsi="Arial"/>
                <w:sz w:val="18"/>
                <w:szCs w:val="18"/>
                <w:color w:val="auto"/>
              </w:rPr>
              <w:t>8,077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6,388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69,337</w:t>
            </w:r>
          </w:p>
        </w:tc>
        <w:tc>
          <w:tcPr>
            <w:tcW w:w="760" w:type="dxa"/>
            <w:vAlign w:val="bottom"/>
          </w:tcPr>
          <w:p>
            <w:pPr>
              <w:jc w:val="right"/>
              <w:spacing w:after="0"/>
              <w:rPr>
                <w:sz w:val="20"/>
                <w:szCs w:val="20"/>
                <w:color w:val="auto"/>
              </w:rPr>
            </w:pPr>
            <w:r>
              <w:rPr>
                <w:rFonts w:ascii="Arial" w:cs="Arial" w:eastAsia="Arial" w:hAnsi="Arial"/>
                <w:sz w:val="18"/>
                <w:szCs w:val="18"/>
                <w:color w:val="auto"/>
              </w:rPr>
              <w:t>26,709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9,534,751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270,560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276,314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41,577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41,297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10,346,716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340,568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25,203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95,733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461,504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6,300,811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44,791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17,799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4,231</w:t>
            </w:r>
          </w:p>
        </w:tc>
        <w:tc>
          <w:tcPr>
            <w:tcW w:w="760" w:type="dxa"/>
            <w:vAlign w:val="bottom"/>
          </w:tcPr>
          <w:p>
            <w:pPr>
              <w:jc w:val="right"/>
              <w:spacing w:after="0"/>
              <w:rPr>
                <w:sz w:val="20"/>
                <w:szCs w:val="20"/>
                <w:color w:val="auto"/>
              </w:rPr>
            </w:pPr>
            <w:r>
              <w:rPr>
                <w:rFonts w:ascii="Arial" w:cs="Arial" w:eastAsia="Arial" w:hAnsi="Arial"/>
                <w:sz w:val="18"/>
                <w:szCs w:val="18"/>
                <w:color w:val="auto"/>
              </w:rPr>
              <w:t>56,300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6,423,932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2,429,579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40,813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2,647,950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34,270</w:t>
            </w:r>
          </w:p>
        </w:tc>
        <w:tc>
          <w:tcPr>
            <w:tcW w:w="640" w:type="dxa"/>
            <w:vAlign w:val="bottom"/>
          </w:tcPr>
          <w:p>
            <w:pPr>
              <w:jc w:val="right"/>
              <w:spacing w:after="0"/>
              <w:rPr>
                <w:sz w:val="20"/>
                <w:szCs w:val="20"/>
                <w:color w:val="auto"/>
              </w:rPr>
            </w:pPr>
            <w:r>
              <w:rPr>
                <w:rFonts w:ascii="Arial" w:cs="Arial" w:eastAsia="Arial" w:hAnsi="Arial"/>
                <w:sz w:val="18"/>
                <w:szCs w:val="18"/>
                <w:color w:val="auto"/>
              </w:rPr>
              <w:t>4,967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2,197</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2,708,538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61,514,824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673,055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309,420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161,424</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528,001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64,111,955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$15,493,803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37,112</w:t>
            </w:r>
          </w:p>
        </w:tc>
        <w:tc>
          <w:tcPr>
            <w:tcW w:w="640" w:type="dxa"/>
            <w:vAlign w:val="bottom"/>
          </w:tcPr>
          <w:p>
            <w:pPr>
              <w:jc w:val="right"/>
              <w:spacing w:after="0"/>
              <w:rPr>
                <w:sz w:val="20"/>
                <w:szCs w:val="20"/>
                <w:color w:val="auto"/>
              </w:rPr>
            </w:pPr>
            <w:r>
              <w:rPr>
                <w:rFonts w:ascii="Arial" w:cs="Arial" w:eastAsia="Arial" w:hAnsi="Arial"/>
                <w:sz w:val="18"/>
                <w:szCs w:val="18"/>
                <w:color w:val="auto"/>
              </w:rPr>
              <w:t>7,601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23,762</w:t>
            </w:r>
          </w:p>
        </w:tc>
        <w:tc>
          <w:tcPr>
            <w:tcW w:w="760" w:type="dxa"/>
            <w:vAlign w:val="bottom"/>
          </w:tcPr>
          <w:p>
            <w:pPr>
              <w:jc w:val="right"/>
              <w:spacing w:after="0"/>
              <w:rPr>
                <w:sz w:val="20"/>
                <w:szCs w:val="20"/>
                <w:color w:val="auto"/>
              </w:rPr>
            </w:pPr>
            <w:r>
              <w:rPr>
                <w:rFonts w:ascii="Arial" w:cs="Arial" w:eastAsia="Arial" w:hAnsi="Arial"/>
                <w:sz w:val="18"/>
                <w:szCs w:val="18"/>
                <w:color w:val="auto"/>
              </w:rPr>
              <w:t>163,598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15,734,436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19,658,761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172,641</w:t>
            </w:r>
          </w:p>
        </w:tc>
        <w:tc>
          <w:tcPr>
            <w:tcW w:w="640" w:type="dxa"/>
            <w:vAlign w:val="bottom"/>
          </w:tcPr>
          <w:p>
            <w:pPr>
              <w:jc w:val="right"/>
              <w:spacing w:after="0"/>
              <w:rPr>
                <w:sz w:val="20"/>
                <w:szCs w:val="20"/>
                <w:color w:val="auto"/>
              </w:rPr>
            </w:pPr>
            <w:r>
              <w:rPr>
                <w:rFonts w:ascii="Arial" w:cs="Arial" w:eastAsia="Arial" w:hAnsi="Arial"/>
                <w:sz w:val="18"/>
                <w:szCs w:val="18"/>
                <w:color w:val="auto"/>
              </w:rPr>
              <w:t>9,983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54,148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192,804</w:t>
            </w:r>
          </w:p>
        </w:tc>
        <w:tc>
          <w:tcPr>
            <w:tcW w:w="760" w:type="dxa"/>
            <w:vAlign w:val="bottom"/>
          </w:tcPr>
          <w:p>
            <w:pPr>
              <w:jc w:val="right"/>
              <w:spacing w:after="0"/>
              <w:rPr>
                <w:sz w:val="20"/>
                <w:szCs w:val="20"/>
                <w:color w:val="auto"/>
              </w:rPr>
            </w:pPr>
            <w:r>
              <w:rPr>
                <w:rFonts w:ascii="Arial" w:cs="Arial" w:eastAsia="Arial" w:hAnsi="Arial"/>
                <w:sz w:val="18"/>
                <w:szCs w:val="18"/>
                <w:color w:val="auto"/>
              </w:rPr>
              <w:t>171,111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20,259,448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845,680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49,353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297,005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2,393,304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41,049</w:t>
            </w:r>
          </w:p>
        </w:tc>
        <w:tc>
          <w:tcPr>
            <w:tcW w:w="640" w:type="dxa"/>
            <w:vAlign w:val="bottom"/>
          </w:tcPr>
          <w:p>
            <w:pPr>
              <w:jc w:val="right"/>
              <w:spacing w:after="0"/>
              <w:rPr>
                <w:sz w:val="20"/>
                <w:szCs w:val="20"/>
                <w:color w:val="auto"/>
              </w:rPr>
            </w:pPr>
            <w:r>
              <w:rPr>
                <w:rFonts w:ascii="Arial" w:cs="Arial" w:eastAsia="Arial" w:hAnsi="Arial"/>
                <w:sz w:val="18"/>
                <w:szCs w:val="18"/>
                <w:color w:val="auto"/>
              </w:rPr>
              <w:t>968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23,582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78,105</w:t>
            </w:r>
          </w:p>
        </w:tc>
        <w:tc>
          <w:tcPr>
            <w:tcW w:w="760" w:type="dxa"/>
            <w:vAlign w:val="bottom"/>
          </w:tcPr>
          <w:p>
            <w:pPr>
              <w:jc w:val="right"/>
              <w:spacing w:after="0"/>
              <w:rPr>
                <w:sz w:val="20"/>
                <w:szCs w:val="20"/>
                <w:color w:val="auto"/>
              </w:rPr>
            </w:pPr>
            <w:r>
              <w:rPr>
                <w:rFonts w:ascii="Arial" w:cs="Arial" w:eastAsia="Arial" w:hAnsi="Arial"/>
                <w:sz w:val="18"/>
                <w:szCs w:val="18"/>
                <w:color w:val="auto"/>
              </w:rPr>
              <w:t>106,325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2,643,333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6,626,182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250,472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37,982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56,741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383,834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34,077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105,179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523,090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6,570,675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43,516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15,409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4,635</w:t>
            </w:r>
          </w:p>
        </w:tc>
        <w:tc>
          <w:tcPr>
            <w:tcW w:w="760" w:type="dxa"/>
            <w:vAlign w:val="bottom"/>
          </w:tcPr>
          <w:p>
            <w:pPr>
              <w:jc w:val="right"/>
              <w:spacing w:after="0"/>
              <w:rPr>
                <w:sz w:val="20"/>
                <w:szCs w:val="20"/>
                <w:color w:val="auto"/>
              </w:rPr>
            </w:pPr>
            <w:r>
              <w:rPr>
                <w:rFonts w:ascii="Arial" w:cs="Arial" w:eastAsia="Arial" w:hAnsi="Arial"/>
                <w:sz w:val="18"/>
                <w:szCs w:val="18"/>
                <w:color w:val="auto"/>
              </w:rPr>
              <w:t>47,150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6,681,385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2,644,330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2,551,225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43,547</w:t>
            </w:r>
          </w:p>
        </w:tc>
        <w:tc>
          <w:tcPr>
            <w:tcW w:w="640" w:type="dxa"/>
            <w:vAlign w:val="bottom"/>
          </w:tcPr>
          <w:p>
            <w:pPr>
              <w:jc w:val="right"/>
              <w:spacing w:after="0"/>
              <w:rPr>
                <w:sz w:val="20"/>
                <w:szCs w:val="20"/>
                <w:color w:val="auto"/>
              </w:rPr>
            </w:pPr>
            <w:r>
              <w:rPr>
                <w:rFonts w:ascii="Arial" w:cs="Arial" w:eastAsia="Arial" w:hAnsi="Arial"/>
                <w:sz w:val="18"/>
                <w:szCs w:val="18"/>
                <w:color w:val="auto"/>
              </w:rPr>
              <w:t>5,249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310</w:t>
            </w:r>
          </w:p>
        </w:tc>
        <w:tc>
          <w:tcPr>
            <w:tcW w:w="760" w:type="dxa"/>
            <w:vAlign w:val="bottom"/>
          </w:tcPr>
          <w:p>
            <w:pPr>
              <w:jc w:val="right"/>
              <w:spacing w:after="0"/>
              <w:rPr>
                <w:sz w:val="20"/>
                <w:szCs w:val="20"/>
                <w:color w:val="auto"/>
              </w:rPr>
            </w:pPr>
            <w:r>
              <w:rPr>
                <w:rFonts w:ascii="Arial" w:cs="Arial" w:eastAsia="Arial" w:hAnsi="Arial"/>
                <w:sz w:val="18"/>
                <w:szCs w:val="18"/>
                <w:color w:val="auto"/>
              </w:rPr>
              <w:t>23,126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2,625,797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57,167,794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725,654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287,876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653,362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1,097,581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60,096,005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September 30,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5"/>
              </w:rPr>
              <w:t>Leasing, etc.</w:t>
            </w:r>
          </w:p>
        </w:tc>
        <w:tc>
          <w:tcPr>
            <w:tcW w:w="9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88"/>
              </w:rPr>
              <w:t>Commercial</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Residential</w:t>
            </w:r>
          </w:p>
        </w:tc>
        <w:tc>
          <w:tcPr>
            <w:tcW w:w="3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w w:val="86"/>
              </w:rPr>
              <w:t>Consumer</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2"/>
                <w:szCs w:val="12"/>
                <w:color w:val="auto"/>
              </w:rPr>
            </w:pP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$ 244,728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164,352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9,891</w:t>
            </w: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8,247</w:t>
            </w:r>
          </w:p>
        </w:tc>
        <w:tc>
          <w:tcPr>
            <w:tcW w:w="620" w:type="dxa"/>
            <w:vAlign w:val="bottom"/>
          </w:tcPr>
          <w:p>
            <w:pPr>
              <w:jc w:val="right"/>
              <w:spacing w:after="0"/>
              <w:rPr>
                <w:sz w:val="20"/>
                <w:szCs w:val="20"/>
                <w:color w:val="auto"/>
              </w:rPr>
            </w:pPr>
            <w:r>
              <w:rPr>
                <w:rFonts w:ascii="Arial" w:cs="Arial" w:eastAsia="Arial" w:hAnsi="Arial"/>
                <w:sz w:val="18"/>
                <w:szCs w:val="18"/>
                <w:color w:val="auto"/>
              </w:rPr>
              <w:t>26,962</w:t>
            </w:r>
          </w:p>
        </w:tc>
        <w:tc>
          <w:tcPr>
            <w:tcW w:w="3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461</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(8,874)</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(7,982)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(8,687)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(24,553)</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(50,096)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8,291</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(7,700)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(6,561)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(7,548)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(19,996)</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(41,805)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$ 237,467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93,968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171,318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73,619</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September 30,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Financial,</w:t>
            </w:r>
          </w:p>
        </w:tc>
        <w:tc>
          <w:tcPr>
            <w:tcW w:w="1880" w:type="dxa"/>
            <w:vAlign w:val="bottom"/>
            <w:gridSpan w:val="4"/>
          </w:tcPr>
          <w:p>
            <w:pPr>
              <w:jc w:val="right"/>
              <w:ind w:right="780"/>
              <w:spacing w:after="0" w:line="15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5"/>
              </w:rPr>
              <w:t>Leasing, etc.</w:t>
            </w:r>
          </w:p>
        </w:tc>
        <w:tc>
          <w:tcPr>
            <w:tcW w:w="9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color w:val="auto"/>
                <w:w w:val="88"/>
              </w:rPr>
              <w:t>Commercial</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Residential</w:t>
            </w:r>
          </w:p>
        </w:tc>
        <w:tc>
          <w:tcPr>
            <w:tcW w:w="30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89"/>
              </w:rPr>
              <w:t>Consumer</w:t>
            </w:r>
          </w:p>
        </w:tc>
        <w:tc>
          <w:tcPr>
            <w:tcW w:w="98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86"/>
              </w:rPr>
              <w:t>Unallocated</w:t>
            </w: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$ 209,879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401,111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87,341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137,309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71,949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907,589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23,145</w:t>
            </w: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(545)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27,231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(12,073)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(13,712)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(12,135)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(28,576)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(9,460)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(12,873)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(10,385)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(24,346)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(57,064)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$ 223,564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85,220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140,194</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71,854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nine months ended September 30,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Commercial,</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88"/>
              </w:rPr>
              <w:t>Leasing, etc.</w:t>
            </w:r>
          </w:p>
        </w:tc>
        <w:tc>
          <w:tcPr>
            <w:tcW w:w="9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w w:val="85"/>
              </w:rPr>
              <w:t>Commercial</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Residential</w:t>
            </w:r>
          </w:p>
        </w:tc>
        <w:tc>
          <w:tcPr>
            <w:tcW w:w="32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89"/>
              </w:rPr>
              <w:t>Consumer</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$ 234,022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367,637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143,121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29,663</w:t>
            </w:r>
          </w:p>
        </w:tc>
        <w:tc>
          <w:tcPr>
            <w:tcW w:w="3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4,322</w:t>
            </w:r>
          </w:p>
        </w:tc>
        <w:tc>
          <w:tcPr>
            <w:tcW w:w="600" w:type="dxa"/>
            <w:vAlign w:val="bottom"/>
          </w:tcPr>
          <w:p>
            <w:pPr>
              <w:jc w:val="right"/>
              <w:spacing w:after="0"/>
              <w:rPr>
                <w:sz w:val="20"/>
                <w:szCs w:val="20"/>
                <w:color w:val="auto"/>
              </w:rPr>
            </w:pPr>
            <w:r>
              <w:rPr>
                <w:rFonts w:ascii="Arial" w:cs="Arial" w:eastAsia="Arial" w:hAnsi="Arial"/>
                <w:sz w:val="18"/>
                <w:szCs w:val="18"/>
                <w:color w:val="auto"/>
              </w:rPr>
              <w:t>30,064</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88,927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(32,989)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(31,578)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(32,812)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(77,155)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(174,534)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32,467</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(26,218)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(27,108)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(28,011)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(60,730)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(142,067)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$ 237,467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344,851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93,968</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171,318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20" w:type="dxa"/>
            <w:vAlign w:val="bottom"/>
            <w:gridSpan w:val="2"/>
          </w:tcPr>
          <w:p>
            <w:pPr>
              <w:jc w:val="right"/>
              <w:ind w:right="522"/>
              <w:spacing w:after="0"/>
              <w:rPr>
                <w:sz w:val="20"/>
                <w:szCs w:val="20"/>
                <w:color w:val="auto"/>
              </w:rPr>
            </w:pPr>
            <w:r>
              <w:rPr>
                <w:rFonts w:ascii="Arial" w:cs="Arial" w:eastAsia="Arial" w:hAnsi="Arial"/>
                <w:sz w:val="18"/>
                <w:szCs w:val="18"/>
                <w:color w:val="auto"/>
              </w:rPr>
              <w:t>- 18 -</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nine months ended September 30,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Commercial,</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tcPr>
          <w:p>
            <w:pPr>
              <w:jc w:val="right"/>
              <w:ind w:right="800"/>
              <w:spacing w:after="0" w:line="15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88"/>
              </w:rPr>
              <w:t>Leasing, etc.</w:t>
            </w:r>
          </w:p>
        </w:tc>
        <w:tc>
          <w:tcPr>
            <w:tcW w:w="9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w w:val="85"/>
              </w:rPr>
              <w:t>Commercial</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Residential</w:t>
            </w:r>
          </w:p>
        </w:tc>
        <w:tc>
          <w:tcPr>
            <w:tcW w:w="32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89"/>
              </w:rPr>
              <w:t>Consumer</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$ 212,579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400,562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133,067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tcPr>
          <w:p>
            <w:pPr>
              <w:jc w:val="right"/>
              <w:spacing w:after="0"/>
              <w:rPr>
                <w:sz w:val="20"/>
                <w:szCs w:val="20"/>
                <w:color w:val="auto"/>
              </w:rPr>
            </w:pPr>
            <w:r>
              <w:rPr>
                <w:rFonts w:ascii="Arial" w:cs="Arial" w:eastAsia="Arial" w:hAnsi="Arial"/>
                <w:sz w:val="18"/>
                <w:szCs w:val="18"/>
                <w:color w:val="auto"/>
              </w:rPr>
              <w:t>44,957</w:t>
            </w:r>
          </w:p>
        </w:tc>
        <w:tc>
          <w:tcPr>
            <w:tcW w:w="3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36,965</w:t>
            </w:r>
          </w:p>
        </w:tc>
        <w:tc>
          <w:tcPr>
            <w:tcW w:w="600" w:type="dxa"/>
            <w:vAlign w:val="bottom"/>
          </w:tcPr>
          <w:p>
            <w:pPr>
              <w:jc w:val="right"/>
              <w:spacing w:after="0"/>
              <w:rPr>
                <w:sz w:val="20"/>
                <w:szCs w:val="20"/>
                <w:color w:val="auto"/>
              </w:rPr>
            </w:pPr>
            <w:r>
              <w:rPr>
                <w:rFonts w:ascii="Arial" w:cs="Arial" w:eastAsia="Arial" w:hAnsi="Arial"/>
                <w:sz w:val="18"/>
                <w:szCs w:val="18"/>
                <w:color w:val="auto"/>
              </w:rPr>
              <w:t>37,759</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74,847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(41,023)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(54,206)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(44,174)</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(81,837)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30,824</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(33,972)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(49,834)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(38,890)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(67,720)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(190,416)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$ 223,564</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387,693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140,194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portfolio segment.</w:t>
      </w:r>
    </w:p>
    <w:p>
      <w:pPr>
        <w:spacing w:after="0" w:line="1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all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September 30, 2012 and December 31, 2011 and for the three months and nine months ended September 30, 2012 and September 30,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85"/>
              </w:rPr>
              <w:t>September 30, 2012</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December 31, 2011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90"/>
              </w:rPr>
              <w:t>Unpaid</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85"/>
              </w:rPr>
              <w:t>Unpaid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5"/>
              </w:rPr>
              <w:t>Recorded</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principal</w:t>
            </w: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Recorded</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principal</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1"/>
              </w:rPr>
              <w:t>investment</w:t>
            </w:r>
          </w:p>
        </w:tc>
        <w:tc>
          <w:tcPr>
            <w:tcW w:w="20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balance</w:t>
            </w:r>
          </w:p>
        </w:tc>
        <w:tc>
          <w:tcPr>
            <w:tcW w:w="8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4"/>
              </w:rPr>
              <w:t>investment</w:t>
            </w:r>
          </w:p>
        </w:tc>
        <w:tc>
          <w:tcPr>
            <w:tcW w:w="22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balance</w:t>
            </w: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$106,448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126,156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29,911</w:t>
            </w:r>
          </w:p>
        </w:tc>
        <w:tc>
          <w:tcPr>
            <w:tcW w:w="740" w:type="dxa"/>
            <w:vAlign w:val="bottom"/>
          </w:tcPr>
          <w:p>
            <w:pPr>
              <w:jc w:val="right"/>
              <w:spacing w:after="0"/>
              <w:rPr>
                <w:sz w:val="20"/>
                <w:szCs w:val="20"/>
                <w:color w:val="auto"/>
              </w:rPr>
            </w:pPr>
            <w:r>
              <w:rPr>
                <w:rFonts w:ascii="Arial" w:cs="Arial" w:eastAsia="Arial" w:hAnsi="Arial"/>
                <w:sz w:val="18"/>
                <w:szCs w:val="18"/>
                <w:color w:val="auto"/>
              </w:rPr>
              <w:t>118,538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145,510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107,669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135,663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18,734</w:t>
            </w:r>
          </w:p>
        </w:tc>
        <w:tc>
          <w:tcPr>
            <w:tcW w:w="740" w:type="dxa"/>
            <w:vAlign w:val="bottom"/>
          </w:tcPr>
          <w:p>
            <w:pPr>
              <w:jc w:val="right"/>
              <w:spacing w:after="0"/>
              <w:rPr>
                <w:sz w:val="20"/>
                <w:szCs w:val="20"/>
                <w:color w:val="auto"/>
              </w:rPr>
            </w:pPr>
            <w:r>
              <w:rPr>
                <w:rFonts w:ascii="Arial" w:cs="Arial" w:eastAsia="Arial" w:hAnsi="Arial"/>
                <w:sz w:val="18"/>
                <w:szCs w:val="18"/>
                <w:color w:val="auto"/>
              </w:rPr>
              <w:t>102,886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128,456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134,298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280,869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74,306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77,938</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7,749</w:t>
            </w:r>
          </w:p>
        </w:tc>
        <w:tc>
          <w:tcPr>
            <w:tcW w:w="740" w:type="dxa"/>
            <w:vAlign w:val="bottom"/>
          </w:tcPr>
          <w:p>
            <w:pPr>
              <w:jc w:val="right"/>
              <w:spacing w:after="0"/>
              <w:rPr>
                <w:sz w:val="20"/>
                <w:szCs w:val="20"/>
                <w:color w:val="auto"/>
              </w:rPr>
            </w:pPr>
            <w:r>
              <w:rPr>
                <w:rFonts w:ascii="Arial" w:cs="Arial" w:eastAsia="Arial" w:hAnsi="Arial"/>
                <w:sz w:val="18"/>
                <w:szCs w:val="18"/>
                <w:color w:val="auto"/>
              </w:rPr>
              <w:t>20,234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24,639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121,141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119,498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131,043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143,670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19,000</w:t>
            </w:r>
          </w:p>
        </w:tc>
        <w:tc>
          <w:tcPr>
            <w:tcW w:w="740" w:type="dxa"/>
            <w:vAlign w:val="bottom"/>
          </w:tcPr>
          <w:p>
            <w:pPr>
              <w:jc w:val="right"/>
              <w:spacing w:after="0"/>
              <w:rPr>
                <w:sz w:val="20"/>
                <w:szCs w:val="20"/>
                <w:color w:val="auto"/>
              </w:rPr>
            </w:pPr>
            <w:r>
              <w:rPr>
                <w:rFonts w:ascii="Arial" w:cs="Arial" w:eastAsia="Arial" w:hAnsi="Arial"/>
                <w:sz w:val="18"/>
                <w:szCs w:val="18"/>
                <w:color w:val="auto"/>
              </w:rPr>
              <w:t>150,396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162,978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12,362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13,635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2,187</w:t>
            </w:r>
          </w:p>
        </w:tc>
        <w:tc>
          <w:tcPr>
            <w:tcW w:w="740" w:type="dxa"/>
            <w:vAlign w:val="bottom"/>
          </w:tcPr>
          <w:p>
            <w:pPr>
              <w:jc w:val="right"/>
              <w:spacing w:after="0"/>
              <w:rPr>
                <w:sz w:val="20"/>
                <w:szCs w:val="20"/>
                <w:color w:val="auto"/>
              </w:rPr>
            </w:pPr>
            <w:r>
              <w:rPr>
                <w:rFonts w:ascii="Arial" w:cs="Arial" w:eastAsia="Arial" w:hAnsi="Arial"/>
                <w:sz w:val="18"/>
                <w:szCs w:val="18"/>
                <w:color w:val="auto"/>
              </w:rPr>
              <w:t>9,385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733,583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942,486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137,102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934,731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60,778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92,453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91,118</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builder and developer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95,202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117,478</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133,156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177,277</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commercial construction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22,752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31,352</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25,625</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Alt-A</w:t>
            </w:r>
          </w:p>
        </w:tc>
        <w:tc>
          <w:tcPr>
            <w:tcW w:w="17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34,533</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63,703</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60,942</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258,948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349,924</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398,590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505,602</w:t>
            </w:r>
          </w:p>
        </w:tc>
        <w:tc>
          <w:tcPr>
            <w:tcW w:w="22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130,089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158,367</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29,911</w:t>
            </w:r>
          </w:p>
        </w:tc>
        <w:tc>
          <w:tcPr>
            <w:tcW w:w="740" w:type="dxa"/>
            <w:vAlign w:val="bottom"/>
          </w:tcPr>
          <w:p>
            <w:pPr>
              <w:jc w:val="right"/>
              <w:spacing w:after="0"/>
              <w:rPr>
                <w:sz w:val="20"/>
                <w:szCs w:val="20"/>
                <w:color w:val="auto"/>
              </w:rPr>
            </w:pPr>
            <w:r>
              <w:rPr>
                <w:rFonts w:ascii="Arial" w:cs="Arial" w:eastAsia="Arial" w:hAnsi="Arial"/>
                <w:sz w:val="18"/>
                <w:szCs w:val="18"/>
                <w:color w:val="auto"/>
              </w:rPr>
              <w:t>171,642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206,288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178,336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228,116</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18,734</w:t>
            </w:r>
          </w:p>
        </w:tc>
        <w:tc>
          <w:tcPr>
            <w:tcW w:w="740" w:type="dxa"/>
            <w:vAlign w:val="bottom"/>
          </w:tcPr>
          <w:p>
            <w:pPr>
              <w:jc w:val="right"/>
              <w:spacing w:after="0"/>
              <w:rPr>
                <w:sz w:val="20"/>
                <w:szCs w:val="20"/>
                <w:color w:val="auto"/>
              </w:rPr>
            </w:pPr>
            <w:r>
              <w:rPr>
                <w:rFonts w:ascii="Arial" w:cs="Arial" w:eastAsia="Arial" w:hAnsi="Arial"/>
                <w:sz w:val="18"/>
                <w:szCs w:val="18"/>
                <w:color w:val="auto"/>
              </w:rPr>
              <w:t>174,522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219,574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377,488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34,228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458,146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86,459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90,665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7,749</w:t>
            </w:r>
          </w:p>
        </w:tc>
        <w:tc>
          <w:tcPr>
            <w:tcW w:w="740" w:type="dxa"/>
            <w:vAlign w:val="bottom"/>
          </w:tcPr>
          <w:p>
            <w:pPr>
              <w:jc w:val="right"/>
              <w:spacing w:after="0"/>
              <w:rPr>
                <w:sz w:val="20"/>
                <w:szCs w:val="20"/>
                <w:color w:val="auto"/>
              </w:rPr>
            </w:pPr>
            <w:r>
              <w:rPr>
                <w:rFonts w:ascii="Arial" w:cs="Arial" w:eastAsia="Arial" w:hAnsi="Arial"/>
                <w:sz w:val="18"/>
                <w:szCs w:val="18"/>
                <w:color w:val="auto"/>
              </w:rPr>
              <w:t>106,886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114,501</w:t>
            </w:r>
          </w:p>
        </w:tc>
        <w:tc>
          <w:tcPr>
            <w:tcW w:w="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152,493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145,123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165,576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207,373</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19,000</w:t>
            </w:r>
          </w:p>
        </w:tc>
        <w:tc>
          <w:tcPr>
            <w:tcW w:w="740" w:type="dxa"/>
            <w:vAlign w:val="bottom"/>
          </w:tcPr>
          <w:p>
            <w:pPr>
              <w:jc w:val="right"/>
              <w:spacing w:after="0"/>
              <w:rPr>
                <w:sz w:val="20"/>
                <w:szCs w:val="20"/>
                <w:color w:val="auto"/>
              </w:rPr>
            </w:pPr>
            <w:r>
              <w:rPr>
                <w:rFonts w:ascii="Arial" w:cs="Arial" w:eastAsia="Arial" w:hAnsi="Arial"/>
                <w:sz w:val="18"/>
                <w:szCs w:val="18"/>
                <w:color w:val="auto"/>
              </w:rPr>
              <w:t>184,752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223,920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12,362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13,635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2,187</w:t>
            </w:r>
          </w:p>
        </w:tc>
        <w:tc>
          <w:tcPr>
            <w:tcW w:w="740" w:type="dxa"/>
            <w:vAlign w:val="bottom"/>
          </w:tcPr>
          <w:p>
            <w:pPr>
              <w:jc w:val="right"/>
              <w:spacing w:after="0"/>
              <w:rPr>
                <w:sz w:val="20"/>
                <w:szCs w:val="20"/>
                <w:color w:val="auto"/>
              </w:rPr>
            </w:pPr>
            <w:r>
              <w:rPr>
                <w:rFonts w:ascii="Arial" w:cs="Arial" w:eastAsia="Arial" w:hAnsi="Arial"/>
                <w:sz w:val="18"/>
                <w:szCs w:val="18"/>
                <w:color w:val="auto"/>
              </w:rPr>
              <w:t>9,385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86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992,531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1,292,410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137,102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1,440,333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20" w:type="dxa"/>
            <w:vAlign w:val="bottom"/>
            <w:vMerge w:val="restart"/>
          </w:tcPr>
          <w:p>
            <w:pPr>
              <w:jc w:val="right"/>
              <w:ind w:right="112"/>
              <w:spacing w:after="0"/>
              <w:rPr>
                <w:sz w:val="20"/>
                <w:szCs w:val="20"/>
                <w:color w:val="auto"/>
              </w:rPr>
            </w:pPr>
            <w:r>
              <w:rPr>
                <w:rFonts w:ascii="Arial" w:cs="Arial" w:eastAsia="Arial" w:hAnsi="Arial"/>
                <w:sz w:val="18"/>
                <w:szCs w:val="18"/>
                <w:color w:val="auto"/>
              </w:rPr>
              <w:t>- 21 -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left="359"/>
              <w:spacing w:after="0"/>
              <w:rPr>
                <w:sz w:val="20"/>
                <w:szCs w:val="20"/>
                <w:color w:val="auto"/>
              </w:rPr>
            </w:pPr>
            <w:r>
              <w:rPr>
                <w:rFonts w:ascii="Arial" w:cs="Arial" w:eastAsia="Arial" w:hAnsi="Arial"/>
                <w:sz w:val="14"/>
                <w:szCs w:val="14"/>
                <w:color w:val="auto"/>
                <w:w w:val="86"/>
              </w:rPr>
              <w:t>Three months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left="409"/>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left="359"/>
              <w:spacing w:after="0" w:line="159" w:lineRule="exact"/>
              <w:rPr>
                <w:sz w:val="20"/>
                <w:szCs w:val="20"/>
                <w:color w:val="auto"/>
              </w:rPr>
            </w:pPr>
            <w:r>
              <w:rPr>
                <w:rFonts w:ascii="Arial" w:cs="Arial" w:eastAsia="Arial" w:hAnsi="Arial"/>
                <w:sz w:val="14"/>
                <w:szCs w:val="14"/>
                <w:color w:val="auto"/>
                <w:w w:val="85"/>
              </w:rPr>
              <w:t>September 30, 2012</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bottom w:val="single" w:sz="8" w:color="auto"/>
            </w:tcBorders>
            <w:gridSpan w:val="4"/>
          </w:tcPr>
          <w:p>
            <w:pPr>
              <w:jc w:val="center"/>
              <w:ind w:left="389"/>
              <w:spacing w:after="0" w:line="159" w:lineRule="exact"/>
              <w:rPr>
                <w:sz w:val="20"/>
                <w:szCs w:val="20"/>
                <w:color w:val="auto"/>
              </w:rPr>
            </w:pPr>
            <w:r>
              <w:rPr>
                <w:rFonts w:ascii="Arial" w:cs="Arial" w:eastAsia="Arial" w:hAnsi="Arial"/>
                <w:sz w:val="14"/>
                <w:szCs w:val="14"/>
                <w:color w:val="auto"/>
                <w:w w:val="85"/>
              </w:rPr>
              <w:t>September 30, 2011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19"/>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recognized</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Average</w:t>
            </w:r>
          </w:p>
        </w:tc>
        <w:tc>
          <w:tcPr>
            <w:tcW w:w="130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Cash</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recorded</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9"/>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40" w:type="dxa"/>
            <w:vAlign w:val="bottom"/>
          </w:tcPr>
          <w:p>
            <w:pPr>
              <w:jc w:val="right"/>
              <w:ind w:right="57"/>
              <w:spacing w:after="0" w:line="159" w:lineRule="exact"/>
              <w:rPr>
                <w:sz w:val="20"/>
                <w:szCs w:val="20"/>
                <w:color w:val="auto"/>
              </w:rPr>
            </w:pPr>
            <w:r>
              <w:rPr>
                <w:rFonts w:ascii="Arial" w:cs="Arial" w:eastAsia="Arial" w:hAnsi="Arial"/>
                <w:sz w:val="14"/>
                <w:szCs w:val="14"/>
                <w:color w:val="auto"/>
              </w:rPr>
              <w:t>basis</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investment</w:t>
            </w: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152,368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195,832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237,847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338,897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98,885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192,609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56,071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1,017,603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6,784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1,148,537</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6,727</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4"/>
          </w:tcPr>
          <w:p>
            <w:pPr>
              <w:jc w:val="center"/>
              <w:ind w:left="359"/>
              <w:spacing w:after="0"/>
              <w:rPr>
                <w:sz w:val="20"/>
                <w:szCs w:val="20"/>
                <w:color w:val="auto"/>
              </w:rPr>
            </w:pPr>
            <w:r>
              <w:rPr>
                <w:rFonts w:ascii="Arial" w:cs="Arial" w:eastAsia="Arial" w:hAnsi="Arial"/>
                <w:sz w:val="14"/>
                <w:szCs w:val="14"/>
                <w:color w:val="auto"/>
                <w:w w:val="85"/>
              </w:rPr>
              <w:t>Nine months ended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center"/>
              <w:ind w:left="409"/>
              <w:spacing w:after="0"/>
              <w:rPr>
                <w:sz w:val="20"/>
                <w:szCs w:val="20"/>
                <w:color w:val="auto"/>
              </w:rPr>
            </w:pPr>
            <w:r>
              <w:rPr>
                <w:rFonts w:ascii="Arial" w:cs="Arial" w:eastAsia="Arial" w:hAnsi="Arial"/>
                <w:sz w:val="14"/>
                <w:szCs w:val="14"/>
                <w:color w:val="auto"/>
                <w:w w:val="87"/>
              </w:rPr>
              <w:t>Nine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left="359"/>
              <w:spacing w:after="0" w:line="159" w:lineRule="exact"/>
              <w:rPr>
                <w:sz w:val="20"/>
                <w:szCs w:val="20"/>
                <w:color w:val="auto"/>
              </w:rPr>
            </w:pPr>
            <w:r>
              <w:rPr>
                <w:rFonts w:ascii="Arial" w:cs="Arial" w:eastAsia="Arial" w:hAnsi="Arial"/>
                <w:sz w:val="14"/>
                <w:szCs w:val="14"/>
                <w:color w:val="auto"/>
                <w:w w:val="85"/>
              </w:rPr>
              <w:t>September 30, 2012</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bottom w:val="single" w:sz="8" w:color="auto"/>
            </w:tcBorders>
            <w:gridSpan w:val="4"/>
          </w:tcPr>
          <w:p>
            <w:pPr>
              <w:jc w:val="center"/>
              <w:ind w:left="389"/>
              <w:spacing w:after="0" w:line="159" w:lineRule="exact"/>
              <w:rPr>
                <w:sz w:val="20"/>
                <w:szCs w:val="20"/>
                <w:color w:val="auto"/>
              </w:rPr>
            </w:pPr>
            <w:r>
              <w:rPr>
                <w:rFonts w:ascii="Arial" w:cs="Arial" w:eastAsia="Arial" w:hAnsi="Arial"/>
                <w:sz w:val="14"/>
                <w:szCs w:val="14"/>
                <w:color w:val="auto"/>
                <w:w w:val="85"/>
              </w:rPr>
              <w:t>September 30, 2011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19"/>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recognized</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4"/>
              </w:rPr>
              <w:t>Average</w:t>
            </w:r>
          </w:p>
        </w:tc>
        <w:tc>
          <w:tcPr>
            <w:tcW w:w="130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Cash</w:t>
            </w: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recorded</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9"/>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40" w:type="dxa"/>
            <w:vAlign w:val="bottom"/>
          </w:tcPr>
          <w:p>
            <w:pPr>
              <w:jc w:val="right"/>
              <w:ind w:right="57"/>
              <w:spacing w:after="0" w:line="159" w:lineRule="exact"/>
              <w:rPr>
                <w:sz w:val="20"/>
                <w:szCs w:val="20"/>
                <w:color w:val="auto"/>
              </w:rPr>
            </w:pPr>
            <w:r>
              <w:rPr>
                <w:rFonts w:ascii="Arial" w:cs="Arial" w:eastAsia="Arial" w:hAnsi="Arial"/>
                <w:sz w:val="14"/>
                <w:szCs w:val="14"/>
                <w:color w:val="auto"/>
              </w:rPr>
              <w:t>basis</w:t>
            </w:r>
          </w:p>
        </w:tc>
        <w:tc>
          <w:tcPr>
            <w:tcW w:w="200" w:type="dxa"/>
            <w:vAlign w:val="bottom"/>
          </w:tcPr>
          <w:p>
            <w:pPr>
              <w:spacing w:after="0"/>
              <w:rPr>
                <w:sz w:val="13"/>
                <w:szCs w:val="13"/>
                <w:color w:val="auto"/>
              </w:rPr>
            </w:pPr>
          </w:p>
        </w:tc>
        <w:tc>
          <w:tcPr>
            <w:tcW w:w="9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8"/>
              </w:rPr>
              <w:t>investment</w:t>
            </w: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163,005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191,818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260,858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321,386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102,978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128,646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3,926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92,918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199,066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Consumer:</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11,989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52,249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57,704</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2,925</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1,072,657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23,779</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1,144,988</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19,271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520" w:type="dxa"/>
            <w:vAlign w:val="bottom"/>
            <w:vMerge w:val="restart"/>
          </w:tcPr>
          <w:p>
            <w:pPr>
              <w:jc w:val="right"/>
              <w:ind w:right="692"/>
              <w:spacing w:after="0"/>
              <w:rPr>
                <w:sz w:val="20"/>
                <w:szCs w:val="20"/>
                <w:color w:val="auto"/>
              </w:rPr>
            </w:pPr>
            <w:r>
              <w:rPr>
                <w:rFonts w:ascii="Arial" w:cs="Arial" w:eastAsia="Arial" w:hAnsi="Arial"/>
                <w:sz w:val="18"/>
                <w:szCs w:val="18"/>
                <w:color w:val="auto"/>
              </w:rPr>
              <w:t>- 22 -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 as of September 30, 2012 and December 31, 2011.</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Commercial,</w:t>
            </w: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w w:val="85"/>
              </w:rPr>
              <w:t>Real Estate</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6"/>
              </w:rPr>
              <w:t>Residential</w:t>
            </w:r>
          </w:p>
        </w:tc>
        <w:tc>
          <w:tcPr>
            <w:tcW w:w="2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Financial,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Builder and</w:t>
            </w:r>
          </w:p>
        </w:tc>
        <w:tc>
          <w:tcPr>
            <w:tcW w:w="2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Commercial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5"/>
              </w:rPr>
              <w:t>Leasing, etc.</w:t>
            </w:r>
          </w:p>
        </w:tc>
        <w:tc>
          <w:tcPr>
            <w:tcW w:w="280" w:type="dxa"/>
            <w:vAlign w:val="bottom"/>
          </w:tcPr>
          <w:p>
            <w:pPr>
              <w:spacing w:after="0"/>
              <w:rPr>
                <w:sz w:val="13"/>
                <w:szCs w:val="13"/>
                <w:color w:val="auto"/>
              </w:rPr>
            </w:pPr>
          </w:p>
        </w:tc>
        <w:tc>
          <w:tcPr>
            <w:tcW w:w="860" w:type="dxa"/>
            <w:vAlign w:val="bottom"/>
          </w:tcPr>
          <w:p>
            <w:pPr>
              <w:jc w:val="right"/>
              <w:ind w:right="22"/>
              <w:spacing w:after="0" w:line="159" w:lineRule="exact"/>
              <w:rPr>
                <w:sz w:val="20"/>
                <w:szCs w:val="20"/>
                <w:color w:val="auto"/>
              </w:rPr>
            </w:pPr>
            <w:r>
              <w:rPr>
                <w:rFonts w:ascii="Arial" w:cs="Arial" w:eastAsia="Arial" w:hAnsi="Arial"/>
                <w:sz w:val="14"/>
                <w:szCs w:val="14"/>
                <w:color w:val="auto"/>
                <w:w w:val="99"/>
              </w:rPr>
              <w:t>Commercial</w:t>
            </w:r>
          </w:p>
        </w:tc>
        <w:tc>
          <w:tcPr>
            <w:tcW w:w="3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7"/>
              </w:rPr>
              <w:t>Developer</w:t>
            </w:r>
          </w:p>
        </w:tc>
        <w:tc>
          <w:tcPr>
            <w:tcW w:w="2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566"/>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$15,823,813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20,373,273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976,233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1,966,097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914,702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121,806</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172,246</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225,529</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16,704,575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21,460,221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1,306,352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$14,869,636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19,089,252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701,202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999,085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140,787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282,399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171,111</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281,576</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15,734,436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20,259,448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1,508,333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2,643,333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M&amp;T’s Credit Department. In arriving at such forecasts, M&amp;T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2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September 30, 2012 and December 31, 2011, the allocation of the allowance for credit losses summarized on the basis of the Company’s impairment methodology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Financial,</w:t>
            </w:r>
          </w:p>
        </w:tc>
        <w:tc>
          <w:tcPr>
            <w:tcW w:w="1900" w:type="dxa"/>
            <w:vAlign w:val="bottom"/>
            <w:gridSpan w:val="4"/>
          </w:tcPr>
          <w:p>
            <w:pPr>
              <w:ind w:left="5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Commercial</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Consumer</w:t>
            </w:r>
          </w:p>
        </w:tc>
        <w:tc>
          <w:tcPr>
            <w:tcW w:w="760" w:type="dxa"/>
            <w:vAlign w:val="bottom"/>
            <w:gridSpan w:val="2"/>
          </w:tcPr>
          <w:p>
            <w:pPr>
              <w:ind w:left="2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800" w:type="dxa"/>
            <w:vAlign w:val="bottom"/>
            <w:gridSpan w:val="2"/>
          </w:tcPr>
          <w:p>
            <w:pPr>
              <w:ind w:left="26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29,738</w:t>
            </w:r>
          </w:p>
        </w:tc>
        <w:tc>
          <w:tcPr>
            <w:tcW w:w="680" w:type="dxa"/>
            <w:vAlign w:val="bottom"/>
          </w:tcPr>
          <w:p>
            <w:pPr>
              <w:jc w:val="right"/>
              <w:spacing w:after="0"/>
              <w:rPr>
                <w:sz w:val="20"/>
                <w:szCs w:val="20"/>
                <w:color w:val="auto"/>
              </w:rPr>
            </w:pPr>
            <w:r>
              <w:rPr>
                <w:rFonts w:ascii="Arial" w:cs="Arial" w:eastAsia="Arial" w:hAnsi="Arial"/>
                <w:sz w:val="18"/>
                <w:szCs w:val="18"/>
                <w:color w:val="auto"/>
              </w:rPr>
              <w:t>59,794</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23,953</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22,453</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$135,938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207,556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283,547</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66,724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148,479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Purchased impaired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173</w:t>
            </w:r>
          </w:p>
        </w:tc>
        <w:tc>
          <w:tcPr>
            <w:tcW w:w="680" w:type="dxa"/>
            <w:vAlign w:val="bottom"/>
          </w:tcPr>
          <w:p>
            <w:pPr>
              <w:jc w:val="right"/>
              <w:spacing w:after="0"/>
              <w:rPr>
                <w:sz w:val="20"/>
                <w:szCs w:val="20"/>
                <w:color w:val="auto"/>
              </w:rPr>
            </w:pPr>
            <w:r>
              <w:rPr>
                <w:rFonts w:ascii="Arial" w:cs="Arial" w:eastAsia="Arial" w:hAnsi="Arial"/>
                <w:sz w:val="18"/>
                <w:szCs w:val="18"/>
                <w:color w:val="auto"/>
              </w:rPr>
              <w:t>1,510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3,291</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660" w:type="dxa"/>
            <w:vAlign w:val="bottom"/>
          </w:tcPr>
          <w:p>
            <w:pPr>
              <w:jc w:val="right"/>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237,467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344,851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93,968</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171,318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847,604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73,619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921,223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29,420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185,048</w:t>
            </w:r>
          </w:p>
        </w:tc>
        <w:tc>
          <w:tcPr>
            <w:tcW w:w="680" w:type="dxa"/>
            <w:vAlign w:val="bottom"/>
          </w:tcPr>
          <w:p>
            <w:pPr>
              <w:jc w:val="right"/>
              <w:spacing w:after="0"/>
              <w:rPr>
                <w:sz w:val="20"/>
                <w:szCs w:val="20"/>
                <w:color w:val="auto"/>
              </w:rPr>
            </w:pPr>
            <w:r>
              <w:rPr>
                <w:rFonts w:ascii="Arial" w:cs="Arial" w:eastAsia="Arial" w:hAnsi="Arial"/>
                <w:sz w:val="18"/>
                <w:szCs w:val="18"/>
                <w:color w:val="auto"/>
              </w:rPr>
              <w:t>291,271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60,742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126,613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663,674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234,022</w:t>
            </w:r>
          </w:p>
        </w:tc>
        <w:tc>
          <w:tcPr>
            <w:tcW w:w="680" w:type="dxa"/>
            <w:vAlign w:val="bottom"/>
          </w:tcPr>
          <w:p>
            <w:pPr>
              <w:jc w:val="right"/>
              <w:spacing w:after="0"/>
              <w:rPr>
                <w:sz w:val="20"/>
                <w:szCs w:val="20"/>
                <w:color w:val="auto"/>
              </w:rPr>
            </w:pPr>
            <w:r>
              <w:rPr>
                <w:rFonts w:ascii="Arial" w:cs="Arial" w:eastAsia="Arial" w:hAnsi="Arial"/>
                <w:sz w:val="18"/>
                <w:szCs w:val="18"/>
                <w:color w:val="auto"/>
              </w:rPr>
              <w:t>367,637</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91,915</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143,121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80" w:type="dxa"/>
            <w:vAlign w:val="bottom"/>
            <w:vMerge w:val="restart"/>
          </w:tcPr>
          <w:p>
            <w:pPr>
              <w:jc w:val="right"/>
              <w:ind w:right="792"/>
              <w:spacing w:after="0"/>
              <w:rPr>
                <w:sz w:val="20"/>
                <w:szCs w:val="20"/>
                <w:color w:val="auto"/>
              </w:rPr>
            </w:pPr>
            <w:r>
              <w:rPr>
                <w:rFonts w:ascii="Arial" w:cs="Arial" w:eastAsia="Arial" w:hAnsi="Arial"/>
                <w:sz w:val="18"/>
                <w:szCs w:val="18"/>
                <w:color w:val="auto"/>
              </w:rPr>
              <w:t>- 24 -</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recorded investment in loans and leases summarized on the basis of the Company’s impairment methodology as of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color w:val="auto"/>
                <w:w w:val="89"/>
              </w:rPr>
              <w:t>Commercial,</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color w:val="auto"/>
                <w:w w:val="90"/>
              </w:rPr>
              <w:t>Financial,</w:t>
            </w:r>
          </w:p>
        </w:tc>
        <w:tc>
          <w:tcPr>
            <w:tcW w:w="20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2" w:lineRule="exact"/>
              <w:rPr>
                <w:sz w:val="20"/>
                <w:szCs w:val="20"/>
                <w:color w:val="auto"/>
              </w:rPr>
            </w:pPr>
            <w:r>
              <w:rPr>
                <w:rFonts w:ascii="Arial" w:cs="Arial" w:eastAsia="Arial" w:hAnsi="Arial"/>
                <w:sz w:val="14"/>
                <w:szCs w:val="14"/>
                <w:color w:val="auto"/>
                <w:w w:val="85"/>
              </w:rPr>
              <w:t>Leasing, etc.</w:t>
            </w:r>
          </w:p>
        </w:tc>
        <w:tc>
          <w:tcPr>
            <w:tcW w:w="200" w:type="dxa"/>
            <w:vAlign w:val="bottom"/>
          </w:tcPr>
          <w:p>
            <w:pPr>
              <w:spacing w:after="0"/>
              <w:rPr>
                <w:sz w:val="12"/>
                <w:szCs w:val="12"/>
                <w:color w:val="auto"/>
              </w:rPr>
            </w:pPr>
          </w:p>
        </w:tc>
        <w:tc>
          <w:tcPr>
            <w:tcW w:w="104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w w:val="99"/>
              </w:rPr>
              <w:t>Commercial</w:t>
            </w:r>
          </w:p>
        </w:tc>
        <w:tc>
          <w:tcPr>
            <w:tcW w:w="860" w:type="dxa"/>
            <w:vAlign w:val="bottom"/>
          </w:tcPr>
          <w:p>
            <w:pPr>
              <w:jc w:val="right"/>
              <w:ind w:right="36"/>
              <w:spacing w:after="0" w:line="142" w:lineRule="exact"/>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(in thousands)</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129,916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488,493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290,023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76,676</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985,108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16,557,225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24,016,884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10,476,900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11,547,837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62,598,846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465,039</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41,297</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16,704,575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24,970,416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10,808,220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11,628,744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64,111,955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561,615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15,539,232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23,281,585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7,560,104</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11,950,849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58,331,770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567,914</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15,734,436</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24,411,114</w:t>
            </w:r>
          </w:p>
        </w:tc>
        <w:tc>
          <w:tcPr>
            <w:tcW w:w="860" w:type="dxa"/>
            <w:vAlign w:val="bottom"/>
          </w:tcPr>
          <w:p>
            <w:pPr>
              <w:jc w:val="right"/>
              <w:spacing w:after="0"/>
              <w:rPr>
                <w:sz w:val="20"/>
                <w:szCs w:val="20"/>
                <w:color w:val="auto"/>
              </w:rPr>
            </w:pPr>
            <w:r>
              <w:rPr>
                <w:rFonts w:ascii="Arial" w:cs="Arial" w:eastAsia="Arial" w:hAnsi="Arial"/>
                <w:sz w:val="18"/>
                <w:szCs w:val="18"/>
                <w:color w:val="auto"/>
              </w:rPr>
              <w:t>7,923,165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12,027,290</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60,096,005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8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ind w:left="26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80"/>
              <w:spacing w:after="0" w:line="131" w:lineRule="exact"/>
              <w:rPr>
                <w:sz w:val="20"/>
                <w:szCs w:val="20"/>
                <w:color w:val="auto"/>
              </w:rPr>
            </w:pPr>
            <w:r>
              <w:rPr>
                <w:rFonts w:ascii="Arial" w:cs="Arial" w:eastAsia="Arial" w:hAnsi="Arial"/>
                <w:sz w:val="14"/>
                <w:szCs w:val="14"/>
                <w:color w:val="auto"/>
                <w:w w:val="85"/>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September 30, 2012</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3"/>
        </w:trPr>
        <w:tc>
          <w:tcPr>
            <w:tcW w:w="6860" w:type="dxa"/>
            <w:vAlign w:val="bottom"/>
            <w:gridSpan w:val="2"/>
            <w:vMerge w:val="continue"/>
          </w:tcPr>
          <w:p>
            <w:pPr>
              <w:spacing w:after="0"/>
              <w:rPr>
                <w:sz w:val="13"/>
                <w:szCs w:val="13"/>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w w:val="88"/>
              </w:rPr>
              <w:t>Number</w:t>
            </w:r>
          </w:p>
        </w:tc>
        <w:tc>
          <w:tcPr>
            <w:tcW w:w="380" w:type="dxa"/>
            <w:vAlign w:val="bottom"/>
          </w:tcPr>
          <w:p>
            <w:pPr>
              <w:spacing w:after="0"/>
              <w:rPr>
                <w:sz w:val="13"/>
                <w:szCs w:val="13"/>
                <w:color w:val="auto"/>
              </w:rPr>
            </w:pP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400" w:type="dxa"/>
            <w:vAlign w:val="bottom"/>
          </w:tcPr>
          <w:p>
            <w:pPr>
              <w:spacing w:after="0"/>
              <w:rPr>
                <w:sz w:val="13"/>
                <w:szCs w:val="13"/>
                <w:color w:val="auto"/>
              </w:rPr>
            </w:pPr>
          </w:p>
        </w:tc>
        <w:tc>
          <w:tcPr>
            <w:tcW w:w="98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38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120"/>
              <w:spacing w:after="0" w:line="149" w:lineRule="exact"/>
              <w:rPr>
                <w:sz w:val="20"/>
                <w:szCs w:val="20"/>
                <w:color w:val="auto"/>
              </w:rPr>
            </w:pPr>
            <w:r>
              <w:rPr>
                <w:rFonts w:ascii="Arial" w:cs="Arial" w:eastAsia="Arial" w:hAnsi="Arial"/>
                <w:sz w:val="14"/>
                <w:szCs w:val="14"/>
                <w:color w:val="auto"/>
                <w:w w:val="92"/>
              </w:rPr>
              <w:t>(dollars 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7,823</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7,653</w:t>
            </w:r>
          </w:p>
        </w:tc>
        <w:tc>
          <w:tcPr>
            <w:tcW w:w="2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287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17,383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(1,108)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(727)</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55,191</w:t>
            </w:r>
          </w:p>
        </w:tc>
        <w:tc>
          <w:tcPr>
            <w:tcW w:w="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53,591</w:t>
            </w:r>
          </w:p>
        </w:tc>
        <w:tc>
          <w:tcPr>
            <w:tcW w:w="2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(1,600)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ind w:left="160"/>
              <w:spacing w:after="0" w:line="159" w:lineRule="exact"/>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3"/>
                <w:szCs w:val="13"/>
                <w:color w:val="auto"/>
              </w:rPr>
            </w:pPr>
          </w:p>
        </w:tc>
        <w:tc>
          <w:tcPr>
            <w:tcW w:w="138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gridSpan w:val="3"/>
          </w:tcPr>
          <w:p>
            <w:pPr>
              <w:ind w:left="40"/>
              <w:spacing w:after="0" w:line="131" w:lineRule="exact"/>
              <w:rPr>
                <w:sz w:val="20"/>
                <w:szCs w:val="20"/>
                <w:color w:val="auto"/>
              </w:rPr>
            </w:pPr>
            <w:r>
              <w:rPr>
                <w:rFonts w:ascii="Arial" w:cs="Arial" w:eastAsia="Arial" w:hAnsi="Arial"/>
                <w:sz w:val="14"/>
                <w:szCs w:val="14"/>
                <w:color w:val="auto"/>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2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September 30, 2011</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Pre-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3"/>
        </w:trPr>
        <w:tc>
          <w:tcPr>
            <w:tcW w:w="6920" w:type="dxa"/>
            <w:vAlign w:val="bottom"/>
            <w:gridSpan w:val="2"/>
            <w:vMerge w:val="continue"/>
          </w:tcPr>
          <w:p>
            <w:pPr>
              <w:spacing w:after="0"/>
              <w:rPr>
                <w:sz w:val="13"/>
                <w:szCs w:val="13"/>
                <w:color w:val="auto"/>
              </w:rPr>
            </w:pPr>
          </w:p>
        </w:tc>
        <w:tc>
          <w:tcPr>
            <w:tcW w:w="820" w:type="dxa"/>
            <w:vAlign w:val="bottom"/>
            <w:gridSpan w:val="2"/>
          </w:tcPr>
          <w:p>
            <w:pPr>
              <w:spacing w:after="0" w:line="146"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380" w:type="dxa"/>
            <w:vAlign w:val="bottom"/>
          </w:tcPr>
          <w:p>
            <w:pPr>
              <w:spacing w:after="0"/>
              <w:rPr>
                <w:sz w:val="13"/>
                <w:szCs w:val="13"/>
                <w:color w:val="auto"/>
              </w:rPr>
            </w:pPr>
          </w:p>
        </w:tc>
        <w:tc>
          <w:tcPr>
            <w:tcW w:w="108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680" w:type="dxa"/>
            <w:vAlign w:val="bottom"/>
            <w:gridSpan w:val="2"/>
          </w:tcPr>
          <w:p>
            <w:pPr>
              <w:ind w:left="80"/>
              <w:spacing w:after="0" w:line="146"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380" w:type="dxa"/>
            <w:vAlign w:val="bottom"/>
            <w:tcBorders>
              <w:top w:val="single" w:sz="8" w:color="auto"/>
            </w:tcBorders>
          </w:tcPr>
          <w:p>
            <w:pPr>
              <w:spacing w:after="0"/>
              <w:rPr>
                <w:sz w:val="12"/>
                <w:szCs w:val="12"/>
                <w:color w:val="auto"/>
              </w:rPr>
            </w:pPr>
          </w:p>
        </w:tc>
        <w:tc>
          <w:tcPr>
            <w:tcW w:w="45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ind w:left="100"/>
              <w:spacing w:after="0" w:line="149" w:lineRule="exact"/>
              <w:rPr>
                <w:sz w:val="20"/>
                <w:szCs w:val="20"/>
                <w:color w:val="auto"/>
              </w:rPr>
            </w:pPr>
            <w:r>
              <w:rPr>
                <w:rFonts w:ascii="Arial" w:cs="Arial" w:eastAsia="Arial" w:hAnsi="Arial"/>
                <w:sz w:val="14"/>
                <w:szCs w:val="14"/>
                <w:color w:val="auto"/>
              </w:rPr>
              <w:t>(dollars in thousands)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1,021</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1,115</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Commercial</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Residential builder and developer</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Other commercial construction</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Residential</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Residential Alt-A</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Home equity lines and loans</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Automobile</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92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21,688</w:t>
            </w: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21,676</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4"/>
                <w:szCs w:val="14"/>
                <w:color w:val="auto"/>
                <w:w w:val="89"/>
              </w:rPr>
              <w:t>Financial effects of</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ind w:left="180"/>
              <w:spacing w:after="0" w:line="159" w:lineRule="exact"/>
              <w:rPr>
                <w:sz w:val="20"/>
                <w:szCs w:val="20"/>
                <w:color w:val="auto"/>
              </w:rPr>
            </w:pPr>
            <w:r>
              <w:rPr>
                <w:rFonts w:ascii="Arial" w:cs="Arial" w:eastAsia="Arial" w:hAnsi="Arial"/>
                <w:sz w:val="14"/>
                <w:szCs w:val="14"/>
                <w:color w:val="auto"/>
              </w:rPr>
              <w:t>Recorded investment</w:t>
            </w:r>
          </w:p>
        </w:tc>
        <w:tc>
          <w:tcPr>
            <w:tcW w:w="1560" w:type="dxa"/>
            <w:vAlign w:val="bottom"/>
            <w:gridSpan w:val="6"/>
          </w:tcPr>
          <w:p>
            <w:pPr>
              <w:jc w:val="center"/>
              <w:ind w:right="120"/>
              <w:spacing w:after="0" w:line="159" w:lineRule="exact"/>
              <w:rPr>
                <w:sz w:val="20"/>
                <w:szCs w:val="20"/>
                <w:color w:val="auto"/>
              </w:rPr>
            </w:pPr>
            <w:r>
              <w:rPr>
                <w:rFonts w:ascii="Arial" w:cs="Arial" w:eastAsia="Arial" w:hAnsi="Arial"/>
                <w:sz w:val="14"/>
                <w:szCs w:val="14"/>
                <w:color w:val="auto"/>
                <w:w w:val="90"/>
              </w:rPr>
              <w:t>modification</w:t>
            </w: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4"/>
                <w:szCs w:val="14"/>
                <w:color w:val="auto"/>
                <w:w w:val="82"/>
              </w:rPr>
              <w:t>Recorded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spacing w:after="0"/>
              <w:rPr>
                <w:sz w:val="20"/>
                <w:szCs w:val="20"/>
                <w:color w:val="auto"/>
              </w:rPr>
            </w:pPr>
            <w:r>
              <w:rPr>
                <w:rFonts w:ascii="Arial" w:cs="Arial" w:eastAsia="Arial" w:hAnsi="Arial"/>
                <w:sz w:val="14"/>
                <w:szCs w:val="14"/>
                <w:color w:val="auto"/>
              </w:rPr>
              <w:t>Nine months ended September 30, 2012</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5"/>
              </w:rPr>
              <w:t>Post-</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investment</w:t>
            </w: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7100" w:type="dxa"/>
            <w:vAlign w:val="bottom"/>
            <w:gridSpan w:val="2"/>
            <w:vMerge w:val="continue"/>
          </w:tcPr>
          <w:p>
            <w:pPr>
              <w:spacing w:after="0"/>
              <w:rPr>
                <w:sz w:val="13"/>
                <w:szCs w:val="13"/>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w w:val="84"/>
              </w:rPr>
              <w:t>Number</w:t>
            </w:r>
          </w:p>
        </w:tc>
        <w:tc>
          <w:tcPr>
            <w:tcW w:w="300" w:type="dxa"/>
            <w:vAlign w:val="bottom"/>
          </w:tcPr>
          <w:p>
            <w:pPr>
              <w:spacing w:after="0"/>
              <w:rPr>
                <w:sz w:val="13"/>
                <w:szCs w:val="13"/>
                <w:color w:val="auto"/>
              </w:rPr>
            </w:pPr>
          </w:p>
        </w:tc>
        <w:tc>
          <w:tcPr>
            <w:tcW w:w="700" w:type="dxa"/>
            <w:vAlign w:val="bottom"/>
            <w:gridSpan w:val="2"/>
          </w:tcPr>
          <w:p>
            <w:pPr>
              <w:spacing w:after="0" w:line="146" w:lineRule="exact"/>
              <w:rPr>
                <w:sz w:val="20"/>
                <w:szCs w:val="20"/>
                <w:color w:val="auto"/>
              </w:rPr>
            </w:pPr>
            <w:r>
              <w:rPr>
                <w:rFonts w:ascii="Arial" w:cs="Arial" w:eastAsia="Arial" w:hAnsi="Arial"/>
                <w:sz w:val="14"/>
                <w:szCs w:val="14"/>
                <w:color w:val="auto"/>
                <w:w w:val="90"/>
              </w:rPr>
              <w:t>modification</w:t>
            </w:r>
          </w:p>
        </w:tc>
        <w:tc>
          <w:tcPr>
            <w:tcW w:w="300" w:type="dxa"/>
            <w:vAlign w:val="bottom"/>
          </w:tcPr>
          <w:p>
            <w:pPr>
              <w:spacing w:after="0"/>
              <w:rPr>
                <w:sz w:val="13"/>
                <w:szCs w:val="13"/>
                <w:color w:val="auto"/>
              </w:rPr>
            </w:pPr>
          </w:p>
        </w:tc>
        <w:tc>
          <w:tcPr>
            <w:tcW w:w="100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1"/>
              </w:rPr>
              <w:t>(a)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320" w:type="dxa"/>
            <w:vAlign w:val="bottom"/>
            <w:tcBorders>
              <w:top w:val="single" w:sz="8" w:color="auto"/>
            </w:tcBorders>
          </w:tcPr>
          <w:p>
            <w:pPr>
              <w:spacing w:after="0"/>
              <w:rPr>
                <w:sz w:val="12"/>
                <w:szCs w:val="12"/>
                <w:color w:val="auto"/>
              </w:rPr>
            </w:pPr>
          </w:p>
        </w:tc>
        <w:tc>
          <w:tcPr>
            <w:tcW w:w="4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center"/>
              <w:spacing w:after="0" w:line="149" w:lineRule="exact"/>
              <w:rPr>
                <w:sz w:val="20"/>
                <w:szCs w:val="20"/>
                <w:color w:val="auto"/>
              </w:rPr>
            </w:pPr>
            <w:r>
              <w:rPr>
                <w:rFonts w:ascii="Arial" w:cs="Arial" w:eastAsia="Arial" w:hAnsi="Arial"/>
                <w:sz w:val="14"/>
                <w:szCs w:val="14"/>
                <w:color w:val="auto"/>
                <w:w w:val="88"/>
              </w:rPr>
              <w:t>(dollars in thousands)</w:t>
            </w: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21,027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19,668</w:t>
            </w:r>
          </w:p>
        </w:tc>
        <w:tc>
          <w:tcPr>
            <w:tcW w:w="3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(1,359)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5,212</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66,317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65,600</w:t>
            </w:r>
          </w:p>
        </w:tc>
        <w:tc>
          <w:tcPr>
            <w:tcW w:w="3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3,447</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10,658</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5,108</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171,503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168,746</w:t>
            </w:r>
          </w:p>
        </w:tc>
        <w:tc>
          <w:tcPr>
            <w:tcW w:w="3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(2,757)</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(1,983)</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10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ind w:left="180"/>
              <w:spacing w:after="0" w:line="159" w:lineRule="exact"/>
              <w:rPr>
                <w:sz w:val="20"/>
                <w:szCs w:val="20"/>
                <w:color w:val="auto"/>
              </w:rPr>
            </w:pPr>
            <w:r>
              <w:rPr>
                <w:rFonts w:ascii="Arial" w:cs="Arial" w:eastAsia="Arial" w:hAnsi="Arial"/>
                <w:sz w:val="14"/>
                <w:szCs w:val="14"/>
                <w:color w:val="auto"/>
              </w:rPr>
              <w:t>Recorded investment</w:t>
            </w:r>
          </w:p>
        </w:tc>
        <w:tc>
          <w:tcPr>
            <w:tcW w:w="100" w:type="dxa"/>
            <w:vAlign w:val="bottom"/>
          </w:tcPr>
          <w:p>
            <w:pPr>
              <w:spacing w:after="0"/>
              <w:rPr>
                <w:sz w:val="13"/>
                <w:szCs w:val="13"/>
                <w:color w:val="auto"/>
              </w:rPr>
            </w:pPr>
          </w:p>
        </w:tc>
        <w:tc>
          <w:tcPr>
            <w:tcW w:w="1460" w:type="dxa"/>
            <w:vAlign w:val="bottom"/>
            <w:gridSpan w:val="6"/>
          </w:tcPr>
          <w:p>
            <w:pPr>
              <w:ind w:left="28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40"/>
              <w:spacing w:after="0" w:line="131" w:lineRule="exact"/>
              <w:rPr>
                <w:sz w:val="20"/>
                <w:szCs w:val="20"/>
                <w:color w:val="auto"/>
              </w:rPr>
            </w:pPr>
            <w:r>
              <w:rPr>
                <w:rFonts w:ascii="Arial" w:cs="Arial" w:eastAsia="Arial" w:hAnsi="Arial"/>
                <w:sz w:val="14"/>
                <w:szCs w:val="14"/>
                <w:color w:val="auto"/>
                <w:w w:val="85"/>
              </w:rPr>
              <w:t>Recorded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00" w:type="dxa"/>
            <w:vAlign w:val="bottom"/>
            <w:gridSpan w:val="3"/>
            <w:vMerge w:val="restart"/>
          </w:tcPr>
          <w:p>
            <w:pPr>
              <w:spacing w:after="0"/>
              <w:rPr>
                <w:sz w:val="20"/>
                <w:szCs w:val="20"/>
                <w:color w:val="auto"/>
              </w:rPr>
            </w:pPr>
            <w:r>
              <w:rPr>
                <w:rFonts w:ascii="Arial" w:cs="Arial" w:eastAsia="Arial" w:hAnsi="Arial"/>
                <w:sz w:val="14"/>
                <w:szCs w:val="14"/>
                <w:color w:val="auto"/>
              </w:rPr>
              <w:t>Nine months ended September 30, 2011</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5"/>
              </w:rPr>
              <w:t>Post-</w:t>
            </w: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7100" w:type="dxa"/>
            <w:vAlign w:val="bottom"/>
            <w:gridSpan w:val="3"/>
            <w:vMerge w:val="continue"/>
          </w:tcPr>
          <w:p>
            <w:pPr>
              <w:spacing w:after="0"/>
              <w:rPr>
                <w:sz w:val="13"/>
                <w:szCs w:val="13"/>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w w:val="84"/>
              </w:rPr>
              <w:t>Number</w:t>
            </w:r>
          </w:p>
        </w:tc>
        <w:tc>
          <w:tcPr>
            <w:tcW w:w="300" w:type="dxa"/>
            <w:vAlign w:val="bottom"/>
          </w:tcPr>
          <w:p>
            <w:pPr>
              <w:spacing w:after="0"/>
              <w:rPr>
                <w:sz w:val="13"/>
                <w:szCs w:val="13"/>
                <w:color w:val="auto"/>
              </w:rPr>
            </w:pPr>
          </w:p>
        </w:tc>
        <w:tc>
          <w:tcPr>
            <w:tcW w:w="720" w:type="dxa"/>
            <w:vAlign w:val="bottom"/>
            <w:gridSpan w:val="3"/>
          </w:tcPr>
          <w:p>
            <w:pPr>
              <w:spacing w:after="0" w:line="146" w:lineRule="exact"/>
              <w:rPr>
                <w:sz w:val="20"/>
                <w:szCs w:val="20"/>
                <w:color w:val="auto"/>
              </w:rPr>
            </w:pPr>
            <w:r>
              <w:rPr>
                <w:rFonts w:ascii="Arial" w:cs="Arial" w:eastAsia="Arial" w:hAnsi="Arial"/>
                <w:sz w:val="14"/>
                <w:szCs w:val="14"/>
                <w:color w:val="auto"/>
                <w:w w:val="93"/>
              </w:rPr>
              <w:t>modification</w:t>
            </w:r>
          </w:p>
        </w:tc>
        <w:tc>
          <w:tcPr>
            <w:tcW w:w="280" w:type="dxa"/>
            <w:vAlign w:val="bottom"/>
          </w:tcPr>
          <w:p>
            <w:pPr>
              <w:spacing w:after="0"/>
              <w:rPr>
                <w:sz w:val="13"/>
                <w:szCs w:val="13"/>
                <w:color w:val="auto"/>
              </w:rPr>
            </w:pPr>
          </w:p>
        </w:tc>
        <w:tc>
          <w:tcPr>
            <w:tcW w:w="100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100" w:type="dxa"/>
            <w:vAlign w:val="bottom"/>
          </w:tcPr>
          <w:p>
            <w:pPr>
              <w:spacing w:after="0"/>
              <w:rPr>
                <w:sz w:val="13"/>
                <w:szCs w:val="13"/>
                <w:color w:val="auto"/>
              </w:rPr>
            </w:pPr>
          </w:p>
        </w:tc>
        <w:tc>
          <w:tcPr>
            <w:tcW w:w="68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47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center"/>
              <w:ind w:right="20"/>
              <w:spacing w:after="0" w:line="149" w:lineRule="exact"/>
              <w:rPr>
                <w:sz w:val="20"/>
                <w:szCs w:val="20"/>
                <w:color w:val="auto"/>
              </w:rPr>
            </w:pPr>
            <w:r>
              <w:rPr>
                <w:rFonts w:ascii="Arial" w:cs="Arial" w:eastAsia="Arial" w:hAnsi="Arial"/>
                <w:sz w:val="14"/>
                <w:szCs w:val="14"/>
                <w:color w:val="auto"/>
                <w:w w:val="88"/>
              </w:rPr>
              <w:t>(dollars 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8,302</w:t>
            </w:r>
          </w:p>
        </w:tc>
        <w:tc>
          <w:tcPr>
            <w:tcW w:w="2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8,396</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118,114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8,436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16,066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211,291</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202,956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(8,335)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Loans that were modified as troubled debt restructurings during the twelve months ended September 30, 2012 and 2011 for which there was a subsequent payment default during the three- and nine-month periods ended September 30, 2012 and 2011, respectively, were not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September 30, 2012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Federal Reserve Board’s current risk-based capital guidelines, the Capital Securities are includable in M&amp;T’s Tier 1 capital. The Dodd-Frank Wall Street Reform and Consumer Protection Act of 2010 was signed into law on July 21, 2010 and provides a three-year phase-in related to the exclusion of trust preferred capital securities from Tier 1 capital for large financial institutions, including M&amp;T. That phase-in period begins on January 1, 2013.</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 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Including the unamortized portions of acquisition accounting adjustments to reflect estimated fair value at the acquisition dates of the Common Securities of various trusts, the Junior Subordinated Debentures associated with Capital Securities had financial statement carrying values of $1.2 billion at each of September 30, 2012 and December 31,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center"/>
              <w:ind w:right="305"/>
              <w:spacing w:after="0"/>
              <w:rPr>
                <w:sz w:val="20"/>
                <w:szCs w:val="20"/>
                <w:color w:val="auto"/>
              </w:rPr>
            </w:pPr>
            <w:r>
              <w:rPr>
                <w:rFonts w:ascii="Arial" w:cs="Arial" w:eastAsia="Arial" w:hAnsi="Arial"/>
                <w:sz w:val="14"/>
                <w:szCs w:val="14"/>
                <w:color w:val="auto"/>
                <w:w w:val="90"/>
              </w:rPr>
              <w:t>Carrying</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8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1"/>
              </w:rPr>
              <w:t>Shares</w:t>
            </w:r>
          </w:p>
        </w:tc>
        <w:tc>
          <w:tcPr>
            <w:tcW w:w="1180" w:type="dxa"/>
            <w:vAlign w:val="bottom"/>
          </w:tcPr>
          <w:p>
            <w:pPr>
              <w:jc w:val="center"/>
              <w:ind w:right="285"/>
              <w:spacing w:after="0" w:line="149" w:lineRule="exact"/>
              <w:rPr>
                <w:sz w:val="20"/>
                <w:szCs w:val="20"/>
                <w:color w:val="auto"/>
              </w:rPr>
            </w:pPr>
            <w:r>
              <w:rPr>
                <w:rFonts w:ascii="Arial" w:cs="Arial" w:eastAsia="Arial" w:hAnsi="Arial"/>
                <w:sz w:val="14"/>
                <w:szCs w:val="14"/>
                <w:color w:val="auto"/>
                <w:w w:val="89"/>
              </w:rPr>
              <w:t>value</w:t>
            </w:r>
          </w:p>
        </w:tc>
        <w:tc>
          <w:tcPr>
            <w:tcW w:w="58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Carrying</w:t>
            </w:r>
          </w:p>
        </w:tc>
      </w:tr>
      <w:tr>
        <w:trPr>
          <w:trHeight w:val="149"/>
        </w:trPr>
        <w:tc>
          <w:tcPr>
            <w:tcW w:w="548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2"/>
              </w:rPr>
              <w:t>issued and</w:t>
            </w:r>
          </w:p>
        </w:tc>
        <w:tc>
          <w:tcPr>
            <w:tcW w:w="1180" w:type="dxa"/>
            <w:vAlign w:val="bottom"/>
          </w:tcPr>
          <w:p>
            <w:pPr>
              <w:jc w:val="center"/>
              <w:ind w:right="325"/>
              <w:spacing w:after="0" w:line="149" w:lineRule="exact"/>
              <w:rPr>
                <w:sz w:val="20"/>
                <w:szCs w:val="20"/>
                <w:color w:val="auto"/>
              </w:rPr>
            </w:pPr>
            <w:r>
              <w:rPr>
                <w:rFonts w:ascii="Arial" w:cs="Arial" w:eastAsia="Arial" w:hAnsi="Arial"/>
                <w:sz w:val="14"/>
                <w:szCs w:val="14"/>
                <w:color w:val="auto"/>
                <w:w w:val="84"/>
              </w:rPr>
              <w:t>September 30,</w:t>
            </w:r>
          </w:p>
        </w:tc>
        <w:tc>
          <w:tcPr>
            <w:tcW w:w="58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value</w:t>
            </w:r>
          </w:p>
        </w:tc>
      </w:tr>
      <w:tr>
        <w:trPr>
          <w:trHeight w:val="159"/>
        </w:trPr>
        <w:tc>
          <w:tcPr>
            <w:tcW w:w="5480" w:type="dxa"/>
            <w:vAlign w:val="bottom"/>
          </w:tcPr>
          <w:p>
            <w:pPr>
              <w:spacing w:after="0"/>
              <w:rPr>
                <w:sz w:val="13"/>
                <w:szCs w:val="13"/>
                <w:color w:val="auto"/>
              </w:rPr>
            </w:pPr>
          </w:p>
        </w:tc>
        <w:tc>
          <w:tcPr>
            <w:tcW w:w="1380" w:type="dxa"/>
            <w:vAlign w:val="bottom"/>
            <w:gridSpan w:val="2"/>
          </w:tcPr>
          <w:p>
            <w:pPr>
              <w:jc w:val="center"/>
              <w:ind w:right="760"/>
              <w:spacing w:after="0" w:line="159" w:lineRule="exact"/>
              <w:rPr>
                <w:sz w:val="20"/>
                <w:szCs w:val="20"/>
                <w:color w:val="auto"/>
              </w:rPr>
            </w:pPr>
            <w:r>
              <w:rPr>
                <w:rFonts w:ascii="Arial" w:cs="Arial" w:eastAsia="Arial" w:hAnsi="Arial"/>
                <w:sz w:val="14"/>
                <w:szCs w:val="14"/>
                <w:color w:val="auto"/>
                <w:w w:val="85"/>
              </w:rPr>
              <w:t>outstanding</w:t>
            </w:r>
          </w:p>
        </w:tc>
        <w:tc>
          <w:tcPr>
            <w:tcW w:w="1180" w:type="dxa"/>
            <w:vAlign w:val="bottom"/>
          </w:tcPr>
          <w:p>
            <w:pPr>
              <w:jc w:val="center"/>
              <w:ind w:right="285"/>
              <w:spacing w:after="0" w:line="159" w:lineRule="exact"/>
              <w:rPr>
                <w:sz w:val="20"/>
                <w:szCs w:val="20"/>
                <w:color w:val="auto"/>
              </w:rPr>
            </w:pPr>
            <w:r>
              <w:rPr>
                <w:rFonts w:ascii="Arial" w:cs="Arial" w:eastAsia="Arial" w:hAnsi="Arial"/>
                <w:sz w:val="14"/>
                <w:szCs w:val="14"/>
                <w:color w:val="auto"/>
                <w:w w:val="83"/>
              </w:rPr>
              <w:t>2012</w:t>
            </w:r>
          </w:p>
        </w:tc>
        <w:tc>
          <w:tcPr>
            <w:tcW w:w="15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December 31, 2011</w:t>
            </w:r>
          </w:p>
        </w:tc>
      </w:tr>
      <w:tr>
        <w:trPr>
          <w:trHeight w:val="142"/>
        </w:trPr>
        <w:tc>
          <w:tcPr>
            <w:tcW w:w="5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2620" w:type="dxa"/>
            <w:vAlign w:val="bottom"/>
            <w:tcBorders>
              <w:top w:val="single" w:sz="8" w:color="auto"/>
            </w:tcBorders>
            <w:gridSpan w:val="3"/>
          </w:tcPr>
          <w:p>
            <w:pPr>
              <w:jc w:val="right"/>
              <w:ind w:right="64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Series A (a)(b)</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Fixed Rate Cumulative Perpetual</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w w:val="95"/>
              </w:rPr>
              <w:t>230,000</w:t>
            </w:r>
          </w:p>
        </w:tc>
        <w:tc>
          <w:tcPr>
            <w:tcW w:w="1180" w:type="dxa"/>
            <w:vAlign w:val="bottom"/>
          </w:tcPr>
          <w:p>
            <w:pPr>
              <w:jc w:val="right"/>
              <w:ind w:right="285"/>
              <w:spacing w:after="0"/>
              <w:rPr>
                <w:sz w:val="20"/>
                <w:szCs w:val="20"/>
                <w:color w:val="auto"/>
              </w:rPr>
            </w:pPr>
            <w:r>
              <w:rPr>
                <w:rFonts w:ascii="Arial" w:cs="Arial" w:eastAsia="Arial" w:hAnsi="Arial"/>
                <w:sz w:val="18"/>
                <w:szCs w:val="18"/>
                <w:color w:val="auto"/>
                <w:w w:val="93"/>
              </w:rPr>
              <w:t>$  226,232</w:t>
            </w:r>
          </w:p>
        </w:tc>
        <w:tc>
          <w:tcPr>
            <w:tcW w:w="5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tcPr>
          <w:p>
            <w:pPr>
              <w:spacing w:after="0"/>
              <w:rPr>
                <w:sz w:val="18"/>
                <w:szCs w:val="18"/>
                <w:color w:val="auto"/>
              </w:rPr>
            </w:pPr>
          </w:p>
        </w:tc>
      </w:tr>
      <w:tr>
        <w:trPr>
          <w:trHeight w:val="208"/>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Series A, $1,000</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liquidation preference per share</w:t>
            </w:r>
          </w:p>
        </w:tc>
        <w:tc>
          <w:tcPr>
            <w:tcW w:w="6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323"/>
        </w:trPr>
        <w:tc>
          <w:tcPr>
            <w:tcW w:w="5480" w:type="dxa"/>
            <w:vAlign w:val="bottom"/>
          </w:tcPr>
          <w:p>
            <w:pPr>
              <w:spacing w:after="0"/>
              <w:rPr>
                <w:sz w:val="20"/>
                <w:szCs w:val="20"/>
                <w:color w:val="auto"/>
              </w:rPr>
            </w:pPr>
            <w:r>
              <w:rPr>
                <w:rFonts w:ascii="Arial" w:cs="Arial" w:eastAsia="Arial" w:hAnsi="Arial"/>
                <w:sz w:val="18"/>
                <w:szCs w:val="18"/>
                <w:color w:val="auto"/>
              </w:rPr>
              <w:t>Series C (a)(c)</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Fixed Rate Cumulative Perpetual</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5"/>
              </w:rPr>
              <w:t>151,500</w:t>
            </w:r>
          </w:p>
        </w:tc>
        <w:tc>
          <w:tcPr>
            <w:tcW w:w="1180" w:type="dxa"/>
            <w:vAlign w:val="bottom"/>
            <w:shd w:val="clear" w:color="auto" w:fill="CCEEFF"/>
          </w:tcPr>
          <w:p>
            <w:pPr>
              <w:jc w:val="right"/>
              <w:ind w:right="285"/>
              <w:spacing w:after="0"/>
              <w:rPr>
                <w:sz w:val="20"/>
                <w:szCs w:val="20"/>
                <w:color w:val="auto"/>
              </w:rPr>
            </w:pPr>
            <w:r>
              <w:rPr>
                <w:rFonts w:ascii="Arial" w:cs="Arial" w:eastAsia="Arial" w:hAnsi="Arial"/>
                <w:sz w:val="18"/>
                <w:szCs w:val="18"/>
                <w:color w:val="auto"/>
              </w:rPr>
              <w:t>144,184</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140,308</w:t>
            </w:r>
          </w:p>
        </w:tc>
        <w:tc>
          <w:tcPr>
            <w:tcW w:w="100" w:type="dxa"/>
            <w:vAlign w:val="bottom"/>
            <w:shd w:val="clear" w:color="auto" w:fill="CCEEFF"/>
          </w:tcPr>
          <w:p>
            <w:pPr>
              <w:spacing w:after="0"/>
              <w:rPr>
                <w:sz w:val="18"/>
                <w:szCs w:val="18"/>
                <w:color w:val="auto"/>
              </w:rPr>
            </w:pPr>
          </w:p>
        </w:tc>
      </w:tr>
      <w:tr>
        <w:trPr>
          <w:trHeight w:val="208"/>
        </w:trPr>
        <w:tc>
          <w:tcPr>
            <w:tcW w:w="5480" w:type="dxa"/>
            <w:vAlign w:val="bottom"/>
          </w:tcPr>
          <w:p>
            <w:pPr>
              <w:ind w:left="440"/>
              <w:spacing w:after="0"/>
              <w:rPr>
                <w:sz w:val="20"/>
                <w:szCs w:val="20"/>
                <w:color w:val="auto"/>
              </w:rPr>
            </w:pPr>
            <w:r>
              <w:rPr>
                <w:rFonts w:ascii="Arial" w:cs="Arial" w:eastAsia="Arial" w:hAnsi="Arial"/>
                <w:sz w:val="18"/>
                <w:szCs w:val="18"/>
                <w:color w:val="auto"/>
              </w:rPr>
              <w:t>Preferred Stock, Series C, $1,000</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480" w:type="dxa"/>
            <w:vAlign w:val="bottom"/>
          </w:tcPr>
          <w:p>
            <w:pPr>
              <w:ind w:left="440"/>
              <w:spacing w:after="0"/>
              <w:rPr>
                <w:sz w:val="20"/>
                <w:szCs w:val="20"/>
                <w:color w:val="auto"/>
              </w:rPr>
            </w:pPr>
            <w:r>
              <w:rPr>
                <w:rFonts w:ascii="Arial" w:cs="Arial" w:eastAsia="Arial" w:hAnsi="Arial"/>
                <w:sz w:val="18"/>
                <w:szCs w:val="18"/>
                <w:color w:val="auto"/>
              </w:rPr>
              <w:t>liquidation preference per share</w:t>
            </w: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24"/>
        </w:trPr>
        <w:tc>
          <w:tcPr>
            <w:tcW w:w="5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Series D (d)</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Fixed Rate Non-Cumulative</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Perpetual Preferred Stock, Series D,</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$10,000 liquidation preference per share</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50,000</w:t>
            </w:r>
          </w:p>
        </w:tc>
        <w:tc>
          <w:tcPr>
            <w:tcW w:w="1180" w:type="dxa"/>
            <w:vAlign w:val="bottom"/>
            <w:shd w:val="clear" w:color="auto" w:fill="CCEEFF"/>
          </w:tcPr>
          <w:p>
            <w:pPr>
              <w:jc w:val="right"/>
              <w:ind w:right="285"/>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ind w:left="460" w:right="20" w:hanging="452"/>
        <w:spacing w:after="0" w:line="283" w:lineRule="auto"/>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Shares were issued as part of the TARP of the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were scheduled to increase to 9% per year. In August 2012, the U.S. Treasury sold its holdings of M&amp;T’s Series A and Series C preferred stock to the public, which allowed M&amp;T to exit the TARP. Certain modifications were made to the terms of the Series A and Series C preferred stock, which remain subject to M&amp;T common shareholder approval. Such modifications included a change in the dividend rate on November 15, 2013 to 6.375% (rather than the original 9% noted above) and a provision that M&amp;T will not redeem the preferred shares until on or after November 15, 2018.</w:t>
      </w:r>
    </w:p>
    <w:p>
      <w:pPr>
        <w:ind w:left="460" w:right="100" w:hanging="452"/>
        <w:spacing w:after="0" w:line="250"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Series A Preferred Stock. Accelerated amortization of preferred stock discount associated with the redemption was $11.2 million.</w:t>
      </w: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to the Series A and Series C warrants mentioned in (a) above, a ten-year warrant to purchase 95,383 shares of M&amp;T common stock at $518.96 per share was outstanding at September 30, 2012 and December 31, 2011. That warrant was issued by Wilmington Trust in December 2008 as part of the TARP of the U.S. Treasury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continued</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along with $330 million of fixed rate cumulative perpetual preferred stock, which was redeemed by M&amp;T immediately prior to the May 16, 2011 acquisition of Wilmington Trust.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7"/>
              </w:rPr>
              <w:t>postretirement</w:t>
            </w:r>
          </w:p>
        </w:tc>
      </w:tr>
      <w:tr>
        <w:trPr>
          <w:trHeight w:val="159"/>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right"/>
              <w:ind w:right="800"/>
              <w:spacing w:after="0" w:line="159" w:lineRule="exact"/>
              <w:rPr>
                <w:sz w:val="20"/>
                <w:szCs w:val="20"/>
                <w:color w:val="auto"/>
              </w:rPr>
            </w:pPr>
            <w:r>
              <w:rPr>
                <w:rFonts w:ascii="Arial" w:cs="Arial" w:eastAsia="Arial" w:hAnsi="Arial"/>
                <w:sz w:val="14"/>
                <w:szCs w:val="14"/>
                <w:color w:val="auto"/>
              </w:rPr>
              <w:t>Pension benefits</w:t>
            </w:r>
          </w:p>
        </w:tc>
        <w:tc>
          <w:tcPr>
            <w:tcW w:w="880" w:type="dxa"/>
            <w:vAlign w:val="bottom"/>
            <w:tcBorders>
              <w:bottom w:val="single" w:sz="8" w:color="auto"/>
            </w:tcBorders>
            <w:gridSpan w:val="3"/>
          </w:tcPr>
          <w:p>
            <w:pPr>
              <w:jc w:val="center"/>
              <w:ind w:left="339"/>
              <w:spacing w:after="0" w:line="159" w:lineRule="exact"/>
              <w:rPr>
                <w:sz w:val="20"/>
                <w:szCs w:val="20"/>
                <w:color w:val="auto"/>
              </w:rPr>
            </w:pPr>
            <w:r>
              <w:rPr>
                <w:rFonts w:ascii="Arial" w:cs="Arial" w:eastAsia="Arial" w:hAnsi="Arial"/>
                <w:sz w:val="14"/>
                <w:szCs w:val="14"/>
                <w:color w:val="auto"/>
                <w:w w:val="85"/>
              </w:rPr>
              <w:t>benefits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6"/>
          </w:tcPr>
          <w:p>
            <w:pPr>
              <w:jc w:val="center"/>
              <w:ind w:right="300"/>
              <w:spacing w:after="0" w:line="131" w:lineRule="exact"/>
              <w:rPr>
                <w:sz w:val="20"/>
                <w:szCs w:val="20"/>
                <w:color w:val="auto"/>
              </w:rPr>
            </w:pPr>
            <w:r>
              <w:rPr>
                <w:rFonts w:ascii="Arial" w:cs="Arial" w:eastAsia="Arial" w:hAnsi="Arial"/>
                <w:sz w:val="14"/>
                <w:szCs w:val="14"/>
                <w:color w:val="auto"/>
                <w:w w:val="85"/>
              </w:rPr>
              <w:t>Three months ended September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line="15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3"/>
                <w:szCs w:val="13"/>
                <w:color w:val="auto"/>
              </w:rPr>
            </w:pPr>
          </w:p>
        </w:tc>
        <w:tc>
          <w:tcPr>
            <w:tcW w:w="460" w:type="dxa"/>
            <w:vAlign w:val="bottom"/>
          </w:tcPr>
          <w:p>
            <w:pPr>
              <w:jc w:val="right"/>
              <w:ind w:right="19"/>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right"/>
              <w:ind w:right="15"/>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279"/>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15,509</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16,155</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(17,627)</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(16,718)</w:t>
            </w: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(1,640)</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(1,640)</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w:t>
            </w: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1,239</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1,222</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7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7"/>
              </w:rPr>
              <w:t>postretirement</w:t>
            </w:r>
          </w:p>
        </w:tc>
      </w:tr>
      <w:tr>
        <w:trPr>
          <w:trHeight w:val="159"/>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5"/>
          </w:tcPr>
          <w:p>
            <w:pPr>
              <w:jc w:val="right"/>
              <w:ind w:right="800"/>
              <w:spacing w:after="0" w:line="159" w:lineRule="exact"/>
              <w:rPr>
                <w:sz w:val="20"/>
                <w:szCs w:val="20"/>
                <w:color w:val="auto"/>
              </w:rPr>
            </w:pPr>
            <w:r>
              <w:rPr>
                <w:rFonts w:ascii="Arial" w:cs="Arial" w:eastAsia="Arial" w:hAnsi="Arial"/>
                <w:sz w:val="14"/>
                <w:szCs w:val="14"/>
                <w:color w:val="auto"/>
              </w:rPr>
              <w:t>Pension benefits</w:t>
            </w:r>
          </w:p>
        </w:tc>
        <w:tc>
          <w:tcPr>
            <w:tcW w:w="880" w:type="dxa"/>
            <w:vAlign w:val="bottom"/>
            <w:tcBorders>
              <w:bottom w:val="single" w:sz="8" w:color="auto"/>
            </w:tcBorders>
            <w:gridSpan w:val="3"/>
          </w:tcPr>
          <w:p>
            <w:pPr>
              <w:jc w:val="center"/>
              <w:ind w:left="339"/>
              <w:spacing w:after="0" w:line="159" w:lineRule="exact"/>
              <w:rPr>
                <w:sz w:val="20"/>
                <w:szCs w:val="20"/>
                <w:color w:val="auto"/>
              </w:rPr>
            </w:pPr>
            <w:r>
              <w:rPr>
                <w:rFonts w:ascii="Arial" w:cs="Arial" w:eastAsia="Arial" w:hAnsi="Arial"/>
                <w:sz w:val="14"/>
                <w:szCs w:val="14"/>
                <w:color w:val="auto"/>
                <w:w w:val="85"/>
              </w:rPr>
              <w:t>benefits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gridSpan w:val="6"/>
          </w:tcPr>
          <w:p>
            <w:pPr>
              <w:jc w:val="center"/>
              <w:ind w:right="300"/>
              <w:spacing w:after="0" w:line="131" w:lineRule="exact"/>
              <w:rPr>
                <w:sz w:val="20"/>
                <w:szCs w:val="20"/>
                <w:color w:val="auto"/>
              </w:rPr>
            </w:pPr>
            <w:r>
              <w:rPr>
                <w:rFonts w:ascii="Arial" w:cs="Arial" w:eastAsia="Arial" w:hAnsi="Arial"/>
                <w:sz w:val="14"/>
                <w:szCs w:val="14"/>
                <w:color w:val="auto"/>
                <w:w w:val="86"/>
              </w:rPr>
              <w:t>Nine months ended September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7"/>
              <w:spacing w:after="0" w:line="15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3"/>
                <w:szCs w:val="13"/>
                <w:color w:val="auto"/>
              </w:rPr>
            </w:pPr>
          </w:p>
        </w:tc>
        <w:tc>
          <w:tcPr>
            <w:tcW w:w="460" w:type="dxa"/>
            <w:vAlign w:val="bottom"/>
          </w:tcPr>
          <w:p>
            <w:pPr>
              <w:jc w:val="right"/>
              <w:ind w:right="19"/>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right"/>
              <w:ind w:right="15"/>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279"/>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22,162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46,527</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42,391</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2,803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2,722</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(52,883)</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(43,981)</w:t>
            </w: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(4,919)</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(4,919)</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27,874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38,761</w:t>
            </w: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29,158</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3,717</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3,218</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$11,289,000 and $10,455,000 for the three months ended September 30, 2012 and 2011, respectively, and $37,304,000 and $30,521,000 for the nine months ended September 30, 2012 and 2011, respectively. The Company is not required to make any minimum contributions to the qualified defined benefit plans in 2012, however, during the third quarter of 2012 the Company elected to contribute $200 million to the plans.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14"/>
                <w:szCs w:val="14"/>
                <w:color w:val="auto"/>
              </w:rPr>
            </w:pPr>
          </w:p>
        </w:tc>
        <w:tc>
          <w:tcPr>
            <w:tcW w:w="1720" w:type="dxa"/>
            <w:vAlign w:val="bottom"/>
            <w:gridSpan w:val="4"/>
          </w:tcPr>
          <w:p>
            <w:pPr>
              <w:jc w:val="right"/>
              <w:ind w:right="4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right"/>
              <w:ind w:right="90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720" w:type="dxa"/>
            <w:vAlign w:val="bottom"/>
            <w:gridSpan w:val="4"/>
          </w:tcPr>
          <w:p>
            <w:pPr>
              <w:jc w:val="right"/>
              <w:ind w:right="60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line="159"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6"/>
          </w:tcPr>
          <w:p>
            <w:pPr>
              <w:jc w:val="right"/>
              <w:ind w:right="420"/>
              <w:spacing w:after="0" w:line="142" w:lineRule="exact"/>
              <w:rPr>
                <w:sz w:val="20"/>
                <w:szCs w:val="20"/>
                <w:color w:val="auto"/>
              </w:rPr>
            </w:pPr>
            <w:r>
              <w:rPr>
                <w:rFonts w:ascii="Arial" w:cs="Arial" w:eastAsia="Arial" w:hAnsi="Arial"/>
                <w:sz w:val="14"/>
                <w:szCs w:val="14"/>
                <w:color w:val="auto"/>
                <w:w w:val="92"/>
              </w:rPr>
              <w:t>(in thousands, except per share)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293,462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183,108</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733,305</w:t>
            </w:r>
          </w:p>
        </w:tc>
        <w:tc>
          <w:tcPr>
            <w:tcW w:w="4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711,739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(13,363)</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(14,079)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(40,088)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860"/>
              <w:spacing w:after="0"/>
              <w:rPr>
                <w:sz w:val="20"/>
                <w:szCs w:val="20"/>
                <w:color w:val="auto"/>
              </w:rPr>
            </w:pPr>
            <w:r>
              <w:rPr>
                <w:rFonts w:ascii="Arial" w:cs="Arial" w:eastAsia="Arial" w:hAnsi="Arial"/>
                <w:sz w:val="18"/>
                <w:szCs w:val="18"/>
                <w:color w:val="auto"/>
              </w:rPr>
              <w:t>Amortization of preferred stock discount (a)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(2,033)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(5,921)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278,066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167,181</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687,296</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661,846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w w:val="99"/>
              </w:rPr>
              <w:t>Less: Income attributable to unvested stock-based compensation awards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(4,181)</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(10,475)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273,885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676,821</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651,941</w:t>
            </w: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(including common stock issuable) and unvested stock-based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127,741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126,478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127,449</w:t>
            </w:r>
          </w:p>
        </w:tc>
        <w:tc>
          <w:tcPr>
            <w:tcW w:w="4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123,855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(1,922)</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(1,939)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125,819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124,575</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125,510</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60"/>
          </w:cols>
          <w:pgMar w:left="24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14"/>
                <w:szCs w:val="14"/>
                <w:color w:val="auto"/>
              </w:rPr>
            </w:pPr>
          </w:p>
        </w:tc>
        <w:tc>
          <w:tcPr>
            <w:tcW w:w="1720" w:type="dxa"/>
            <w:vAlign w:val="bottom"/>
            <w:gridSpan w:val="4"/>
          </w:tcPr>
          <w:p>
            <w:pPr>
              <w:jc w:val="right"/>
              <w:ind w:right="4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right"/>
              <w:ind w:right="900"/>
              <w:spacing w:after="0" w:line="149" w:lineRule="exact"/>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2"/>
                <w:szCs w:val="12"/>
                <w:color w:val="auto"/>
              </w:rPr>
            </w:pPr>
          </w:p>
        </w:tc>
        <w:tc>
          <w:tcPr>
            <w:tcW w:w="1720" w:type="dxa"/>
            <w:vAlign w:val="bottom"/>
            <w:gridSpan w:val="4"/>
          </w:tcPr>
          <w:p>
            <w:pPr>
              <w:jc w:val="right"/>
              <w:ind w:right="60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12"/>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6"/>
          </w:tcPr>
          <w:p>
            <w:pPr>
              <w:jc w:val="right"/>
              <w:ind w:right="420"/>
              <w:spacing w:after="0" w:line="142" w:lineRule="exact"/>
              <w:rPr>
                <w:sz w:val="20"/>
                <w:szCs w:val="20"/>
                <w:color w:val="auto"/>
              </w:rPr>
            </w:pPr>
            <w:r>
              <w:rPr>
                <w:rFonts w:ascii="Arial" w:cs="Arial" w:eastAsia="Arial" w:hAnsi="Arial"/>
                <w:sz w:val="14"/>
                <w:szCs w:val="14"/>
                <w:color w:val="auto"/>
                <w:w w:val="92"/>
              </w:rPr>
              <w:t>(in thousands, except per share)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278,066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687,296</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661,846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(4,170)</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(10,454)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273,896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676,842</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651,966</w:t>
            </w:r>
          </w:p>
        </w:tc>
        <w:tc>
          <w:tcPr>
            <w:tcW w:w="0" w:type="dxa"/>
            <w:vAlign w:val="bottom"/>
          </w:tcPr>
          <w:p>
            <w:pPr>
              <w:spacing w:after="0"/>
              <w:rPr>
                <w:sz w:val="1"/>
                <w:szCs w:val="1"/>
                <w:color w:val="auto"/>
              </w:rPr>
            </w:pPr>
          </w:p>
        </w:tc>
      </w:tr>
      <w:tr>
        <w:trPr>
          <w:trHeight w:val="322"/>
        </w:trPr>
        <w:tc>
          <w:tcPr>
            <w:tcW w:w="632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and unvested stock-based compensation awards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127,741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127,449</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(1,923)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(1,939)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Plus: Incremental shares from assumed conversion of stock-based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 and convertible preferred stock</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2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126,292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124,860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125,936</w:t>
            </w:r>
          </w:p>
        </w:tc>
        <w:tc>
          <w:tcPr>
            <w:tcW w:w="4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122,521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Stock-based compensation awards, warrants to purchase common stock of M&amp;T and preferred stock convertible into shares of M&amp;T stock representing approximately 9.7 million and 11.2 million common shares during the three-month periods ended September 30, 2012 and 2011, respectively, and 9.9 million and 10.6 million common shares during the nine-month periods ended September 30, 2012 and 2011, respectively, were not included in the computations of diluted earnings per common share because the effect on those periods would have been antidilutive.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w w:val="95"/>
              </w:rPr>
              <w:t>Before-tax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3"/>
              </w:rPr>
              <w:t>taxes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87"/>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September 30, 2012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Unrealized gains (losses) on investment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(“AFS”) investment securities with other-than-temporary impairment (“OTTI”):</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holding losses, net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(27,976)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Net change for AFS investment securities with OTTI</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22,725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holding gains,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153,908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(60,362)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Net change for AFS investment securities – all other</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153,899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(60,358)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93,541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(“HTM”) investment securities with OTTI:</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holding losses,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to income of unrealized holding losses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for HTM investment securities with OTTI</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15"/>
        </w:trPr>
        <w:tc>
          <w:tcPr>
            <w:tcW w:w="8400" w:type="dxa"/>
            <w:vAlign w:val="bottom"/>
            <w:gridSpan w:val="2"/>
          </w:tcPr>
          <w:p>
            <w:pPr>
              <w:spacing w:after="0"/>
              <w:rPr>
                <w:sz w:val="20"/>
                <w:szCs w:val="20"/>
                <w:color w:val="auto"/>
              </w:rPr>
            </w:pPr>
            <w:r>
              <w:rPr>
                <w:rFonts w:ascii="Arial" w:cs="Arial" w:eastAsia="Arial" w:hAnsi="Arial"/>
                <w:sz w:val="18"/>
                <w:szCs w:val="18"/>
                <w:color w:val="auto"/>
                <w:w w:val="91"/>
              </w:rPr>
              <w:t>Reclassification to income of unrealized holding losses on investment securities previously transferred from AFS to</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HTM</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gains on 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184,170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(72,239)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111,931</w:t>
            </w:r>
          </w:p>
        </w:tc>
        <w:tc>
          <w:tcPr>
            <w:tcW w:w="0" w:type="dxa"/>
            <w:vAlign w:val="bottom"/>
          </w:tcPr>
          <w:p>
            <w:pPr>
              <w:spacing w:after="0"/>
              <w:rPr>
                <w:sz w:val="1"/>
                <w:szCs w:val="1"/>
                <w:color w:val="auto"/>
              </w:rPr>
            </w:pPr>
          </w:p>
        </w:tc>
      </w:tr>
      <w:tr>
        <w:trPr>
          <w:trHeight w:val="322"/>
        </w:trPr>
        <w:tc>
          <w:tcPr>
            <w:tcW w:w="8400" w:type="dxa"/>
            <w:vAlign w:val="bottom"/>
            <w:gridSpan w:val="2"/>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207,912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(81,546)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126,366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For the nine months ended September 30, 2011</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AFS investment securities with OTTI:</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losses, net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(35,305)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13,952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(41,713)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Net change for AFS investment securities with OTTI</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holding gains,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147,338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(57,629)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146,115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(57,257)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860"/>
              <w:spacing w:after="0"/>
              <w:rPr>
                <w:sz w:val="20"/>
                <w:szCs w:val="20"/>
                <w:color w:val="auto"/>
              </w:rPr>
            </w:pPr>
            <w:r>
              <w:rPr>
                <w:rFonts w:ascii="Arial" w:cs="Arial" w:eastAsia="Arial" w:hAnsi="Arial"/>
                <w:sz w:val="18"/>
                <w:szCs w:val="18"/>
                <w:color w:val="auto"/>
              </w:rPr>
              <w:t>Net change for AFS investment securities – all other</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HTM investment securities with OTTI:</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holding losses,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to income of unrealized holding losses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4,121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for HTM investment securities with OTTI</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5"/>
        </w:trPr>
        <w:tc>
          <w:tcPr>
            <w:tcW w:w="8400" w:type="dxa"/>
            <w:vAlign w:val="bottom"/>
            <w:gridSpan w:val="2"/>
          </w:tcPr>
          <w:p>
            <w:pPr>
              <w:spacing w:after="0"/>
              <w:rPr>
                <w:sz w:val="20"/>
                <w:szCs w:val="20"/>
                <w:color w:val="auto"/>
              </w:rPr>
            </w:pPr>
            <w:r>
              <w:rPr>
                <w:rFonts w:ascii="Arial" w:cs="Arial" w:eastAsia="Arial" w:hAnsi="Arial"/>
                <w:sz w:val="18"/>
                <w:szCs w:val="18"/>
                <w:color w:val="auto"/>
                <w:w w:val="91"/>
              </w:rPr>
              <w:t>Reclassification to income of unrealized holding losses on investment securities previously transferred from AFS to</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HTM</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322"/>
        </w:trPr>
        <w:tc>
          <w:tcPr>
            <w:tcW w:w="8400" w:type="dxa"/>
            <w:vAlign w:val="bottom"/>
            <w:gridSpan w:val="2"/>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ind w:left="5520"/>
              <w:spacing w:after="0"/>
              <w:rPr>
                <w:sz w:val="20"/>
                <w:szCs w:val="20"/>
                <w:color w:val="auto"/>
              </w:rPr>
            </w:pPr>
            <w:r>
              <w:rPr>
                <w:rFonts w:ascii="Arial" w:cs="Arial" w:eastAsia="Arial" w:hAnsi="Arial"/>
                <w:sz w:val="18"/>
                <w:szCs w:val="18"/>
                <w:color w:val="auto"/>
              </w:rPr>
              <w:t>- 36 -</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income (loss), net consisted of unrealized gains (losses)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Foreign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currency</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Defined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600" w:type="dxa"/>
            <w:vAlign w:val="bottom"/>
            <w:tcBorders>
              <w:bottom w:val="single" w:sz="8" w:color="auto"/>
            </w:tcBorders>
            <w:gridSpan w:val="3"/>
          </w:tcPr>
          <w:p>
            <w:pPr>
              <w:jc w:val="right"/>
              <w:ind w:right="155"/>
              <w:spacing w:after="0" w:line="159" w:lineRule="exact"/>
              <w:rPr>
                <w:sz w:val="20"/>
                <w:szCs w:val="20"/>
                <w:color w:val="auto"/>
              </w:rPr>
            </w:pPr>
            <w:r>
              <w:rPr>
                <w:rFonts w:ascii="Arial" w:cs="Arial" w:eastAsia="Arial" w:hAnsi="Arial"/>
                <w:sz w:val="14"/>
                <w:szCs w:val="14"/>
                <w:color w:val="auto"/>
              </w:rPr>
              <w:t>Investment securities</w:t>
            </w:r>
          </w:p>
        </w:tc>
        <w:tc>
          <w:tcPr>
            <w:tcW w:w="300" w:type="dxa"/>
            <w:vAlign w:val="bottom"/>
          </w:tcPr>
          <w:p>
            <w:pPr>
              <w:spacing w:after="0"/>
              <w:rPr>
                <w:sz w:val="13"/>
                <w:szCs w:val="13"/>
                <w:color w:val="auto"/>
              </w:rPr>
            </w:pPr>
          </w:p>
        </w:tc>
        <w:tc>
          <w:tcPr>
            <w:tcW w:w="6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flow</w:t>
            </w:r>
          </w:p>
        </w:tc>
        <w:tc>
          <w:tcPr>
            <w:tcW w:w="9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86"/>
              </w:rPr>
              <w:t>translation</w:t>
            </w:r>
          </w:p>
        </w:tc>
        <w:tc>
          <w:tcPr>
            <w:tcW w:w="1000" w:type="dxa"/>
            <w:vAlign w:val="bottom"/>
            <w:gridSpan w:val="2"/>
          </w:tcPr>
          <w:p>
            <w:pPr>
              <w:jc w:val="center"/>
              <w:ind w:right="300"/>
              <w:spacing w:after="0" w:line="159" w:lineRule="exact"/>
              <w:rPr>
                <w:sz w:val="20"/>
                <w:szCs w:val="20"/>
                <w:color w:val="auto"/>
              </w:rPr>
            </w:pPr>
            <w:r>
              <w:rPr>
                <w:rFonts w:ascii="Arial" w:cs="Arial" w:eastAsia="Arial" w:hAnsi="Arial"/>
                <w:sz w:val="14"/>
                <w:szCs w:val="14"/>
                <w:color w:val="auto"/>
                <w:w w:val="90"/>
              </w:rPr>
              <w:t>benefit</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With OTTI</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All other</w:t>
            </w:r>
          </w:p>
        </w:tc>
        <w:tc>
          <w:tcPr>
            <w:tcW w:w="3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rPr>
              <w:t>hedges</w:t>
            </w:r>
          </w:p>
        </w:tc>
        <w:tc>
          <w:tcPr>
            <w:tcW w:w="90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87"/>
              </w:rPr>
              <w:t>adjustment</w:t>
            </w: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89"/>
              </w:rPr>
              <w:t>plans</w:t>
            </w: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(84,029)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(277,716)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640" w:type="dxa"/>
            <w:vAlign w:val="bottom"/>
          </w:tcPr>
          <w:p>
            <w:pPr>
              <w:jc w:val="right"/>
              <w:spacing w:after="0"/>
              <w:rPr>
                <w:sz w:val="20"/>
                <w:szCs w:val="20"/>
                <w:color w:val="auto"/>
              </w:rPr>
            </w:pPr>
            <w:r>
              <w:rPr>
                <w:rFonts w:ascii="Arial" w:cs="Arial" w:eastAsia="Arial" w:hAnsi="Arial"/>
                <w:sz w:val="18"/>
                <w:szCs w:val="18"/>
                <w:color w:val="auto"/>
              </w:rPr>
              <w:t>16,267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95,664</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351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14,196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2012</w:t>
            </w: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(67,762)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101,659</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(263,520)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(230,075)</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Balance – January 1, 2011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gridSpan w:val="2"/>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 (87,053)</w:t>
            </w:r>
          </w:p>
        </w:tc>
        <w:tc>
          <w:tcPr>
            <w:tcW w:w="640" w:type="dxa"/>
            <w:vAlign w:val="bottom"/>
          </w:tcPr>
          <w:p>
            <w:pPr>
              <w:jc w:val="right"/>
              <w:spacing w:after="0"/>
              <w:rPr>
                <w:sz w:val="20"/>
                <w:szCs w:val="20"/>
                <w:color w:val="auto"/>
              </w:rPr>
            </w:pPr>
            <w:r>
              <w:rPr>
                <w:rFonts w:ascii="Arial" w:cs="Arial" w:eastAsia="Arial" w:hAnsi="Arial"/>
                <w:sz w:val="18"/>
                <w:szCs w:val="18"/>
                <w:color w:val="auto"/>
              </w:rPr>
              <w:t>2,332</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393</w:t>
            </w:r>
          </w:p>
        </w:tc>
        <w:tc>
          <w:tcPr>
            <w:tcW w:w="3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(120,892)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(205,220)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Balance – September 30, 2011</w:t>
            </w: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gridSpan w:val="2"/>
            <w:vMerge w:val="continue"/>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(84,037)</w:t>
            </w:r>
          </w:p>
        </w:tc>
        <w:tc>
          <w:tcPr>
            <w:tcW w:w="640" w:type="dxa"/>
            <w:vAlign w:val="bottom"/>
          </w:tcPr>
          <w:p>
            <w:pPr>
              <w:jc w:val="right"/>
              <w:spacing w:after="0"/>
              <w:rPr>
                <w:sz w:val="20"/>
                <w:szCs w:val="20"/>
                <w:color w:val="auto"/>
              </w:rPr>
            </w:pPr>
            <w:r>
              <w:rPr>
                <w:rFonts w:ascii="Arial" w:cs="Arial" w:eastAsia="Arial" w:hAnsi="Arial"/>
                <w:sz w:val="18"/>
                <w:szCs w:val="18"/>
                <w:color w:val="auto"/>
              </w:rPr>
              <w:t>6,286</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w w:val="79"/>
              </w:rPr>
              <w:t>182</w:t>
            </w:r>
          </w:p>
        </w:tc>
        <w:tc>
          <w:tcPr>
            <w:tcW w:w="3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(114,461)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(192,533)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September 30, 2012.</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net effect of interest rate swap agreements was to increase net interest income by $9 million for each of the three-month periods ended</w:t>
      </w:r>
    </w:p>
    <w:p>
      <w:pPr>
        <w:spacing w:after="0" w:line="3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September 30, 2012 and 2011, and $27 million and $28 million for the nine months ended September 30, 2012 and 2011, respectively. Information about interest rate swap agreements entered into for interest rate risk management purposes summarized by type of financial instrument the swap agreements were intended to hedge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59"/>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Notional</w:t>
            </w:r>
          </w:p>
        </w:tc>
        <w:tc>
          <w:tcPr>
            <w:tcW w:w="10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Average</w:t>
            </w:r>
          </w:p>
        </w:tc>
        <w:tc>
          <w:tcPr>
            <w:tcW w:w="360" w:type="dxa"/>
            <w:vAlign w:val="bottom"/>
          </w:tcPr>
          <w:p>
            <w:pPr>
              <w:spacing w:after="0"/>
              <w:rPr>
                <w:sz w:val="13"/>
                <w:szCs w:val="13"/>
                <w:color w:val="auto"/>
              </w:rPr>
            </w:pPr>
          </w:p>
        </w:tc>
        <w:tc>
          <w:tcPr>
            <w:tcW w:w="130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w w:val="83"/>
              </w:rPr>
              <w:t>average rate .</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amount</w:t>
            </w: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maturity</w:t>
            </w:r>
          </w:p>
        </w:tc>
        <w:tc>
          <w:tcPr>
            <w:tcW w:w="100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color w:val="auto"/>
                <w:w w:val="93"/>
              </w:rPr>
              <w:t>Fixed</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3"/>
              </w:rPr>
              <w:t>(in thousands)</w:t>
            </w:r>
          </w:p>
        </w:tc>
        <w:tc>
          <w:tcPr>
            <w:tcW w:w="520" w:type="dxa"/>
            <w:vAlign w:val="bottom"/>
            <w:gridSpan w:val="2"/>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years)</w:t>
            </w:r>
          </w:p>
        </w:tc>
        <w:tc>
          <w:tcPr>
            <w:tcW w:w="5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December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5.4</w:t>
            </w: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157" w:lineRule="exact"/>
        <w:rPr>
          <w:rFonts w:ascii="Arial" w:cs="Arial" w:eastAsia="Arial" w:hAnsi="Arial"/>
          <w:sz w:val="18"/>
          <w:szCs w:val="18"/>
          <w:i w:val="1"/>
          <w:iCs w:val="1"/>
          <w:color w:val="auto"/>
        </w:rPr>
      </w:pPr>
    </w:p>
    <w:p>
      <w:pPr>
        <w:ind w:left="5620" w:hanging="96"/>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$15.1 billion and $13.9 billion at September 30, 2012 and December 31, 2011, respectively. The notional amounts of foreign currency and other option and futures contracts entered into for trading purposes aggregated $1.2 billion and $1.4 billion at September 30, 2012 and December 31, 2011,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4"/>
                <w:szCs w:val="14"/>
                <w:color w:val="auto"/>
              </w:rPr>
              <w:t>Asset derivatives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240"/>
              <w:spacing w:after="0"/>
              <w:rPr>
                <w:sz w:val="20"/>
                <w:szCs w:val="20"/>
                <w:color w:val="auto"/>
              </w:rPr>
            </w:pPr>
            <w:r>
              <w:rPr>
                <w:rFonts w:ascii="Arial" w:cs="Arial" w:eastAsia="Arial" w:hAnsi="Arial"/>
                <w:sz w:val="14"/>
                <w:szCs w:val="14"/>
                <w:color w:val="auto"/>
              </w:rPr>
              <w:t>Liability derivatives</w:t>
            </w: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color w:val="auto"/>
              </w:rPr>
              <w:t>Fair value</w:t>
            </w:r>
          </w:p>
        </w:tc>
        <w:tc>
          <w:tcPr>
            <w:tcW w:w="4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3"/>
          </w:tcPr>
          <w:p>
            <w:pPr>
              <w:jc w:val="right"/>
              <w:ind w:right="616"/>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780" w:type="dxa"/>
            <w:vAlign w:val="bottom"/>
            <w:gridSpan w:val="2"/>
          </w:tcPr>
          <w:p>
            <w:pPr>
              <w:spacing w:after="0" w:line="131" w:lineRule="exact"/>
              <w:rPr>
                <w:sz w:val="20"/>
                <w:szCs w:val="20"/>
                <w:color w:val="auto"/>
              </w:rPr>
            </w:pPr>
            <w:r>
              <w:rPr>
                <w:rFonts w:ascii="Arial" w:cs="Arial" w:eastAsia="Arial" w:hAnsi="Arial"/>
                <w:sz w:val="14"/>
                <w:szCs w:val="14"/>
                <w:color w:val="auto"/>
                <w:w w:val="82"/>
              </w:rPr>
              <w:t>September 30,</w:t>
            </w:r>
          </w:p>
        </w:tc>
        <w:tc>
          <w:tcPr>
            <w:tcW w:w="4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4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4"/>
                <w:szCs w:val="14"/>
                <w:color w:val="auto"/>
                <w:w w:val="84"/>
              </w:rPr>
              <w:t>September 30,</w:t>
            </w:r>
          </w:p>
        </w:tc>
        <w:tc>
          <w:tcPr>
            <w:tcW w:w="40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line="159" w:lineRule="exact"/>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gridSpan w:val="2"/>
          </w:tcPr>
          <w:p>
            <w:pPr>
              <w:jc w:val="right"/>
              <w:ind w:right="180"/>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gridSpan w:val="2"/>
          </w:tcPr>
          <w:p>
            <w:pPr>
              <w:jc w:val="right"/>
              <w:ind w:right="156"/>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3"/>
          </w:tcPr>
          <w:p>
            <w:pPr>
              <w:ind w:left="580"/>
              <w:spacing w:after="0" w:line="142" w:lineRule="exact"/>
              <w:rPr>
                <w:sz w:val="20"/>
                <w:szCs w:val="20"/>
                <w:color w:val="auto"/>
              </w:rPr>
            </w:pPr>
            <w:r>
              <w:rPr>
                <w:rFonts w:ascii="Arial" w:cs="Arial" w:eastAsia="Arial" w:hAnsi="Arial"/>
                <w:sz w:val="14"/>
                <w:szCs w:val="14"/>
                <w:color w:val="auto"/>
                <w:w w:val="85"/>
              </w:rPr>
              <w:t>(in thousands)</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Fair value hedges: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153,220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16,804</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153,347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Derivatives not designated and qualifying as hedging instruments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Mortgage-related commitments to originate real estate loans for sale (a)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22,909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Interest rate contracts (b)</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441,467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443,033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410,929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415,836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and other option and futures contracts (b)</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528,136</w:t>
            </w:r>
          </w:p>
        </w:tc>
        <w:tc>
          <w:tcPr>
            <w:tcW w:w="4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471,467</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447,306</w:t>
            </w:r>
          </w:p>
        </w:tc>
        <w:tc>
          <w:tcPr>
            <w:tcW w:w="4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438,398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681,483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619,001</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464,110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51" w:lineRule="exact"/>
        <w:rPr>
          <w:rFonts w:ascii="Arial" w:cs="Arial" w:eastAsia="Arial" w:hAnsi="Arial"/>
          <w:sz w:val="18"/>
          <w:szCs w:val="18"/>
          <w:i w:val="1"/>
          <w:iCs w:val="1"/>
          <w:color w:val="auto"/>
        </w:rPr>
      </w:pPr>
    </w:p>
    <w:p>
      <w:pPr>
        <w:ind w:left="5620" w:hanging="96"/>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color w:val="auto"/>
                <w:w w:val="88"/>
              </w:rPr>
              <w:t>Amount of unrealized gain (loss) recognized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6"/>
          </w:tcPr>
          <w:p>
            <w:pPr>
              <w:ind w:left="220"/>
              <w:spacing w:after="0" w:line="131" w:lineRule="exact"/>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3"/>
          </w:tcPr>
          <w:p>
            <w:pPr>
              <w:jc w:val="center"/>
              <w:ind w:right="102"/>
              <w:spacing w:after="0" w:line="131" w:lineRule="exact"/>
              <w:rPr>
                <w:sz w:val="20"/>
                <w:szCs w:val="20"/>
                <w:color w:val="auto"/>
              </w:rPr>
            </w:pPr>
            <w:r>
              <w:rPr>
                <w:rFonts w:ascii="Arial" w:cs="Arial" w:eastAsia="Arial" w:hAnsi="Arial"/>
                <w:sz w:val="14"/>
                <w:szCs w:val="14"/>
                <w:color w:val="auto"/>
                <w:w w:val="85"/>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ind w:left="240"/>
              <w:spacing w:after="0" w:line="159" w:lineRule="exact"/>
              <w:rPr>
                <w:sz w:val="20"/>
                <w:szCs w:val="20"/>
                <w:color w:val="auto"/>
              </w:rPr>
            </w:pPr>
            <w:r>
              <w:rPr>
                <w:rFonts w:ascii="Arial" w:cs="Arial" w:eastAsia="Arial" w:hAnsi="Arial"/>
                <w:sz w:val="14"/>
                <w:szCs w:val="14"/>
                <w:color w:val="auto"/>
              </w:rPr>
              <w:t>September 30, 2012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center"/>
              <w:ind w:right="260"/>
              <w:spacing w:after="0" w:line="159" w:lineRule="exact"/>
              <w:rPr>
                <w:sz w:val="20"/>
                <w:szCs w:val="20"/>
                <w:color w:val="auto"/>
              </w:rPr>
            </w:pPr>
            <w:r>
              <w:rPr>
                <w:rFonts w:ascii="Arial" w:cs="Arial" w:eastAsia="Arial" w:hAnsi="Arial"/>
                <w:sz w:val="14"/>
                <w:szCs w:val="14"/>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5"/>
              </w:rPr>
              <w:t>Hedged item</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4"/>
          </w:tcPr>
          <w:p>
            <w:pPr>
              <w:jc w:val="center"/>
              <w:ind w:left="472"/>
              <w:spacing w:after="0" w:line="142" w:lineRule="exact"/>
              <w:rPr>
                <w:sz w:val="20"/>
                <w:szCs w:val="20"/>
                <w:color w:val="auto"/>
              </w:rPr>
            </w:pPr>
            <w:r>
              <w:rPr>
                <w:rFonts w:ascii="Arial" w:cs="Arial" w:eastAsia="Arial" w:hAnsi="Arial"/>
                <w:sz w:val="14"/>
                <w:szCs w:val="14"/>
                <w:color w:val="auto"/>
                <w:w w:val="87"/>
              </w:rPr>
              <w:t>(in thousands)</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3,273</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(3,252)</w:t>
            </w:r>
          </w:p>
        </w:tc>
        <w:tc>
          <w:tcPr>
            <w:tcW w:w="12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42,587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(40,355)</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777</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2,425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1,764</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4,189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color w:val="auto"/>
                <w:w w:val="88"/>
              </w:rPr>
              <w:t>Amount of unrealized gain (loss) recognized</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6"/>
          </w:tcPr>
          <w:p>
            <w:pPr>
              <w:ind w:left="240"/>
              <w:spacing w:after="0" w:line="131" w:lineRule="exact"/>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3"/>
          </w:tcPr>
          <w:p>
            <w:pPr>
              <w:jc w:val="center"/>
              <w:ind w:right="102"/>
              <w:spacing w:after="0" w:line="131" w:lineRule="exact"/>
              <w:rPr>
                <w:sz w:val="20"/>
                <w:szCs w:val="20"/>
                <w:color w:val="auto"/>
              </w:rPr>
            </w:pPr>
            <w:r>
              <w:rPr>
                <w:rFonts w:ascii="Arial" w:cs="Arial" w:eastAsia="Arial" w:hAnsi="Arial"/>
                <w:sz w:val="14"/>
                <w:szCs w:val="14"/>
                <w:color w:val="auto"/>
                <w:w w:val="87"/>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ind w:left="220"/>
              <w:spacing w:after="0" w:line="159" w:lineRule="exact"/>
              <w:rPr>
                <w:sz w:val="20"/>
                <w:szCs w:val="20"/>
                <w:color w:val="auto"/>
              </w:rPr>
            </w:pPr>
            <w:r>
              <w:rPr>
                <w:rFonts w:ascii="Arial" w:cs="Arial" w:eastAsia="Arial" w:hAnsi="Arial"/>
                <w:sz w:val="14"/>
                <w:szCs w:val="14"/>
                <w:color w:val="auto"/>
              </w:rPr>
              <w:t>September 30, 2012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center"/>
              <w:ind w:right="260"/>
              <w:spacing w:after="0" w:line="159" w:lineRule="exact"/>
              <w:rPr>
                <w:sz w:val="20"/>
                <w:szCs w:val="20"/>
                <w:color w:val="auto"/>
              </w:rPr>
            </w:pPr>
            <w:r>
              <w:rPr>
                <w:rFonts w:ascii="Arial" w:cs="Arial" w:eastAsia="Arial" w:hAnsi="Arial"/>
                <w:sz w:val="14"/>
                <w:szCs w:val="14"/>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2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color w:val="auto"/>
              </w:rPr>
              <w:t>Derivative</w:t>
            </w: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85"/>
              </w:rPr>
              <w:t>Hedged item</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4"/>
          </w:tcPr>
          <w:p>
            <w:pPr>
              <w:jc w:val="center"/>
              <w:ind w:left="472"/>
              <w:spacing w:after="0" w:line="142" w:lineRule="exact"/>
              <w:rPr>
                <w:sz w:val="20"/>
                <w:szCs w:val="20"/>
                <w:color w:val="auto"/>
              </w:rPr>
            </w:pPr>
            <w:r>
              <w:rPr>
                <w:rFonts w:ascii="Arial" w:cs="Arial" w:eastAsia="Arial" w:hAnsi="Arial"/>
                <w:sz w:val="14"/>
                <w:szCs w:val="14"/>
                <w:color w:val="auto"/>
                <w:w w:val="87"/>
              </w:rPr>
              <w:t>(in thousands)</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8"/>
                <w:szCs w:val="18"/>
                <w:color w:val="auto"/>
              </w:rPr>
              <w:t>Interest rate swap agreements: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(5,876)</w:t>
            </w:r>
          </w:p>
        </w:tc>
        <w:tc>
          <w:tcPr>
            <w:tcW w:w="12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52,127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(49,452)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3,901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(3,071)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4,374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960"/>
          </w:cols>
          <w:pgMar w:left="240" w:top="459" w:right="6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$81 million and $12 million at September 30, 2012 and December 31, 2011, respectively. Changes in unrealized gains and losses are included in mortgage banking revenues and, in general, are realized in subsequent periods as the related loans are sold and commitments satisfied.</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aggregate fair value of derivative financial instruments in a net liability position at September 30, 2012 for which the Company was required to post collateral was $330 million. The fair value of collateral posted for such instruments was $306 million.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September 30, 2012 was $95 million, for which the Company had posted collateral of $71 million in the normal course of business. If the credit-risk-related contingent features had been triggered on September 30, 2012, the maximum amount of additional collateral the Company would have been required to post to counterparties was $24 million.</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credit exposure with respect to the estimated fair value as of September 30, 2012 of interest rate swap agreements used for managing interest rate risk has been substantially mitigated through master netting arrangements with trading account interest rate contracts with the same counterparties as well as counterparty postings of $77 million of collateral with the Company. Trading account interest rate swap agreements entered into with customers are subject to the Company’s credit standards and often contain collateral provisions.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September 30, 2012 and December 31, 2011, the carrying values of the loans in the securitization trust were $162 million and $196 million, respectively. The outstanding principal amount of mortgage-backed securities issued by the qualified special purpose trust that was held by parties unrelated to M&amp;T at September 30, 2012 and December 31, 2011 was $24 million and $30 million, respectively. Because the transaction was non-recourse, the Company’s maximum exposure to loss as a result of its association with the trust at September 30, 2012 is limited to realizing the carrying value of the loans less the amount of the mortgage-backed securities held by third parties.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64"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September 30, 2012 and December 31, 2011,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$1.4 billion at each of September 30, 2012 and December 31, 2011,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$260 million, including $66 million of unfunded commitments, at September 30, 2012 and $271 million, including $75 million of unfunded commitments, at December 31, 2011. The Company has not provided financial or other support to the partnerships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September 30, 2012.</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9"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440" w:right="100" w:hanging="324"/>
        <w:spacing w:after="0" w:line="33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440" w:right="140" w:hanging="324"/>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 — Valuation is derived from model-based and other techniques in which at least one significant input is unobservable and which may be based on the Company’s own estimates about the assumptions that market</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participants would use to value the asset or liability.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38" w:lineRule="exact"/>
        <w:rPr>
          <w:sz w:val="20"/>
          <w:szCs w:val="20"/>
          <w:color w:val="auto"/>
        </w:rPr>
      </w:pPr>
    </w:p>
    <w:p>
      <w:pPr>
        <w:ind w:right="140" w:firstLine="8"/>
        <w:spacing w:after="0" w:line="295"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markets for privately issued mortgage-backed securities have experienced a sharp reduction of non-agency mortgage-backed securities issuances, a reduction in trading volumes and wide bid-ask spreads.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supplemented its determination of fair value for many of its privately issued mortgage-backed securities by obtaining pricing indications from two independent sources at September 30, 2012 and December 31, 2011.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$1.2 billion at September 30, 2012 and $1.3 billion at December 31, 2011. The Company’s internal modeling techniques included discounting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collateral valuation and loss rates. Differences between internal model valuations and external pricing indications were generally considered to be reflective of the lack of liquidity in the market for privately issued mortgage-backed securities given the nature of the cash flow modeling performed in the Company’s assessment of value.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at September 30, 2012, the weighted-average reliance on internal model pricing for the bonds modeled was 33% with a 67% average weighting placed on the values provided by the independent sources. Significant unobservable inputs used in the Company’s modeling of fair value for residential mortgage-backed securities are included in the accompanying table of significant unobservable inputs to Level 3 measurements. The Company concluded its estimate of fair value for the $1.2 billion of privately issued residential mortgage-backed securities to approximate $1.0 billion, which reflects a market yield based on reasonably likely cash flows of 6.5%. The Company determined the fair value of its privately issued commercial mortgage-backed securities held in its available-for-sale portfolio using quoted market prices obtained from third party pricing services without adjustment. Similar to privately-issued residential mortgage-backed securities, the market for commercial mortgage-backed securities has experienced significant declines in the level of market activity, resulting in the classification of such bonds as Level 3.</w:t>
      </w: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September 30, 2012 and December 31, 2011.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10% with a weighted-average of 8% was used. Significant unobservable inputs used in the determination of estimated fair value of collateralized debt obligations are included in the accompanying table of significant unobservable inputs to Level 3 measurements. At September 30, 2012, the total amortized cost and fair value of securities backed by trust preferred securities issued by financial institutions and other entities were $43 million and $57 million, respectively, and at December 31, 2011 were $44 million and $53 million, respectively. Privately issued mortgage-backed securities and securities backed by trust preferred securities issued by financial institutions and other entities constituted all of the available-for-sale investment securities classified as Level 3 valuations as of September 30, 2012 and December 31, 2011.</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Level 3 fair value measurements. Specifically, the Company attempts to obtain the market observable inputs used by third party pricing sources on a sample of bonds each quarter. Analytical procedures are performed to understand changes in fair value from period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period. Internal pricing models are subject to validation procedures including testing of mathematical constructs, review of valuation methodology and significant assumptions used.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assets and has considered its own credit risk in the valuation of its interest rate swap liabilities.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assets and liabilities at September 30, 2012 and December 31, 2011 measured at estimated fair value on a recurring basis: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September 30,</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4"/>
              <w:spacing w:after="0" w:line="159" w:lineRule="exact"/>
              <w:rPr>
                <w:sz w:val="20"/>
                <w:szCs w:val="20"/>
                <w:color w:val="auto"/>
              </w:rPr>
            </w:pPr>
            <w:r>
              <w:rPr>
                <w:rFonts w:ascii="Arial" w:cs="Arial" w:eastAsia="Arial" w:hAnsi="Arial"/>
                <w:sz w:val="14"/>
                <w:szCs w:val="14"/>
                <w:color w:val="auto"/>
                <w:w w:val="83"/>
              </w:rPr>
              <w:t>2012</w:t>
            </w:r>
          </w:p>
        </w:tc>
        <w:tc>
          <w:tcPr>
            <w:tcW w:w="4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526,844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55,391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471,453</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56,345</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33,980</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33,980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3,748,252</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3,748,252</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1,055,068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10,568</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109,405</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109,405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106,789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6,270</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5,183,878</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106,789</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3,954,252</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1,122,837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976,083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976,083</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assets (b)</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226,554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156,124</w:t>
            </w:r>
          </w:p>
        </w:tc>
        <w:tc>
          <w:tcPr>
            <w:tcW w:w="760" w:type="dxa"/>
            <w:vAlign w:val="bottom"/>
          </w:tcPr>
          <w:p>
            <w:pPr>
              <w:jc w:val="right"/>
              <w:spacing w:after="0"/>
              <w:rPr>
                <w:sz w:val="20"/>
                <w:szCs w:val="20"/>
                <w:color w:val="auto"/>
              </w:rPr>
            </w:pPr>
            <w:r>
              <w:rPr>
                <w:rFonts w:ascii="Arial" w:cs="Arial" w:eastAsia="Arial" w:hAnsi="Arial"/>
                <w:sz w:val="18"/>
                <w:szCs w:val="18"/>
                <w:color w:val="auto"/>
              </w:rPr>
              <w:t>70,430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6,913,359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162,180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5,557,912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1,193,267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424,312</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424,312</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39,713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464,110</w:t>
            </w:r>
          </w:p>
        </w:tc>
        <w:tc>
          <w:tcPr>
            <w:tcW w:w="4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464,025</w:t>
            </w: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960" w:type="dxa"/>
            <w:vAlign w:val="bottom"/>
            <w:vMerge w:val="restart"/>
          </w:tcPr>
          <w:p>
            <w:pPr>
              <w:ind w:left="880"/>
              <w:spacing w:after="0"/>
              <w:rPr>
                <w:sz w:val="20"/>
                <w:szCs w:val="20"/>
                <w:color w:val="auto"/>
              </w:rPr>
            </w:pPr>
            <w:r>
              <w:rPr>
                <w:rFonts w:ascii="Arial" w:cs="Arial" w:eastAsia="Arial" w:hAnsi="Arial"/>
                <w:sz w:val="18"/>
                <w:szCs w:val="18"/>
                <w:color w:val="auto"/>
              </w:rPr>
              <w:t>- 45 -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color w:val="auto"/>
                <w:w w:val="87"/>
              </w:rPr>
              <w:t>Fair value</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December 31,</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4"/>
              <w:spacing w:after="0" w:line="159"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3"/>
                <w:szCs w:val="13"/>
                <w:color w:val="auto"/>
              </w:rPr>
            </w:pPr>
          </w:p>
        </w:tc>
        <w:tc>
          <w:tcPr>
            <w:tcW w:w="10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0"/>
              </w:rPr>
              <w:t>Level 1 (a)</w:t>
            </w:r>
          </w:p>
        </w:tc>
        <w:tc>
          <w:tcPr>
            <w:tcW w:w="11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561,834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53,165</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508,669</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70,723</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40,269</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40,269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4,521,233</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4,521,233</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1,136,256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15,029</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176,845</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176,845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205,587</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10,118</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6,228,560</w:t>
            </w:r>
          </w:p>
        </w:tc>
        <w:tc>
          <w:tcPr>
            <w:tcW w:w="4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205,587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4,819,188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1,203,785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371,437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371,437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156,853</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148,862</w:t>
            </w:r>
          </w:p>
        </w:tc>
        <w:tc>
          <w:tcPr>
            <w:tcW w:w="760" w:type="dxa"/>
            <w:vAlign w:val="bottom"/>
          </w:tcPr>
          <w:p>
            <w:pPr>
              <w:jc w:val="right"/>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7,318,684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258,752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5,848,156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434,559</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434,559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440,685</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439,617</w:t>
            </w: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54"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nine months ended September 30, 2012 and 2011.</w:t>
      </w:r>
    </w:p>
    <w:p>
      <w:pPr>
        <w:ind w:left="460" w:hanging="452"/>
        <w:spacing w:after="0" w:line="261"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4" w:lineRule="exact"/>
        <w:rPr>
          <w:rFonts w:ascii="Arial" w:cs="Arial" w:eastAsia="Arial" w:hAnsi="Arial"/>
          <w:sz w:val="18"/>
          <w:szCs w:val="18"/>
          <w:i w:val="1"/>
          <w:iCs w:val="1"/>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86"/>
              </w:rPr>
              <w:t>Investment securities available for sale</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560" w:type="dxa"/>
            <w:vAlign w:val="bottom"/>
            <w:gridSpan w:val="3"/>
          </w:tcPr>
          <w:p>
            <w:pPr>
              <w:spacing w:after="0" w:line="131" w:lineRule="exact"/>
              <w:rPr>
                <w:sz w:val="20"/>
                <w:szCs w:val="20"/>
                <w:color w:val="auto"/>
              </w:rPr>
            </w:pPr>
            <w:r>
              <w:rPr>
                <w:rFonts w:ascii="Arial" w:cs="Arial" w:eastAsia="Arial" w:hAnsi="Arial"/>
                <w:sz w:val="14"/>
                <w:szCs w:val="14"/>
                <w:color w:val="auto"/>
              </w:rPr>
              <w:t>Privately issued</w:t>
            </w:r>
          </w:p>
        </w:tc>
        <w:tc>
          <w:tcPr>
            <w:tcW w:w="1460" w:type="dxa"/>
            <w:vAlign w:val="bottom"/>
            <w:gridSpan w:val="3"/>
          </w:tcPr>
          <w:p>
            <w:pPr>
              <w:spacing w:after="0" w:line="131" w:lineRule="exact"/>
              <w:rPr>
                <w:sz w:val="20"/>
                <w:szCs w:val="20"/>
                <w:color w:val="auto"/>
              </w:rPr>
            </w:pPr>
            <w:r>
              <w:rPr>
                <w:rFonts w:ascii="Arial" w:cs="Arial" w:eastAsia="Arial" w:hAnsi="Arial"/>
                <w:sz w:val="14"/>
                <w:szCs w:val="14"/>
                <w:color w:val="auto"/>
              </w:rPr>
              <w:t>Privately issued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752"/>
              <w:spacing w:after="0" w:line="149" w:lineRule="exact"/>
              <w:rPr>
                <w:sz w:val="20"/>
                <w:szCs w:val="20"/>
                <w:color w:val="auto"/>
              </w:rPr>
            </w:pPr>
            <w:r>
              <w:rPr>
                <w:rFonts w:ascii="Arial" w:cs="Arial" w:eastAsia="Arial" w:hAnsi="Arial"/>
                <w:sz w:val="14"/>
                <w:szCs w:val="14"/>
                <w:color w:val="auto"/>
                <w:w w:val="90"/>
              </w:rPr>
              <w:t>residential</w:t>
            </w: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commercial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752"/>
              <w:spacing w:after="0" w:line="149" w:lineRule="exact"/>
              <w:rPr>
                <w:sz w:val="20"/>
                <w:szCs w:val="20"/>
                <w:color w:val="auto"/>
              </w:rPr>
            </w:pPr>
            <w:r>
              <w:rPr>
                <w:rFonts w:ascii="Arial" w:cs="Arial" w:eastAsia="Arial" w:hAnsi="Arial"/>
                <w:sz w:val="14"/>
                <w:szCs w:val="14"/>
                <w:color w:val="auto"/>
                <w:w w:val="84"/>
              </w:rPr>
              <w:t>mortgage-</w:t>
            </w:r>
          </w:p>
        </w:tc>
        <w:tc>
          <w:tcPr>
            <w:tcW w:w="10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7"/>
              </w:rPr>
              <w:t>mortgage-</w:t>
            </w:r>
          </w:p>
        </w:tc>
        <w:tc>
          <w:tcPr>
            <w:tcW w:w="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Collateralized</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752"/>
              <w:spacing w:after="0" w:line="149" w:lineRule="exact"/>
              <w:rPr>
                <w:sz w:val="20"/>
                <w:szCs w:val="20"/>
                <w:color w:val="auto"/>
              </w:rPr>
            </w:pPr>
            <w:r>
              <w:rPr>
                <w:rFonts w:ascii="Arial" w:cs="Arial" w:eastAsia="Arial" w:hAnsi="Arial"/>
                <w:sz w:val="14"/>
                <w:szCs w:val="14"/>
                <w:color w:val="auto"/>
                <w:w w:val="84"/>
              </w:rPr>
              <w:t>backed</w:t>
            </w:r>
          </w:p>
        </w:tc>
        <w:tc>
          <w:tcPr>
            <w:tcW w:w="10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4"/>
              </w:rPr>
              <w:t>backed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debt</w:t>
            </w:r>
          </w:p>
        </w:tc>
        <w:tc>
          <w:tcPr>
            <w:tcW w:w="22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752"/>
              <w:spacing w:after="0" w:line="159" w:lineRule="exact"/>
              <w:rPr>
                <w:sz w:val="20"/>
                <w:szCs w:val="20"/>
                <w:color w:val="auto"/>
              </w:rPr>
            </w:pPr>
            <w:r>
              <w:rPr>
                <w:rFonts w:ascii="Arial" w:cs="Arial" w:eastAsia="Arial" w:hAnsi="Arial"/>
                <w:sz w:val="14"/>
                <w:szCs w:val="14"/>
                <w:color w:val="auto"/>
                <w:w w:val="84"/>
              </w:rPr>
              <w:t>securities</w:t>
            </w:r>
          </w:p>
        </w:tc>
        <w:tc>
          <w:tcPr>
            <w:tcW w:w="100" w:type="dxa"/>
            <w:vAlign w:val="bottom"/>
          </w:tcPr>
          <w:p>
            <w:pPr>
              <w:spacing w:after="0"/>
              <w:rPr>
                <w:sz w:val="13"/>
                <w:szCs w:val="13"/>
                <w:color w:val="auto"/>
              </w:rPr>
            </w:pPr>
          </w:p>
        </w:tc>
        <w:tc>
          <w:tcPr>
            <w:tcW w:w="136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7"/>
              </w:rPr>
              <w:t>securities</w:t>
            </w:r>
          </w:p>
        </w:tc>
        <w:tc>
          <w:tcPr>
            <w:tcW w:w="40" w:type="dxa"/>
            <w:vAlign w:val="bottom"/>
          </w:tcPr>
          <w:p>
            <w:pPr>
              <w:spacing w:after="0"/>
              <w:rPr>
                <w:sz w:val="13"/>
                <w:szCs w:val="13"/>
                <w:color w:val="auto"/>
              </w:rPr>
            </w:pPr>
          </w:p>
        </w:tc>
        <w:tc>
          <w:tcPr>
            <w:tcW w:w="1180" w:type="dxa"/>
            <w:vAlign w:val="bottom"/>
            <w:gridSpan w:val="3"/>
          </w:tcPr>
          <w:p>
            <w:pPr>
              <w:jc w:val="right"/>
              <w:ind w:right="500"/>
              <w:spacing w:after="0" w:line="159" w:lineRule="exact"/>
              <w:rPr>
                <w:sz w:val="20"/>
                <w:szCs w:val="20"/>
                <w:color w:val="auto"/>
              </w:rPr>
            </w:pPr>
            <w:r>
              <w:rPr>
                <w:rFonts w:ascii="Arial" w:cs="Arial" w:eastAsia="Arial" w:hAnsi="Arial"/>
                <w:sz w:val="14"/>
                <w:szCs w:val="14"/>
                <w:color w:val="auto"/>
                <w:w w:val="98"/>
              </w:rPr>
              <w:t>obligations</w:t>
            </w:r>
          </w:p>
        </w:tc>
        <w:tc>
          <w:tcPr>
            <w:tcW w:w="220" w:type="dxa"/>
            <w:vAlign w:val="bottom"/>
          </w:tcPr>
          <w:p>
            <w:pPr>
              <w:spacing w:after="0"/>
              <w:rPr>
                <w:sz w:val="13"/>
                <w:szCs w:val="13"/>
                <w:color w:val="auto"/>
              </w:rPr>
            </w:pP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89"/>
              </w:rPr>
              <w:t>1,068,392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12,127</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34,051</w:t>
            </w:r>
          </w:p>
        </w:tc>
        <w:tc>
          <w:tcPr>
            <w:tcW w:w="0" w:type="dxa"/>
            <w:vAlign w:val="bottom"/>
          </w:tcPr>
          <w:p>
            <w:pPr>
              <w:spacing w:after="0"/>
              <w:rPr>
                <w:sz w:val="1"/>
                <w:szCs w:val="1"/>
                <w:color w:val="auto"/>
              </w:rPr>
            </w:pPr>
          </w:p>
        </w:tc>
      </w:tr>
      <w:tr>
        <w:trPr>
          <w:trHeight w:val="323"/>
        </w:trPr>
        <w:tc>
          <w:tcPr>
            <w:tcW w:w="506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(5,672)(a)</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84,864(b)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20" w:type="dxa"/>
            <w:vAlign w:val="bottom"/>
          </w:tcPr>
          <w:p>
            <w:pPr>
              <w:spacing w:after="0"/>
              <w:rPr>
                <w:sz w:val="18"/>
                <w:szCs w:val="18"/>
                <w:color w:val="auto"/>
              </w:rPr>
            </w:pPr>
          </w:p>
        </w:tc>
        <w:tc>
          <w:tcPr>
            <w:tcW w:w="1440" w:type="dxa"/>
            <w:vAlign w:val="bottom"/>
            <w:gridSpan w:val="2"/>
          </w:tcPr>
          <w:p>
            <w:pPr>
              <w:jc w:val="right"/>
              <w:ind w:right="432"/>
              <w:spacing w:after="0"/>
              <w:rPr>
                <w:sz w:val="20"/>
                <w:szCs w:val="20"/>
                <w:color w:val="auto"/>
              </w:rPr>
            </w:pPr>
            <w:r>
              <w:rPr>
                <w:rFonts w:ascii="Arial" w:cs="Arial" w:eastAsia="Arial" w:hAnsi="Arial"/>
                <w:sz w:val="18"/>
                <w:szCs w:val="18"/>
                <w:color w:val="auto"/>
              </w:rPr>
              <w:t>39,963(e)</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640(e)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3,297(e)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(47,615)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94"/>
              </w:rPr>
              <w:t>(48,570)(d)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89"/>
              </w:rPr>
              <w:t>1,055,068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10,568</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70,345</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Changes in unrealized gains (losses) included in earnings related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 assets still held at September 30,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372"/>
              <w:spacing w:after="0"/>
              <w:rPr>
                <w:sz w:val="20"/>
                <w:szCs w:val="20"/>
                <w:color w:val="auto"/>
              </w:rPr>
            </w:pPr>
            <w:r>
              <w:rPr>
                <w:rFonts w:ascii="Arial" w:cs="Arial" w:eastAsia="Arial" w:hAnsi="Arial"/>
                <w:sz w:val="18"/>
                <w:szCs w:val="18"/>
                <w:color w:val="auto"/>
              </w:rPr>
              <w:t>(5,672)(a)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63,357(b)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September 30, 2011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w w:val="86"/>
              </w:rPr>
              <w:t>Investment securities available for sale</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spacing w:after="0" w:line="131" w:lineRule="exact"/>
              <w:rPr>
                <w:sz w:val="20"/>
                <w:szCs w:val="20"/>
                <w:color w:val="auto"/>
              </w:rPr>
            </w:pPr>
            <w:r>
              <w:rPr>
                <w:rFonts w:ascii="Arial" w:cs="Arial" w:eastAsia="Arial" w:hAnsi="Arial"/>
                <w:sz w:val="14"/>
                <w:szCs w:val="14"/>
                <w:color w:val="auto"/>
              </w:rPr>
              <w:t>Privately issued</w:t>
            </w:r>
          </w:p>
        </w:tc>
        <w:tc>
          <w:tcPr>
            <w:tcW w:w="220" w:type="dxa"/>
            <w:vAlign w:val="bottom"/>
          </w:tcPr>
          <w:p>
            <w:pPr>
              <w:spacing w:after="0"/>
              <w:rPr>
                <w:sz w:val="11"/>
                <w:szCs w:val="11"/>
                <w:color w:val="auto"/>
              </w:rPr>
            </w:pPr>
          </w:p>
        </w:tc>
        <w:tc>
          <w:tcPr>
            <w:tcW w:w="1500" w:type="dxa"/>
            <w:vAlign w:val="bottom"/>
            <w:gridSpan w:val="3"/>
          </w:tcPr>
          <w:p>
            <w:pPr>
              <w:spacing w:after="0" w:line="131" w:lineRule="exact"/>
              <w:rPr>
                <w:sz w:val="20"/>
                <w:szCs w:val="20"/>
                <w:color w:val="auto"/>
              </w:rPr>
            </w:pPr>
            <w:r>
              <w:rPr>
                <w:rFonts w:ascii="Arial" w:cs="Arial" w:eastAsia="Arial" w:hAnsi="Arial"/>
                <w:sz w:val="14"/>
                <w:szCs w:val="14"/>
                <w:color w:val="auto"/>
              </w:rPr>
              <w:t>Privately issued</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52"/>
              <w:spacing w:after="0" w:line="149" w:lineRule="exact"/>
              <w:rPr>
                <w:sz w:val="20"/>
                <w:szCs w:val="20"/>
                <w:color w:val="auto"/>
              </w:rPr>
            </w:pPr>
            <w:r>
              <w:rPr>
                <w:rFonts w:ascii="Arial" w:cs="Arial" w:eastAsia="Arial" w:hAnsi="Arial"/>
                <w:sz w:val="14"/>
                <w:szCs w:val="14"/>
                <w:color w:val="auto"/>
                <w:w w:val="87"/>
              </w:rPr>
              <w:t>residential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6"/>
              </w:rPr>
              <w:t>commercial</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52"/>
              <w:spacing w:after="0" w:line="149" w:lineRule="exact"/>
              <w:rPr>
                <w:sz w:val="20"/>
                <w:szCs w:val="20"/>
                <w:color w:val="auto"/>
              </w:rPr>
            </w:pPr>
            <w:r>
              <w:rPr>
                <w:rFonts w:ascii="Arial" w:cs="Arial" w:eastAsia="Arial" w:hAnsi="Arial"/>
                <w:sz w:val="14"/>
                <w:szCs w:val="14"/>
                <w:color w:val="auto"/>
                <w:w w:val="87"/>
              </w:rPr>
              <w:t>mortgage-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4"/>
              </w:rPr>
              <w:t>mortgage-</w:t>
            </w: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532"/>
              <w:spacing w:after="0" w:line="149" w:lineRule="exact"/>
              <w:rPr>
                <w:sz w:val="20"/>
                <w:szCs w:val="20"/>
                <w:color w:val="auto"/>
              </w:rPr>
            </w:pPr>
            <w:r>
              <w:rPr>
                <w:rFonts w:ascii="Arial" w:cs="Arial" w:eastAsia="Arial" w:hAnsi="Arial"/>
                <w:sz w:val="14"/>
                <w:szCs w:val="14"/>
                <w:color w:val="auto"/>
                <w:w w:val="84"/>
              </w:rPr>
              <w:t>backed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4"/>
              </w:rPr>
              <w:t>backed</w:t>
            </w:r>
          </w:p>
        </w:tc>
        <w:tc>
          <w:tcPr>
            <w:tcW w:w="180" w:type="dxa"/>
            <w:vAlign w:val="bottom"/>
          </w:tcPr>
          <w:p>
            <w:pPr>
              <w:spacing w:after="0"/>
              <w:rPr>
                <w:sz w:val="12"/>
                <w:szCs w:val="12"/>
                <w:color w:val="auto"/>
              </w:rPr>
            </w:pPr>
          </w:p>
        </w:tc>
        <w:tc>
          <w:tcPr>
            <w:tcW w:w="10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debt</w:t>
            </w:r>
          </w:p>
        </w:tc>
        <w:tc>
          <w:tcPr>
            <w:tcW w:w="220" w:type="dxa"/>
            <w:vAlign w:val="bottom"/>
          </w:tcPr>
          <w:p>
            <w:pPr>
              <w:spacing w:after="0"/>
              <w:rPr>
                <w:sz w:val="12"/>
                <w:szCs w:val="12"/>
                <w:color w:val="auto"/>
              </w:rPr>
            </w:pP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552"/>
              <w:spacing w:after="0" w:line="159" w:lineRule="exact"/>
              <w:rPr>
                <w:sz w:val="20"/>
                <w:szCs w:val="20"/>
                <w:color w:val="auto"/>
              </w:rPr>
            </w:pPr>
            <w:r>
              <w:rPr>
                <w:rFonts w:ascii="Arial" w:cs="Arial" w:eastAsia="Arial" w:hAnsi="Arial"/>
                <w:sz w:val="14"/>
                <w:szCs w:val="14"/>
                <w:color w:val="auto"/>
                <w:w w:val="87"/>
              </w:rPr>
              <w:t>securities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4"/>
              </w:rPr>
              <w:t>securities</w:t>
            </w:r>
          </w:p>
        </w:tc>
        <w:tc>
          <w:tcPr>
            <w:tcW w:w="1240" w:type="dxa"/>
            <w:vAlign w:val="bottom"/>
            <w:gridSpan w:val="3"/>
          </w:tcPr>
          <w:p>
            <w:pPr>
              <w:jc w:val="right"/>
              <w:ind w:right="560"/>
              <w:spacing w:after="0" w:line="159" w:lineRule="exact"/>
              <w:rPr>
                <w:sz w:val="20"/>
                <w:szCs w:val="20"/>
                <w:color w:val="auto"/>
              </w:rPr>
            </w:pPr>
            <w:r>
              <w:rPr>
                <w:rFonts w:ascii="Arial" w:cs="Arial" w:eastAsia="Arial" w:hAnsi="Arial"/>
                <w:sz w:val="14"/>
                <w:szCs w:val="14"/>
                <w:color w:val="auto"/>
                <w:w w:val="98"/>
              </w:rPr>
              <w:t>obligations</w:t>
            </w:r>
          </w:p>
        </w:tc>
        <w:tc>
          <w:tcPr>
            <w:tcW w:w="220" w:type="dxa"/>
            <w:vAlign w:val="bottom"/>
          </w:tcPr>
          <w:p>
            <w:pPr>
              <w:spacing w:after="0"/>
              <w:rPr>
                <w:sz w:val="13"/>
                <w:szCs w:val="13"/>
                <w:color w:val="auto"/>
              </w:rPr>
            </w:pP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1,306,202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61,601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13,171</w:t>
            </w:r>
          </w:p>
        </w:tc>
        <w:tc>
          <w:tcPr>
            <w:tcW w:w="0" w:type="dxa"/>
            <w:vAlign w:val="bottom"/>
          </w:tcPr>
          <w:p>
            <w:pPr>
              <w:spacing w:after="0"/>
              <w:rPr>
                <w:sz w:val="1"/>
                <w:szCs w:val="1"/>
                <w:color w:val="auto"/>
              </w:rPr>
            </w:pPr>
          </w:p>
        </w:tc>
      </w:tr>
      <w:tr>
        <w:trPr>
          <w:trHeight w:val="323"/>
        </w:trPr>
        <w:tc>
          <w:tcPr>
            <w:tcW w:w="478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(9,642)(a)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13,565(b)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(4,030)(e)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1,581(e)</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(9,482)(e)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(77,452)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(18,799)(d)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1,215,078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51,354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w w:val="91"/>
              </w:rPr>
              <w:t>Changes in unrealized gains (losses) included in earnings related</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to assets still held at September 30, 2011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72"/>
              <w:spacing w:after="0"/>
              <w:rPr>
                <w:sz w:val="20"/>
                <w:szCs w:val="20"/>
                <w:color w:val="auto"/>
              </w:rPr>
            </w:pPr>
            <w:r>
              <w:rPr>
                <w:rFonts w:ascii="Arial" w:cs="Arial" w:eastAsia="Arial" w:hAnsi="Arial"/>
                <w:sz w:val="18"/>
                <w:szCs w:val="18"/>
                <w:color w:val="auto"/>
              </w:rPr>
              <w:t>(9,642)(a)</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5,926(b)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- 47 -</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w w:val="89"/>
              </w:rPr>
              <w:t>Investment securities available for sale</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380" w:type="dxa"/>
            <w:vAlign w:val="bottom"/>
            <w:gridSpan w:val="3"/>
          </w:tcPr>
          <w:p>
            <w:pPr>
              <w:spacing w:after="0" w:line="131" w:lineRule="exact"/>
              <w:rPr>
                <w:sz w:val="20"/>
                <w:szCs w:val="20"/>
                <w:color w:val="auto"/>
              </w:rPr>
            </w:pPr>
            <w:r>
              <w:rPr>
                <w:rFonts w:ascii="Arial" w:cs="Arial" w:eastAsia="Arial" w:hAnsi="Arial"/>
                <w:sz w:val="14"/>
                <w:szCs w:val="14"/>
                <w:color w:val="auto"/>
              </w:rPr>
              <w:t>Privately issued</w:t>
            </w:r>
          </w:p>
        </w:tc>
        <w:tc>
          <w:tcPr>
            <w:tcW w:w="240" w:type="dxa"/>
            <w:vAlign w:val="bottom"/>
          </w:tcPr>
          <w:p>
            <w:pPr>
              <w:spacing w:after="0"/>
              <w:rPr>
                <w:sz w:val="11"/>
                <w:szCs w:val="11"/>
                <w:color w:val="auto"/>
              </w:rPr>
            </w:pPr>
          </w:p>
        </w:tc>
        <w:tc>
          <w:tcPr>
            <w:tcW w:w="152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Privately issued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92"/>
              <w:spacing w:after="0" w:line="149" w:lineRule="exact"/>
              <w:rPr>
                <w:sz w:val="20"/>
                <w:szCs w:val="20"/>
                <w:color w:val="auto"/>
              </w:rPr>
            </w:pPr>
            <w:r>
              <w:rPr>
                <w:rFonts w:ascii="Arial" w:cs="Arial" w:eastAsia="Arial" w:hAnsi="Arial"/>
                <w:sz w:val="14"/>
                <w:szCs w:val="14"/>
                <w:color w:val="auto"/>
                <w:w w:val="87"/>
              </w:rPr>
              <w:t>residential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commercial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92"/>
              <w:spacing w:after="0" w:line="149" w:lineRule="exact"/>
              <w:rPr>
                <w:sz w:val="20"/>
                <w:szCs w:val="20"/>
                <w:color w:val="auto"/>
              </w:rPr>
            </w:pPr>
            <w:r>
              <w:rPr>
                <w:rFonts w:ascii="Arial" w:cs="Arial" w:eastAsia="Arial" w:hAnsi="Arial"/>
                <w:sz w:val="14"/>
                <w:szCs w:val="14"/>
                <w:color w:val="auto"/>
                <w:w w:val="87"/>
              </w:rPr>
              <w:t>mortgage-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7"/>
              </w:rPr>
              <w:t>mortgage-</w:t>
            </w:r>
          </w:p>
        </w:tc>
        <w:tc>
          <w:tcPr>
            <w:tcW w:w="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72"/>
              <w:spacing w:after="0" w:line="149" w:lineRule="exact"/>
              <w:rPr>
                <w:sz w:val="20"/>
                <w:szCs w:val="20"/>
                <w:color w:val="auto"/>
              </w:rPr>
            </w:pPr>
            <w:r>
              <w:rPr>
                <w:rFonts w:ascii="Arial" w:cs="Arial" w:eastAsia="Arial" w:hAnsi="Arial"/>
                <w:sz w:val="14"/>
                <w:szCs w:val="14"/>
                <w:color w:val="auto"/>
                <w:w w:val="84"/>
              </w:rPr>
              <w:t>backed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84"/>
              </w:rPr>
              <w:t>backed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572"/>
              <w:spacing w:after="0" w:line="159" w:lineRule="exact"/>
              <w:rPr>
                <w:sz w:val="20"/>
                <w:szCs w:val="20"/>
                <w:color w:val="auto"/>
              </w:rPr>
            </w:pPr>
            <w:r>
              <w:rPr>
                <w:rFonts w:ascii="Arial" w:cs="Arial" w:eastAsia="Arial" w:hAnsi="Arial"/>
                <w:sz w:val="14"/>
                <w:szCs w:val="14"/>
                <w:color w:val="auto"/>
                <w:w w:val="84"/>
              </w:rPr>
              <w:t>securities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7"/>
              </w:rPr>
              <w:t>securities</w:t>
            </w:r>
          </w:p>
        </w:tc>
        <w:tc>
          <w:tcPr>
            <w:tcW w:w="60" w:type="dxa"/>
            <w:vAlign w:val="bottom"/>
          </w:tcPr>
          <w:p>
            <w:pPr>
              <w:spacing w:after="0"/>
              <w:rPr>
                <w:sz w:val="13"/>
                <w:szCs w:val="13"/>
                <w:color w:val="auto"/>
              </w:rPr>
            </w:pPr>
          </w:p>
        </w:tc>
        <w:tc>
          <w:tcPr>
            <w:tcW w:w="122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w w:val="98"/>
              </w:rPr>
              <w:t>obligations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98"/>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1,136,256</w:t>
            </w:r>
          </w:p>
        </w:tc>
        <w:tc>
          <w:tcPr>
            <w:tcW w:w="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15,029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323"/>
        </w:trPr>
        <w:tc>
          <w:tcPr>
            <w:tcW w:w="482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(27,976)(a)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157,381(b)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20" w:type="dxa"/>
            <w:vAlign w:val="bottom"/>
          </w:tcPr>
          <w:p>
            <w:pPr>
              <w:spacing w:after="0"/>
              <w:rPr>
                <w:sz w:val="18"/>
                <w:szCs w:val="18"/>
                <w:color w:val="auto"/>
              </w:rPr>
            </w:pP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87,646(e)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1,751(e)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7,008(e)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(140,858)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(93,959)(d)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1,055,068</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57,201</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70,345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related to assets still held at September 30,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(27,976)(a)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70,187(b)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nine months ended September 30, 2011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w w:val="88"/>
              </w:rPr>
              <w:t>Investment securities available for sale</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38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Privately issued</w:t>
            </w:r>
          </w:p>
        </w:tc>
        <w:tc>
          <w:tcPr>
            <w:tcW w:w="260" w:type="dxa"/>
            <w:vAlign w:val="bottom"/>
          </w:tcPr>
          <w:p>
            <w:pPr>
              <w:spacing w:after="0"/>
              <w:rPr>
                <w:sz w:val="11"/>
                <w:szCs w:val="11"/>
                <w:color w:val="auto"/>
              </w:rPr>
            </w:pPr>
          </w:p>
        </w:tc>
        <w:tc>
          <w:tcPr>
            <w:tcW w:w="1520" w:type="dxa"/>
            <w:vAlign w:val="bottom"/>
            <w:gridSpan w:val="3"/>
          </w:tcPr>
          <w:p>
            <w:pPr>
              <w:spacing w:after="0" w:line="131" w:lineRule="exact"/>
              <w:rPr>
                <w:sz w:val="20"/>
                <w:szCs w:val="20"/>
                <w:color w:val="auto"/>
              </w:rPr>
            </w:pPr>
            <w:r>
              <w:rPr>
                <w:rFonts w:ascii="Arial" w:cs="Arial" w:eastAsia="Arial" w:hAnsi="Arial"/>
                <w:sz w:val="14"/>
                <w:szCs w:val="14"/>
                <w:color w:val="auto"/>
              </w:rPr>
              <w:t>Privately issued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52"/>
              <w:spacing w:after="0" w:line="149" w:lineRule="exact"/>
              <w:rPr>
                <w:sz w:val="20"/>
                <w:szCs w:val="20"/>
                <w:color w:val="auto"/>
              </w:rPr>
            </w:pPr>
            <w:r>
              <w:rPr>
                <w:rFonts w:ascii="Arial" w:cs="Arial" w:eastAsia="Arial" w:hAnsi="Arial"/>
                <w:sz w:val="14"/>
                <w:szCs w:val="14"/>
                <w:color w:val="auto"/>
                <w:w w:val="87"/>
              </w:rPr>
              <w:t>residential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commercial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52"/>
              <w:spacing w:after="0" w:line="149" w:lineRule="exact"/>
              <w:rPr>
                <w:sz w:val="20"/>
                <w:szCs w:val="20"/>
                <w:color w:val="auto"/>
              </w:rPr>
            </w:pPr>
            <w:r>
              <w:rPr>
                <w:rFonts w:ascii="Arial" w:cs="Arial" w:eastAsia="Arial" w:hAnsi="Arial"/>
                <w:sz w:val="14"/>
                <w:szCs w:val="14"/>
                <w:color w:val="auto"/>
                <w:w w:val="87"/>
              </w:rPr>
              <w:t>mortgage-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7"/>
              </w:rPr>
              <w:t>mortgage-</w:t>
            </w:r>
          </w:p>
        </w:tc>
        <w:tc>
          <w:tcPr>
            <w:tcW w:w="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Collateralized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52"/>
              <w:spacing w:after="0" w:line="149" w:lineRule="exact"/>
              <w:rPr>
                <w:sz w:val="20"/>
                <w:szCs w:val="20"/>
                <w:color w:val="auto"/>
              </w:rPr>
            </w:pPr>
            <w:r>
              <w:rPr>
                <w:rFonts w:ascii="Arial" w:cs="Arial" w:eastAsia="Arial" w:hAnsi="Arial"/>
                <w:sz w:val="14"/>
                <w:szCs w:val="14"/>
                <w:color w:val="auto"/>
                <w:w w:val="88"/>
              </w:rPr>
              <w:t>backed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4"/>
              </w:rPr>
              <w:t>backed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debt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552"/>
              <w:spacing w:after="0" w:line="159" w:lineRule="exact"/>
              <w:rPr>
                <w:sz w:val="20"/>
                <w:szCs w:val="20"/>
                <w:color w:val="auto"/>
              </w:rPr>
            </w:pPr>
            <w:r>
              <w:rPr>
                <w:rFonts w:ascii="Arial" w:cs="Arial" w:eastAsia="Arial" w:hAnsi="Arial"/>
                <w:sz w:val="14"/>
                <w:szCs w:val="14"/>
                <w:color w:val="auto"/>
                <w:w w:val="87"/>
              </w:rPr>
              <w:t>securities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760"/>
              <w:spacing w:after="0" w:line="159" w:lineRule="exact"/>
              <w:rPr>
                <w:sz w:val="20"/>
                <w:szCs w:val="20"/>
                <w:color w:val="auto"/>
              </w:rPr>
            </w:pPr>
            <w:r>
              <w:rPr>
                <w:rFonts w:ascii="Arial" w:cs="Arial" w:eastAsia="Arial" w:hAnsi="Arial"/>
                <w:sz w:val="14"/>
                <w:szCs w:val="14"/>
                <w:color w:val="auto"/>
                <w:w w:val="84"/>
              </w:rPr>
              <w:t>securities</w:t>
            </w:r>
          </w:p>
        </w:tc>
        <w:tc>
          <w:tcPr>
            <w:tcW w:w="40" w:type="dxa"/>
            <w:vAlign w:val="bottom"/>
          </w:tcPr>
          <w:p>
            <w:pPr>
              <w:spacing w:after="0"/>
              <w:rPr>
                <w:sz w:val="13"/>
                <w:szCs w:val="13"/>
                <w:color w:val="auto"/>
              </w:rPr>
            </w:pPr>
          </w:p>
        </w:tc>
        <w:tc>
          <w:tcPr>
            <w:tcW w:w="1280" w:type="dxa"/>
            <w:vAlign w:val="bottom"/>
            <w:gridSpan w:val="3"/>
          </w:tcPr>
          <w:p>
            <w:pPr>
              <w:jc w:val="right"/>
              <w:ind w:right="580"/>
              <w:spacing w:after="0" w:line="159" w:lineRule="exact"/>
              <w:rPr>
                <w:sz w:val="20"/>
                <w:szCs w:val="20"/>
                <w:color w:val="auto"/>
              </w:rPr>
            </w:pPr>
            <w:r>
              <w:rPr>
                <w:rFonts w:ascii="Arial" w:cs="Arial" w:eastAsia="Arial" w:hAnsi="Arial"/>
                <w:sz w:val="14"/>
                <w:szCs w:val="14"/>
                <w:color w:val="auto"/>
              </w:rPr>
              <w:t>obligations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98"/>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1,435,561</w:t>
            </w: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110,756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(41,713)(a)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56,809(b)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20" w:type="dxa"/>
            <w:vAlign w:val="bottom"/>
          </w:tcPr>
          <w:p>
            <w:pPr>
              <w:spacing w:after="0"/>
              <w:rPr>
                <w:sz w:val="18"/>
                <w:szCs w:val="18"/>
                <w:color w:val="auto"/>
              </w:rPr>
            </w:pP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95,526(e)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99(e)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(2,276)(e)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8"/>
                <w:szCs w:val="18"/>
                <w:color w:val="auto"/>
              </w:rPr>
            </w:pPr>
          </w:p>
        </w:tc>
        <w:tc>
          <w:tcPr>
            <w:tcW w:w="12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(105,643)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(274,296)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20" w:type="dxa"/>
            <w:vAlign w:val="bottom"/>
          </w:tcPr>
          <w:p>
            <w:pPr>
              <w:spacing w:after="0"/>
              <w:rPr>
                <w:sz w:val="19"/>
                <w:szCs w:val="19"/>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(51,116)(d)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2011</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1,215,078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related to assets still held at September 30,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rPr>
              <w:t>(41,713)(a)</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7,932(b)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rPr>
              <w:t>- 48 -</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in the consolidated statement of income or as gain (loss) on bank investment securities.</w:t>
      </w:r>
    </w:p>
    <w:p>
      <w:pPr>
        <w:spacing w:after="0" w:line="113" w:lineRule="exact"/>
        <w:rPr>
          <w:rFonts w:ascii="Arial" w:cs="Arial" w:eastAsia="Arial" w:hAnsi="Arial"/>
          <w:sz w:val="16"/>
          <w:szCs w:val="16"/>
          <w:i w:val="1"/>
          <w:iCs w:val="1"/>
          <w:color w:val="auto"/>
        </w:rPr>
      </w:pPr>
    </w:p>
    <w:p>
      <w:pPr>
        <w:ind w:left="460" w:hanging="452"/>
        <w:spacing w:after="0"/>
        <w:tabs>
          <w:tab w:leader="none" w:pos="4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113" w:lineRule="exact"/>
        <w:rPr>
          <w:rFonts w:ascii="Arial" w:cs="Arial" w:eastAsia="Arial" w:hAnsi="Arial"/>
          <w:sz w:val="16"/>
          <w:szCs w:val="16"/>
          <w:i w:val="1"/>
          <w:iCs w:val="1"/>
          <w:color w:val="auto"/>
        </w:rPr>
      </w:pPr>
    </w:p>
    <w:p>
      <w:pPr>
        <w:ind w:left="460" w:right="80" w:hanging="452"/>
        <w:spacing w:after="0" w:line="268"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During the nine-month periods ended September 30, 2012 and 2011, other-than-temporary losses of $5 million and $11 million, respectively, were recorded. In accordance with GAAP, the carrying value of such securities was reduced to fair value, with estimated credit losses recognized in earnings and any remaining unrealized loss recognized in accumulated other comprehensive income. The determination of fair value includes use of external and internal valuation sources that, as in the case of privately issued residential mortgage-backed securities, are weighted and averaged when estimating fair value. Due to the presence of significant unobservable inputs that valuation is classified as Level 3. The amortized cost, fair value and impact on the Company’s financial statements of the modeling described herein were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10% to 85% at September 30, 2012. As these discounts are not readily observable and are considered significant, the valuations have been classified as Level 3. Loans subject to nonrecurring fair value measurement were $320 million at September 30, 2012, ($221 million and $99 million of which were classified as Level 2 and Level 3, respectively) and $506 million at September 30, 2011</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($355 million and $151 million of which were classified as Level 2 and Level 3, respectively). Changes in fair value recognized for partial charge-offs of loans and loan impairment reserves on loans held by the Company on September 30, 2012 were decreases of $17 million and $47 million for the three and nine months ended September 30, 2012, respectively. Changes in fair value recognized for partial charge-offs of loans and loan impairment reserves on loans held by the Company on September 30, 2011 were decreases of $38 million and $137 million for the three- and nine-month periods ended September 30, 2011,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$51 million and $53 million at September 30, 2012 and September 30, 2011, respectively. Reflecting further declines in residential real estate and residential development projects subsequent to foreclosure, changes in fair value recognized for those foreclosed assets held by the Company at September 30, 2012 were $1 million and $10 million for the three and nine months ended September 30, 2012, respectively. Changes in fair value recognized for those foreclosed assets held by the Company at September 30, 2011 were $6 million and $17 million for the three and nine months ended September 30, 2011,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presents quantitative information about significant unobservable inputs used in the fair value measurements for Level 3 assets and liabilities at September 30, 2012:</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color w:val="auto"/>
              </w:rPr>
              <w:t>Valuation</w:t>
            </w:r>
          </w:p>
        </w:tc>
        <w:tc>
          <w:tcPr>
            <w:tcW w:w="1960" w:type="dxa"/>
            <w:vAlign w:val="bottom"/>
            <w:gridSpan w:val="2"/>
            <w:vMerge w:val="restart"/>
          </w:tcPr>
          <w:p>
            <w:pPr>
              <w:ind w:left="400"/>
              <w:spacing w:after="0"/>
              <w:rPr>
                <w:sz w:val="20"/>
                <w:szCs w:val="20"/>
                <w:color w:val="auto"/>
              </w:rPr>
            </w:pPr>
            <w:r>
              <w:rPr>
                <w:rFonts w:ascii="Arial" w:cs="Arial" w:eastAsia="Arial" w:hAnsi="Arial"/>
                <w:sz w:val="14"/>
                <w:szCs w:val="14"/>
                <w:color w:val="auto"/>
              </w:rPr>
              <w:t>Unobservable</w:t>
            </w:r>
          </w:p>
        </w:tc>
        <w:tc>
          <w:tcPr>
            <w:tcW w:w="920" w:type="dxa"/>
            <w:vAlign w:val="bottom"/>
          </w:tcPr>
          <w:p>
            <w:pPr>
              <w:jc w:val="center"/>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32"/>
              <w:spacing w:after="0" w:line="135" w:lineRule="exact"/>
              <w:rPr>
                <w:sz w:val="20"/>
                <w:szCs w:val="20"/>
                <w:color w:val="auto"/>
              </w:rPr>
            </w:pPr>
            <w:r>
              <w:rPr>
                <w:rFonts w:ascii="Arial" w:cs="Arial" w:eastAsia="Arial" w:hAnsi="Arial"/>
                <w:sz w:val="14"/>
                <w:szCs w:val="14"/>
                <w:color w:val="auto"/>
                <w:w w:val="96"/>
              </w:rPr>
              <w:t>Fair value at</w:t>
            </w:r>
          </w:p>
        </w:tc>
        <w:tc>
          <w:tcPr>
            <w:tcW w:w="46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w w:val="83"/>
              </w:rPr>
              <w:t>September 30, 2012</w:t>
            </w:r>
          </w:p>
        </w:tc>
        <w:tc>
          <w:tcPr>
            <w:tcW w:w="46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Arial" w:cs="Arial" w:eastAsia="Arial" w:hAnsi="Arial"/>
                <w:sz w:val="14"/>
                <w:szCs w:val="14"/>
                <w:color w:val="auto"/>
              </w:rPr>
              <w:t>technique</w:t>
            </w:r>
          </w:p>
        </w:tc>
        <w:tc>
          <w:tcPr>
            <w:tcW w:w="1960" w:type="dxa"/>
            <w:vAlign w:val="bottom"/>
            <w:gridSpan w:val="2"/>
          </w:tcPr>
          <w:p>
            <w:pPr>
              <w:ind w:left="280"/>
              <w:spacing w:after="0"/>
              <w:rPr>
                <w:sz w:val="20"/>
                <w:szCs w:val="20"/>
                <w:color w:val="auto"/>
              </w:rPr>
            </w:pPr>
            <w:r>
              <w:rPr>
                <w:rFonts w:ascii="Arial" w:cs="Arial" w:eastAsia="Arial" w:hAnsi="Arial"/>
                <w:sz w:val="14"/>
                <w:szCs w:val="14"/>
                <w:color w:val="auto"/>
              </w:rPr>
              <w:t>input/assumptions</w:t>
            </w:r>
          </w:p>
        </w:tc>
        <w:tc>
          <w:tcPr>
            <w:tcW w:w="920" w:type="dxa"/>
            <w:vAlign w:val="bottom"/>
          </w:tcPr>
          <w:p>
            <w:pPr>
              <w:jc w:val="center"/>
              <w:spacing w:after="0"/>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4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color w:val="auto"/>
              </w:rPr>
              <w:t>Recurring fair value measurements</w:t>
            </w:r>
          </w:p>
        </w:tc>
        <w:tc>
          <w:tcPr>
            <w:tcW w:w="9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gridSpan w:val="3"/>
          </w:tcPr>
          <w:p>
            <w:pPr>
              <w:spacing w:after="0"/>
              <w:rPr>
                <w:sz w:val="20"/>
                <w:szCs w:val="20"/>
                <w:color w:val="auto"/>
              </w:rPr>
            </w:pPr>
            <w:r>
              <w:rPr>
                <w:rFonts w:ascii="Arial" w:cs="Arial" w:eastAsia="Arial" w:hAnsi="Arial"/>
                <w:sz w:val="14"/>
                <w:szCs w:val="14"/>
                <w:color w:val="auto"/>
              </w:rPr>
              <w:t>Privately issued mortgage–backed securities</w:t>
            </w:r>
          </w:p>
        </w:tc>
        <w:tc>
          <w:tcPr>
            <w:tcW w:w="11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1,065,636</w:t>
            </w:r>
          </w:p>
        </w:tc>
        <w:tc>
          <w:tcPr>
            <w:tcW w:w="46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Discounted cash flow</w:t>
            </w:r>
          </w:p>
        </w:tc>
        <w:tc>
          <w:tcPr>
            <w:tcW w:w="1960" w:type="dxa"/>
            <w:vAlign w:val="bottom"/>
            <w:gridSpan w:val="2"/>
          </w:tcPr>
          <w:p>
            <w:pPr>
              <w:spacing w:after="0"/>
              <w:rPr>
                <w:sz w:val="20"/>
                <w:szCs w:val="20"/>
                <w:color w:val="auto"/>
              </w:rPr>
            </w:pPr>
            <w:r>
              <w:rPr>
                <w:rFonts w:ascii="Arial" w:cs="Arial" w:eastAsia="Arial" w:hAnsi="Arial"/>
                <w:sz w:val="14"/>
                <w:szCs w:val="14"/>
                <w:color w:val="auto"/>
              </w:rPr>
              <w:t>Probability of default</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1%-40% (18%)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severity</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32%-79% (49%)</w:t>
            </w:r>
          </w:p>
        </w:tc>
        <w:tc>
          <w:tcPr>
            <w:tcW w:w="0" w:type="dxa"/>
            <w:vAlign w:val="bottom"/>
          </w:tcPr>
          <w:p>
            <w:pPr>
              <w:spacing w:after="0"/>
              <w:rPr>
                <w:sz w:val="1"/>
                <w:szCs w:val="1"/>
                <w:color w:val="auto"/>
              </w:rPr>
            </w:pPr>
          </w:p>
        </w:tc>
      </w:tr>
      <w:tr>
        <w:trPr>
          <w:trHeight w:val="257"/>
        </w:trPr>
        <w:tc>
          <w:tcPr>
            <w:tcW w:w="3360" w:type="dxa"/>
            <w:vAlign w:val="bottom"/>
            <w:gridSpan w:val="3"/>
          </w:tcPr>
          <w:p>
            <w:pPr>
              <w:spacing w:after="0"/>
              <w:rPr>
                <w:sz w:val="20"/>
                <w:szCs w:val="20"/>
                <w:color w:val="auto"/>
              </w:rPr>
            </w:pPr>
            <w:r>
              <w:rPr>
                <w:rFonts w:ascii="Arial" w:cs="Arial" w:eastAsia="Arial" w:hAnsi="Arial"/>
                <w:sz w:val="14"/>
                <w:szCs w:val="14"/>
                <w:color w:val="auto"/>
              </w:rPr>
              <w:t>Colateralized debt obligations</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57,201</w:t>
            </w:r>
          </w:p>
        </w:tc>
        <w:tc>
          <w:tcPr>
            <w:tcW w:w="46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Discounted cash flow</w:t>
            </w:r>
          </w:p>
        </w:tc>
        <w:tc>
          <w:tcPr>
            <w:tcW w:w="1960" w:type="dxa"/>
            <w:vAlign w:val="bottom"/>
            <w:gridSpan w:val="2"/>
          </w:tcPr>
          <w:p>
            <w:pPr>
              <w:spacing w:after="0"/>
              <w:rPr>
                <w:sz w:val="20"/>
                <w:szCs w:val="20"/>
                <w:color w:val="auto"/>
              </w:rPr>
            </w:pPr>
            <w:r>
              <w:rPr>
                <w:rFonts w:ascii="Arial" w:cs="Arial" w:eastAsia="Arial" w:hAnsi="Arial"/>
                <w:sz w:val="14"/>
                <w:szCs w:val="14"/>
                <w:color w:val="auto"/>
              </w:rPr>
              <w:t>Probability of default</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3%-65% (15%)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severity</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100%</w:t>
            </w:r>
          </w:p>
        </w:tc>
        <w:tc>
          <w:tcPr>
            <w:tcW w:w="0" w:type="dxa"/>
            <w:vAlign w:val="bottom"/>
          </w:tcPr>
          <w:p>
            <w:pPr>
              <w:spacing w:after="0"/>
              <w:rPr>
                <w:sz w:val="1"/>
                <w:szCs w:val="1"/>
                <w:color w:val="auto"/>
              </w:rPr>
            </w:pPr>
          </w:p>
        </w:tc>
      </w:tr>
      <w:tr>
        <w:trPr>
          <w:trHeight w:val="264"/>
        </w:trPr>
        <w:tc>
          <w:tcPr>
            <w:tcW w:w="3360" w:type="dxa"/>
            <w:vAlign w:val="bottom"/>
            <w:gridSpan w:val="3"/>
          </w:tcPr>
          <w:p>
            <w:pPr>
              <w:spacing w:after="0"/>
              <w:rPr>
                <w:sz w:val="20"/>
                <w:szCs w:val="20"/>
                <w:color w:val="auto"/>
              </w:rPr>
            </w:pPr>
            <w:r>
              <w:rPr>
                <w:rFonts w:ascii="Arial" w:cs="Arial" w:eastAsia="Arial" w:hAnsi="Arial"/>
                <w:sz w:val="14"/>
                <w:szCs w:val="14"/>
                <w:color w:val="auto"/>
              </w:rPr>
              <w:t>Net other assets (liabilities)(a)</w:t>
            </w:r>
          </w:p>
        </w:tc>
        <w:tc>
          <w:tcPr>
            <w:tcW w:w="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70,345</w:t>
            </w:r>
          </w:p>
        </w:tc>
        <w:tc>
          <w:tcPr>
            <w:tcW w:w="46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Discounted cash flow</w:t>
            </w:r>
          </w:p>
        </w:tc>
        <w:tc>
          <w:tcPr>
            <w:tcW w:w="1960" w:type="dxa"/>
            <w:vAlign w:val="bottom"/>
            <w:gridSpan w:val="2"/>
          </w:tcPr>
          <w:p>
            <w:pPr>
              <w:spacing w:after="0"/>
              <w:rPr>
                <w:sz w:val="20"/>
                <w:szCs w:val="20"/>
                <w:color w:val="auto"/>
              </w:rPr>
            </w:pPr>
            <w:r>
              <w:rPr>
                <w:rFonts w:ascii="Arial" w:cs="Arial" w:eastAsia="Arial" w:hAnsi="Arial"/>
                <w:sz w:val="14"/>
                <w:szCs w:val="14"/>
                <w:color w:val="auto"/>
              </w:rPr>
              <w:t>Commitment expirations</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0%-73% (22%)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level 3 assets, net of liabilities</w:t>
            </w:r>
          </w:p>
        </w:tc>
        <w:tc>
          <w:tcPr>
            <w:tcW w:w="110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1,193,182</w:t>
            </w:r>
          </w:p>
        </w:tc>
        <w:tc>
          <w:tcPr>
            <w:tcW w:w="4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157" w:lineRule="exact"/>
        <w:rPr>
          <w:rFonts w:ascii="Arial" w:cs="Arial" w:eastAsia="Arial" w:hAnsi="Arial"/>
          <w:sz w:val="18"/>
          <w:szCs w:val="18"/>
          <w:i w:val="1"/>
          <w:iCs w:val="1"/>
          <w:color w:val="auto"/>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 increase (decrease) in the probability of default and loss severity for mortgage-backed securities and collateralized debt obligations backed by trust preferred securities would generally result in a lower (higher) fair value measurement.</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September 30, 2012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31" w:lineRule="exact"/>
              <w:rPr>
                <w:sz w:val="20"/>
                <w:szCs w:val="20"/>
                <w:color w:val="auto"/>
              </w:rPr>
            </w:pPr>
            <w:r>
              <w:rPr>
                <w:rFonts w:ascii="Arial" w:cs="Arial" w:eastAsia="Arial" w:hAnsi="Arial"/>
                <w:sz w:val="14"/>
                <w:szCs w:val="14"/>
                <w:color w:val="auto"/>
                <w:w w:val="90"/>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40"/>
              <w:spacing w:after="0" w:line="131" w:lineRule="exact"/>
              <w:rPr>
                <w:sz w:val="20"/>
                <w:szCs w:val="20"/>
                <w:color w:val="auto"/>
              </w:rPr>
            </w:pPr>
            <w:r>
              <w:rPr>
                <w:rFonts w:ascii="Arial" w:cs="Arial" w:eastAsia="Arial" w:hAnsi="Arial"/>
                <w:sz w:val="14"/>
                <w:szCs w:val="14"/>
                <w:color w:val="auto"/>
                <w:w w:val="99"/>
              </w:rPr>
              <w:t>Estimated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5"/>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12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1,622,928</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1,622,928</w:t>
            </w:r>
          </w:p>
        </w:tc>
        <w:tc>
          <w:tcPr>
            <w:tcW w:w="14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1,548,290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74,638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411,994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526,844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526,844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55,391</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471,453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6,624,004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6,577,450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106,789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5,192,015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16,704,575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16,482,866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16,482,866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24,970,416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24,703,443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175,518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24,527,925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10,808,220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10,992,318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7,727,137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3,265,181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11,628,744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11,512,448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11,512,448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(921,223)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128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63,190,732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63,691,075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7,902,655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55,788,420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244,021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deposits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(22,968,401)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(22,968,401)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(22,968,401)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(34,663,695)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(34,663,695)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(34,663,695)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(4,972,409)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(4,999,049)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(4,999,049)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(1,402,753)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(1,402,753)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(1,402,753)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(592,154)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(592,154)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(4,969,536)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(5,090,619)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(5,090,619)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(424,312)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(424,312)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(424,312)</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Commitments to originate real estate loans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70,345</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70,345</w:t>
            </w:r>
          </w:p>
        </w:tc>
        <w:tc>
          <w:tcPr>
            <w:tcW w:w="14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(112,713)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(112,713)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Interest rate swap agreements used for interest rate risk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153,220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- 52 -</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20"/>
              <w:spacing w:after="0" w:line="131" w:lineRule="exact"/>
              <w:rPr>
                <w:sz w:val="20"/>
                <w:szCs w:val="20"/>
                <w:color w:val="auto"/>
              </w:rPr>
            </w:pPr>
            <w:r>
              <w:rPr>
                <w:rFonts w:ascii="Arial" w:cs="Arial" w:eastAsia="Arial" w:hAnsi="Arial"/>
                <w:sz w:val="14"/>
                <w:szCs w:val="14"/>
                <w:color w:val="auto"/>
              </w:rPr>
              <w:t>Carrying</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14"/>
              <w:spacing w:after="0" w:line="131" w:lineRule="exact"/>
              <w:rPr>
                <w:sz w:val="20"/>
                <w:szCs w:val="20"/>
                <w:color w:val="auto"/>
              </w:rPr>
            </w:pPr>
            <w:r>
              <w:rPr>
                <w:rFonts w:ascii="Arial" w:cs="Arial" w:eastAsia="Arial" w:hAnsi="Arial"/>
                <w:sz w:val="14"/>
                <w:szCs w:val="14"/>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jc w:val="right"/>
              <w:ind w:right="734"/>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1,452,397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1,452,397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7,673,154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15,734,436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15,507,342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4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24,411,114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24,024,585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7,923,165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4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12,027,290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11,869,813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(908,290)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128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59,187,715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59,184,675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00" w:type="dxa"/>
            <w:vAlign w:val="bottom"/>
            <w:gridSpan w:val="2"/>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 deposits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(20,017,883)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(20,017,883)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(32,913,309)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(32,913,309)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(6,107,530)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(6,133,806)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(355,927)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(782,082)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(6,686,226)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(6,720,174)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(434,559)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(434,559)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Commitments to originate real estate loans for sale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(109,828)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Interest rate swap agreements used for interest rate risk management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agreements to resell securities, short-term borrowings, accrued interest receivable and accrued interest payable</w:t>
      </w:r>
    </w:p>
    <w:p>
      <w:pPr>
        <w:spacing w:after="0" w:line="51"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Due to the nature of cash and cash equivalents and the near maturity of interest-bearing deposits at banks, agreements to resell securities, short-term borrowings, accrued interest receivable and accrued interest payable, the Company estimated that the carrying amount of such instruments approximated estimated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2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color w:val="auto"/>
                <w:w w:val="89"/>
              </w:rPr>
              <w:t>September 30,</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59"/>
        </w:trPr>
        <w:tc>
          <w:tcPr>
            <w:tcW w:w="5040" w:type="dxa"/>
            <w:vAlign w:val="bottom"/>
          </w:tcPr>
          <w:p>
            <w:pPr>
              <w:spacing w:after="0"/>
              <w:rPr>
                <w:sz w:val="13"/>
                <w:szCs w:val="13"/>
                <w:color w:val="auto"/>
              </w:rPr>
            </w:pPr>
          </w:p>
        </w:tc>
        <w:tc>
          <w:tcPr>
            <w:tcW w:w="2500" w:type="dxa"/>
            <w:vAlign w:val="bottom"/>
            <w:gridSpan w:val="2"/>
          </w:tcPr>
          <w:p>
            <w:pPr>
              <w:jc w:val="right"/>
              <w:ind w:right="492"/>
              <w:spacing w:after="0" w:line="159" w:lineRule="exact"/>
              <w:rPr>
                <w:sz w:val="20"/>
                <w:szCs w:val="20"/>
                <w:color w:val="auto"/>
              </w:rPr>
            </w:pPr>
            <w:r>
              <w:rPr>
                <w:rFonts w:ascii="Arial" w:cs="Arial" w:eastAsia="Arial" w:hAnsi="Arial"/>
                <w:sz w:val="14"/>
                <w:szCs w:val="14"/>
                <w:color w:val="auto"/>
              </w:rPr>
              <w:t>2012</w:t>
            </w:r>
          </w:p>
        </w:tc>
        <w:tc>
          <w:tcPr>
            <w:tcW w:w="104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5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Borders>
              <w:top w:val="single" w:sz="8" w:color="auto"/>
            </w:tcBorders>
            <w:gridSpan w:val="2"/>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Home equity lines of credit</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$ 6,319,441</w:t>
            </w:r>
          </w:p>
        </w:tc>
        <w:tc>
          <w:tcPr>
            <w:tcW w:w="1040" w:type="dxa"/>
            <w:vAlign w:val="bottom"/>
          </w:tcPr>
          <w:p>
            <w:pPr>
              <w:jc w:val="right"/>
              <w:spacing w:after="0"/>
              <w:rPr>
                <w:sz w:val="20"/>
                <w:szCs w:val="20"/>
                <w:color w:val="auto"/>
              </w:rPr>
            </w:pPr>
            <w:r>
              <w:rPr>
                <w:rFonts w:ascii="Arial" w:cs="Arial" w:eastAsia="Arial" w:hAnsi="Arial"/>
                <w:sz w:val="18"/>
                <w:szCs w:val="18"/>
                <w:color w:val="auto"/>
              </w:rPr>
              <w:t>6,393,332</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real estate loans to be sold</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282,162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177,982</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commercial real estate and construction</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3,578,153</w:t>
            </w:r>
          </w:p>
        </w:tc>
        <w:tc>
          <w:tcPr>
            <w:tcW w:w="1040" w:type="dxa"/>
            <w:vAlign w:val="bottom"/>
          </w:tcPr>
          <w:p>
            <w:pPr>
              <w:jc w:val="right"/>
              <w:spacing w:after="0"/>
              <w:rPr>
                <w:sz w:val="20"/>
                <w:szCs w:val="20"/>
                <w:color w:val="auto"/>
              </w:rPr>
            </w:pPr>
            <w:r>
              <w:rPr>
                <w:rFonts w:ascii="Arial" w:cs="Arial" w:eastAsia="Arial" w:hAnsi="Arial"/>
                <w:sz w:val="18"/>
                <w:szCs w:val="18"/>
                <w:color w:val="auto"/>
              </w:rPr>
              <w:t>2,818,071</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 to be sold</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1,645,005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residential real estate</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475,989</w:t>
            </w:r>
          </w:p>
        </w:tc>
        <w:tc>
          <w:tcPr>
            <w:tcW w:w="1040" w:type="dxa"/>
            <w:vAlign w:val="bottom"/>
          </w:tcPr>
          <w:p>
            <w:pPr>
              <w:jc w:val="right"/>
              <w:spacing w:after="0"/>
              <w:rPr>
                <w:sz w:val="20"/>
                <w:szCs w:val="20"/>
                <w:color w:val="auto"/>
              </w:rPr>
            </w:pPr>
            <w:r>
              <w:rPr>
                <w:rFonts w:ascii="Arial" w:cs="Arial" w:eastAsia="Arial" w:hAnsi="Arial"/>
                <w:sz w:val="18"/>
                <w:szCs w:val="18"/>
                <w:color w:val="auto"/>
              </w:rPr>
              <w:t>129,466</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and other</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10,315,662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10,442,754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3,920,218</w:t>
            </w:r>
          </w:p>
        </w:tc>
        <w:tc>
          <w:tcPr>
            <w:tcW w:w="1040" w:type="dxa"/>
            <w:vAlign w:val="bottom"/>
          </w:tcPr>
          <w:p>
            <w:pPr>
              <w:jc w:val="right"/>
              <w:spacing w:after="0"/>
              <w:rPr>
                <w:sz w:val="20"/>
                <w:szCs w:val="20"/>
                <w:color w:val="auto"/>
              </w:rPr>
            </w:pPr>
            <w:r>
              <w:rPr>
                <w:rFonts w:ascii="Arial" w:cs="Arial" w:eastAsia="Arial" w:hAnsi="Arial"/>
                <w:sz w:val="18"/>
                <w:szCs w:val="18"/>
                <w:color w:val="auto"/>
              </w:rPr>
              <w:t>3,930,271</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46,188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1,994,704</w:t>
            </w:r>
          </w:p>
        </w:tc>
        <w:tc>
          <w:tcPr>
            <w:tcW w:w="1040" w:type="dxa"/>
            <w:vAlign w:val="bottom"/>
          </w:tcPr>
          <w:p>
            <w:pPr>
              <w:jc w:val="right"/>
              <w:spacing w:after="0"/>
              <w:rPr>
                <w:sz w:val="20"/>
                <w:szCs w:val="20"/>
                <w:color w:val="auto"/>
              </w:rPr>
            </w:pPr>
            <w:r>
              <w:rPr>
                <w:rFonts w:ascii="Arial" w:cs="Arial" w:eastAsia="Arial" w:hAnsi="Arial"/>
                <w:sz w:val="18"/>
                <w:szCs w:val="18"/>
                <w:color w:val="auto"/>
              </w:rPr>
              <w:t>1,903,254</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2,337,536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635,899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$1.9 billion and $1.8 billion at September 30, 2012 and December 31, 2011, respectively.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$68 million at September 30, 2012. Assets of subsidiaries providing reinsurance that are available to satisfy claims totaled approximately $41 million at September 30, 2012.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2012, management believes that any remaining liability arising out of the Company’s obligation to loan purchasers is not material to the Company’s consolidated financial position.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2011.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2011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left="366"/>
              <w:spacing w:after="0"/>
              <w:rPr>
                <w:sz w:val="20"/>
                <w:szCs w:val="20"/>
                <w:color w:val="auto"/>
              </w:rPr>
            </w:pPr>
            <w:r>
              <w:rPr>
                <w:rFonts w:ascii="Arial" w:cs="Arial" w:eastAsia="Arial" w:hAnsi="Arial"/>
                <w:sz w:val="14"/>
                <w:szCs w:val="14"/>
                <w:color w:val="auto"/>
                <w:w w:val="85"/>
              </w:rPr>
              <w:t>Three months ended September 30</w:t>
            </w: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2011</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360"/>
              <w:spacing w:after="0" w:line="131" w:lineRule="exact"/>
              <w:rPr>
                <w:sz w:val="20"/>
                <w:szCs w:val="20"/>
                <w:color w:val="auto"/>
              </w:rPr>
            </w:pPr>
            <w:r>
              <w:rPr>
                <w:rFonts w:ascii="Arial" w:cs="Arial" w:eastAsia="Arial" w:hAnsi="Arial"/>
                <w:sz w:val="14"/>
                <w:szCs w:val="14"/>
                <w:color w:val="auto"/>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income</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Total</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1"/>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3"/>
              </w:rPr>
              <w:t>revenues(a)</w:t>
            </w:r>
          </w:p>
        </w:tc>
        <w:tc>
          <w:tcPr>
            <w:tcW w:w="200" w:type="dxa"/>
            <w:vAlign w:val="bottom"/>
          </w:tcPr>
          <w:p>
            <w:pPr>
              <w:spacing w:after="0"/>
              <w:rPr>
                <w:sz w:val="13"/>
                <w:szCs w:val="13"/>
                <w:color w:val="auto"/>
              </w:rPr>
            </w:pPr>
          </w:p>
        </w:tc>
        <w:tc>
          <w:tcPr>
            <w:tcW w:w="8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revenues</w:t>
            </w:r>
          </w:p>
        </w:tc>
        <w:tc>
          <w:tcPr>
            <w:tcW w:w="86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(loss)</w:t>
            </w: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2"/>
              </w:rPr>
              <w:t>revenues(a)</w:t>
            </w:r>
          </w:p>
        </w:tc>
        <w:tc>
          <w:tcPr>
            <w:tcW w:w="8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center"/>
              <w:ind w:right="360"/>
              <w:spacing w:after="0" w:line="142" w:lineRule="exact"/>
              <w:rPr>
                <w:sz w:val="20"/>
                <w:szCs w:val="20"/>
                <w:color w:val="auto"/>
              </w:rPr>
            </w:pPr>
            <w:r>
              <w:rPr>
                <w:rFonts w:ascii="Arial" w:cs="Arial" w:eastAsia="Arial" w:hAnsi="Arial"/>
                <w:sz w:val="14"/>
                <w:szCs w:val="14"/>
                <w:color w:val="auto"/>
                <w:w w:val="87"/>
              </w:rPr>
              <w:t>(in thousands)</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114,181</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110,627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Commercial Banking</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255,498</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1,561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112,654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230,023</w:t>
            </w:r>
          </w:p>
        </w:tc>
        <w:tc>
          <w:tcPr>
            <w:tcW w:w="60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93,783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5,031</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75,896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152,878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(25,593)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16,437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(3,968)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138,662</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28,454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44,727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Retail Banking</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318,567</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2,841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58,441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314,113</w:t>
            </w:r>
          </w:p>
        </w:tc>
        <w:tc>
          <w:tcPr>
            <w:tcW w:w="600" w:type="dxa"/>
            <w:vAlign w:val="bottom"/>
          </w:tcPr>
          <w:p>
            <w:pPr>
              <w:jc w:val="right"/>
              <w:spacing w:after="0"/>
              <w:rPr>
                <w:sz w:val="20"/>
                <w:szCs w:val="20"/>
                <w:color w:val="auto"/>
              </w:rPr>
            </w:pPr>
            <w:r>
              <w:rPr>
                <w:rFonts w:ascii="Arial" w:cs="Arial" w:eastAsia="Arial" w:hAnsi="Arial"/>
                <w:sz w:val="18"/>
                <w:szCs w:val="18"/>
                <w:color w:val="auto"/>
              </w:rPr>
              <w:t>2,583</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43,947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93,266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(26,312)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(64,307)</w:t>
            </w: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1,108,455</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293,462</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985,101</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183,108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500" w:type="dxa"/>
            <w:vAlign w:val="bottom"/>
            <w:vMerge w:val="restart"/>
          </w:tcPr>
          <w:p>
            <w:pPr>
              <w:jc w:val="right"/>
              <w:ind w:right="352"/>
              <w:spacing w:after="0"/>
              <w:rPr>
                <w:sz w:val="20"/>
                <w:szCs w:val="20"/>
                <w:color w:val="auto"/>
              </w:rPr>
            </w:pPr>
            <w:r>
              <w:rPr>
                <w:rFonts w:ascii="Arial" w:cs="Arial" w:eastAsia="Arial" w:hAnsi="Arial"/>
                <w:sz w:val="18"/>
                <w:szCs w:val="18"/>
                <w:color w:val="auto"/>
              </w:rPr>
              <w:t>- 57 -</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color w:val="auto"/>
                <w:w w:val="87"/>
              </w:rPr>
              <w:t>Nine months ended September 30</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center"/>
              <w:ind w:right="36"/>
              <w:spacing w:after="0" w:line="142" w:lineRule="exact"/>
              <w:rPr>
                <w:sz w:val="20"/>
                <w:szCs w:val="20"/>
                <w:color w:val="auto"/>
              </w:rPr>
            </w:pPr>
            <w:r>
              <w:rPr>
                <w:rFonts w:ascii="Arial" w:cs="Arial" w:eastAsia="Arial" w:hAnsi="Arial"/>
                <w:sz w:val="14"/>
                <w:szCs w:val="14"/>
                <w:color w:val="auto"/>
                <w:w w:val="89"/>
              </w:rPr>
              <w:t>2012</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5"/>
          </w:tcPr>
          <w:p>
            <w:pPr>
              <w:jc w:val="center"/>
              <w:ind w:right="220"/>
              <w:spacing w:after="0" w:line="131" w:lineRule="exact"/>
              <w:rPr>
                <w:sz w:val="20"/>
                <w:szCs w:val="20"/>
                <w:color w:val="auto"/>
              </w:rPr>
            </w:pPr>
            <w:r>
              <w:rPr>
                <w:rFonts w:ascii="Arial" w:cs="Arial" w:eastAsia="Arial" w:hAnsi="Arial"/>
                <w:sz w:val="14"/>
                <w:szCs w:val="14"/>
                <w:color w:val="auto"/>
                <w:w w:val="91"/>
              </w:rPr>
              <w:t>Inter-</w:t>
            </w:r>
          </w:p>
        </w:tc>
        <w:tc>
          <w:tcPr>
            <w:tcW w:w="7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91"/>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Total</w:t>
            </w:r>
          </w:p>
        </w:tc>
        <w:tc>
          <w:tcPr>
            <w:tcW w:w="84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1"/>
              </w:rPr>
              <w:t>segment</w:t>
            </w: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income</w:t>
            </w:r>
          </w:p>
        </w:tc>
        <w:tc>
          <w:tcPr>
            <w:tcW w:w="16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Total</w:t>
            </w: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1"/>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w w:val="93"/>
              </w:rPr>
              <w:t>revenues(a)</w:t>
            </w:r>
          </w:p>
        </w:tc>
        <w:tc>
          <w:tcPr>
            <w:tcW w:w="84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83"/>
              </w:rPr>
              <w:t>revenues</w:t>
            </w:r>
          </w:p>
        </w:tc>
        <w:tc>
          <w:tcPr>
            <w:tcW w:w="76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7"/>
              </w:rPr>
              <w:t>(loss)</w:t>
            </w:r>
          </w:p>
        </w:tc>
        <w:tc>
          <w:tcPr>
            <w:tcW w:w="160" w:type="dxa"/>
            <w:vAlign w:val="bottom"/>
          </w:tcPr>
          <w:p>
            <w:pPr>
              <w:spacing w:after="0"/>
              <w:rPr>
                <w:sz w:val="13"/>
                <w:szCs w:val="13"/>
                <w:color w:val="auto"/>
              </w:rPr>
            </w:pPr>
          </w:p>
        </w:tc>
        <w:tc>
          <w:tcPr>
            <w:tcW w:w="7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2"/>
              </w:rPr>
              <w:t>revenues(a)</w:t>
            </w:r>
          </w:p>
        </w:tc>
        <w:tc>
          <w:tcPr>
            <w:tcW w:w="180" w:type="dxa"/>
            <w:vAlign w:val="bottom"/>
          </w:tcPr>
          <w:p>
            <w:pPr>
              <w:spacing w:after="0"/>
              <w:rPr>
                <w:sz w:val="13"/>
                <w:szCs w:val="13"/>
                <w:color w:val="auto"/>
              </w:rPr>
            </w:pPr>
          </w:p>
        </w:tc>
        <w:tc>
          <w:tcPr>
            <w:tcW w:w="8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7"/>
          </w:tcPr>
          <w:p>
            <w:pPr>
              <w:ind w:left="360"/>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335,475</w:t>
            </w:r>
          </w:p>
        </w:tc>
        <w:tc>
          <w:tcPr>
            <w:tcW w:w="8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3,202</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110,829</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314,416</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84,121</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741,714</w:t>
            </w:r>
          </w:p>
        </w:tc>
        <w:tc>
          <w:tcPr>
            <w:tcW w:w="800" w:type="dxa"/>
            <w:vAlign w:val="bottom"/>
            <w:gridSpan w:val="4"/>
          </w:tcPr>
          <w:p>
            <w:pPr>
              <w:jc w:val="right"/>
              <w:ind w:right="92"/>
              <w:spacing w:after="0"/>
              <w:rPr>
                <w:sz w:val="20"/>
                <w:szCs w:val="20"/>
                <w:color w:val="auto"/>
              </w:rPr>
            </w:pPr>
            <w:r>
              <w:rPr>
                <w:rFonts w:ascii="Arial" w:cs="Arial" w:eastAsia="Arial" w:hAnsi="Arial"/>
                <w:sz w:val="18"/>
                <w:szCs w:val="18"/>
                <w:color w:val="auto"/>
              </w:rPr>
              <w:t>4,832</w:t>
            </w:r>
          </w:p>
        </w:tc>
        <w:tc>
          <w:tcPr>
            <w:tcW w:w="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315,373</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672,199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3,674</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277,225</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491,433</w:t>
            </w:r>
          </w:p>
        </w:tc>
        <w:tc>
          <w:tcPr>
            <w:tcW w:w="8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5,860</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225,025</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412,250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179,634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(11,162)</w:t>
            </w:r>
          </w:p>
        </w:tc>
        <w:tc>
          <w:tcPr>
            <w:tcW w:w="800" w:type="dxa"/>
            <w:vAlign w:val="bottom"/>
            <w:gridSpan w:val="4"/>
          </w:tcPr>
          <w:p>
            <w:pPr>
              <w:jc w:val="right"/>
              <w:ind w:right="32"/>
              <w:spacing w:after="0"/>
              <w:rPr>
                <w:sz w:val="20"/>
                <w:szCs w:val="20"/>
                <w:color w:val="auto"/>
              </w:rPr>
            </w:pPr>
            <w:r>
              <w:rPr>
                <w:rFonts w:ascii="Arial" w:cs="Arial" w:eastAsia="Arial" w:hAnsi="Arial"/>
                <w:sz w:val="18"/>
                <w:szCs w:val="18"/>
                <w:color w:val="auto"/>
              </w:rPr>
              <w:t>(60,990)</w:t>
            </w:r>
          </w:p>
        </w:tc>
        <w:tc>
          <w:tcPr>
            <w:tcW w:w="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(28,037)</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171,303</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(16,174)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76,566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341,699</w:t>
            </w:r>
          </w:p>
        </w:tc>
        <w:tc>
          <w:tcPr>
            <w:tcW w:w="8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95"/>
              </w:rPr>
              <w:t>100,350</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94,238</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183,910</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21,556</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939,409</w:t>
            </w:r>
          </w:p>
        </w:tc>
        <w:tc>
          <w:tcPr>
            <w:tcW w:w="800" w:type="dxa"/>
            <w:vAlign w:val="bottom"/>
            <w:gridSpan w:val="4"/>
          </w:tcPr>
          <w:p>
            <w:pPr>
              <w:jc w:val="right"/>
              <w:ind w:right="92"/>
              <w:spacing w:after="0"/>
              <w:rPr>
                <w:sz w:val="20"/>
                <w:szCs w:val="20"/>
                <w:color w:val="auto"/>
              </w:rPr>
            </w:pPr>
            <w:r>
              <w:rPr>
                <w:rFonts w:ascii="Arial" w:cs="Arial" w:eastAsia="Arial" w:hAnsi="Arial"/>
                <w:sz w:val="18"/>
                <w:szCs w:val="18"/>
                <w:color w:val="auto"/>
              </w:rPr>
              <w:t>8,931</w:t>
            </w:r>
          </w:p>
        </w:tc>
        <w:tc>
          <w:tcPr>
            <w:tcW w:w="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165,289</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920,645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8,537</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151,318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306,632</w:t>
            </w:r>
          </w:p>
        </w:tc>
        <w:tc>
          <w:tcPr>
            <w:tcW w:w="80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(62,185)</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(149,412)</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281,460</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(44,159)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(78,681)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3,145,200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733,305</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2,956,183</w:t>
            </w:r>
          </w:p>
        </w:tc>
        <w:tc>
          <w:tcPr>
            <w:tcW w:w="1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711,739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color w:val="auto"/>
              </w:rPr>
              <w:t>Average total assets</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10"/>
          </w:tcPr>
          <w:p>
            <w:pPr>
              <w:ind w:left="280"/>
              <w:spacing w:after="0" w:line="131" w:lineRule="exact"/>
              <w:rPr>
                <w:sz w:val="20"/>
                <w:szCs w:val="20"/>
                <w:color w:val="auto"/>
              </w:rPr>
            </w:pPr>
            <w:r>
              <w:rPr>
                <w:rFonts w:ascii="Arial" w:cs="Arial" w:eastAsia="Arial" w:hAnsi="Arial"/>
                <w:sz w:val="14"/>
                <w:szCs w:val="14"/>
                <w:color w:val="auto"/>
              </w:rPr>
              <w:t>Nine months ended</w:t>
            </w:r>
          </w:p>
        </w:tc>
        <w:tc>
          <w:tcPr>
            <w:tcW w:w="7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2"/>
              </w:rPr>
              <w:t>Year ended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w w:val="95"/>
              </w:rPr>
              <w:t>September 30</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5"/>
              </w:rPr>
              <w:t>December 31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72"/>
              <w:spacing w:after="0" w:line="159" w:lineRule="exact"/>
              <w:rPr>
                <w:sz w:val="20"/>
                <w:szCs w:val="20"/>
                <w:color w:val="auto"/>
              </w:rPr>
            </w:pPr>
            <w:r>
              <w:rPr>
                <w:rFonts w:ascii="Arial" w:cs="Arial" w:eastAsia="Arial" w:hAnsi="Arial"/>
                <w:sz w:val="14"/>
                <w:szCs w:val="14"/>
                <w:color w:val="auto"/>
              </w:rPr>
              <w:t>2012</w:t>
            </w:r>
          </w:p>
        </w:tc>
        <w:tc>
          <w:tcPr>
            <w:tcW w:w="40" w:type="dxa"/>
            <w:vAlign w:val="bottom"/>
          </w:tcPr>
          <w:p>
            <w:pPr>
              <w:spacing w:after="0"/>
              <w:rPr>
                <w:sz w:val="13"/>
                <w:szCs w:val="13"/>
                <w:color w:val="auto"/>
              </w:rPr>
            </w:pPr>
          </w:p>
        </w:tc>
        <w:tc>
          <w:tcPr>
            <w:tcW w:w="1180" w:type="dxa"/>
            <w:vAlign w:val="bottom"/>
            <w:gridSpan w:val="5"/>
          </w:tcPr>
          <w:p>
            <w:pPr>
              <w:jc w:val="right"/>
              <w:ind w:right="152"/>
              <w:spacing w:after="0" w:line="159" w:lineRule="exact"/>
              <w:rPr>
                <w:sz w:val="20"/>
                <w:szCs w:val="20"/>
                <w:color w:val="auto"/>
              </w:rPr>
            </w:pPr>
            <w:r>
              <w:rPr>
                <w:rFonts w:ascii="Arial" w:cs="Arial" w:eastAsia="Arial" w:hAnsi="Arial"/>
                <w:sz w:val="14"/>
                <w:szCs w:val="14"/>
                <w:color w:val="auto"/>
              </w:rPr>
              <w:t>2011</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w w:val="90"/>
              </w:rPr>
              <w:t>(in millions)</w:t>
            </w:r>
          </w:p>
        </w:tc>
        <w:tc>
          <w:tcPr>
            <w:tcW w:w="520" w:type="dxa"/>
            <w:vAlign w:val="bottom"/>
            <w:gridSpan w:val="2"/>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left="13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4,995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Banking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19,691</w:t>
            </w:r>
          </w:p>
        </w:tc>
        <w:tc>
          <w:tcPr>
            <w:tcW w:w="4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17,397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17,650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16,364</w:t>
            </w:r>
          </w:p>
        </w:tc>
        <w:tc>
          <w:tcPr>
            <w:tcW w:w="4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16,428</w:t>
            </w:r>
          </w:p>
        </w:tc>
        <w:tc>
          <w:tcPr>
            <w:tcW w:w="4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13,844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Retail Banking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11,746</w:t>
            </w:r>
          </w:p>
        </w:tc>
        <w:tc>
          <w:tcPr>
            <w:tcW w:w="40" w:type="dxa"/>
            <w:vAlign w:val="bottom"/>
          </w:tcPr>
          <w:p>
            <w:pPr>
              <w:spacing w:after="0"/>
              <w:rPr>
                <w:sz w:val="18"/>
                <w:szCs w:val="18"/>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11,904</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11,940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7,706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center"/>
              <w:ind w:left="138"/>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79,518</w:t>
            </w:r>
          </w:p>
        </w:tc>
        <w:tc>
          <w:tcPr>
            <w:tcW w:w="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72,489</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73,977</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90" w:lineRule="auto"/>
        <w:tabs>
          <w:tab w:leader="none" w:pos="4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$6,534,000 and $6,546,000 for the three-month periods ended September 30, 2012 and 2011, respectively, and $19,884,000 and $19,341,000 for the nine-month periods ended September 30, 2012 and 2011,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04" w:lineRule="exact"/>
        <w:rPr>
          <w:rFonts w:ascii="Arial" w:cs="Arial" w:eastAsia="Arial" w:hAnsi="Arial"/>
          <w:sz w:val="16"/>
          <w:szCs w:val="16"/>
          <w:i w:val="1"/>
          <w:iCs w:val="1"/>
          <w:color w:val="auto"/>
        </w:rPr>
      </w:pPr>
    </w:p>
    <w:p>
      <w:pPr>
        <w:ind w:left="5620" w:hanging="96"/>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M&amp;T holds a 20% interest in Bayview Lending Group LLC (“BLG”), a privately-held commercial mortgage lender. M&amp;T recognizes income or loss from BLG using the equity method of accounting. The carrying value of that investment was $98 million at September 30, 2012.</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 balance commercial mortgage loans from BLG and Bayview Financial having outstanding principal balances of $4.0 billion and $4.4 billion at September 30, 2012 and December 31, 2011, respectively. Amounts recorded as capitalized servicing assets for such loans totaled $10 million at September 30, 2012 and $16 million at December 31, 2011. In addition, capitalized servicing rights at September 30, 2012 and December 31, 2011 also included $2 million and $5 million, respectively, for servicing rights that were obtained from Bayview Financial related to residential mortgage loans with outstanding principal balances of $2.8 billion at September 30, 2012 and $3.1 billion at December 31, 2011. Revenues from servicing residential and small-balance commercial mortgage loans obtained from BLG and Bayview Financial were $9 million and $10 million for the three months ended September 30, 2012 and 2011, respectively, and $27 million and $31 million for the nine months ended September 30, 2012 and 2011, respectively. The Company sub-services residential mortgage loans for Bayview Financial having outstanding principal balances totaling $11.7 billion at September 30, 2012 and $13.1 billion at December 31, 2011. Revenues earned for sub-servicing loans for Bayview Financial were $2 million and $7 million during the three and nine months ended September 30, 2012, respectively. Revenues earned for sub-servicing residential mortgage loans for Bayview Financial were not significant during the three and nine months ended September 30, 2011. In addition, at September 30, 2012 and December 31, 2011, the Company held $11 million and $15 million, respectively, of collateralized mortgage obligations in its available-for-sale investment securities portfolio that were securitized by Bayview Financial. Finally, the Company held $248 million and $269 million of similar investment securities in its held-to-maturity portfolio at September 30, 2012 and December 31, 2011, respectively.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M&amp;T Bank Corporation (“M&amp;T”) recorded net income in the third quarter of 2012 of $293 million or $2.17 of diluted earnings per common share, compared with $183 million or $1.32 of diluted earnings per common share in the year-earlier quarter. During the second quarter of 2012, net income totaled $233 million or $1.71 of diluted earnings per common share. Basic earnings per common share were $2.18 in the recent quarter, compared with $1.32 in the third quarter of 2011 and $1.71 in the second quarter of 2012. The after-tax impact of net acquisition and integration-related expenses (included herein as merger-related expenses) was $16 million ($26 million pre-tax) or $.13 of basic and diluted earnings per common share in the third quarter of 2011 and $4 million ($7 million pre-tax) or $.03 of basic and diluted earnings per common share in the second quarter of 2012. Such expenses were associated with M&amp;T’s May 16, 2011 acquisition of Wilmington Trust Corporation (“Wilmington Trust”) headquartered in Wilmington, Delaware. There were no merger-related expenses in the third quarter of 2012. For the first nine months of 2012, net income was $733 million or $5.37 per diluted common share, compared with $712 million or $5.32 per diluted common share during the similar period of 2011. Basic earnings per common share were $5.39 and $5.34 for the first nine months of 2012 and 2011, respectively. The after-tax impact of merger-related gains and expenses during the first nine months of 2012 resulted in expenses of $6 million ($10 million pre-tax) or $.05 of basic and diluted earnings per common share, compared with a gain of $23 million ($2 million of net expenses pre-tax) or $.18 of basic and diluted earnings per common share during the nine-month period ended September 30, 2011. That net gain consisted of a non-taxable gain of $65 million and after-tax expenses of $42 million ($67 million pre-tax).</w:t>
      </w:r>
    </w:p>
    <w:p>
      <w:pPr>
        <w:spacing w:after="0" w:line="12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third quarter of 2012 was 1.45%, compared with .94% in the year-earlier quarter and 1.17% in the second quarter of 2012. The annualized rate of return on average common shareholders’ equity was 12.40% in the recent quarter, compared with 7.84% in the third quarter of 2011 and 10.12% in 2012’s second quarter. During the nine-month period ended September 30, 2012, the annualized rates of return on average assets and average common shareholders’ equity were 1.23% and 10.55%, respectively, compared with 1.31% and 10.94%, respectively, in the corresponding period in 2011.</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will be acquired by M&amp;T. Pursuant to the terms of the agreement, Hudson City common shareholders will receive consideration valued at .08403 of an M&amp;T common share in the form of either M&amp;T common stock or cash, based on the election of each Hudson City shareholder, subject to proration as specified in the merger agreement (which provides for an aggregate split of total consideration of 60% common stock of M&amp;T and 40% cash).</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of September 30, 2012, Hudson City reported $41.9 billion of assets, including $27.8 billion of loans (predominantly residential real estate loans) and $12.5 billion of investment securities, and $37.2 billion of liabilities, including $24.0 billion of deposits. After the merger is completed, M&amp;T expects to repay approximately $13 billion of Hudson City’s long-term borrowings by liquidating its comparably-sized investment securities portfolio. The merger is subject to a number of conditions, including regulatory approvals and approval by common shareholders of M&amp;T and Hudson City, and is expected to be completed by mid-year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M&amp;T participated in the Troubled Asset Relief Program – Capital Purchase Program (“TARP”) of the U.S. Department of Treasury (“U.S. Treasury”), which was initiated during 2008 both by issuing preferred shares (Series A) in December 2008 and through the 2009 acquisition of Provident Bankshares Corporation by assuming shares (Series C) that had been issued by that corporation in November 2008. In August 2012, the U.S. Treasury sold its holdings of M&amp;T’s Series A (230,000 shares) and Series C (151,500 shares) Preferred Stock to the public which allowed M&amp;T to exit the TARP. M&amp;T modified certain of the terms of the Series A and Series C Preferred Stock, with such modifications being subject to M&amp;T common shareholder approval. The modifications related to the dividend rate on the preferred shares at the reset dates, which was originally set to change to 9% on November 15, 2013 for the Series C preferred shares and on February 15, 2014 for the Series A preferred shares. In each case, the dividend rate will now change to 6.375% on November 15, 2013 rather than to the 9% in the original terms. The other modification related to M&amp;T agreeing to not redeem the Series A and Series C preferred shares until on or after November 15, 2018, except if an event occurs such that the shares no longer qualify as Tier 1 capital, M&amp;T may redeem all of the shares within 90 days following that occurrence.</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16, 2011, M&amp;T acquired all of the outstanding common stock of Wilmington Trust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 Assets acquired totaled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TARP of the U.S. Treasury. In connection with the acquisition, the Company recorded $112 million of core deposit and other intangible assets. The core deposit and other intangible assets are generally being amortized over periods of 5 to 7 years using an accelerated method. There was no goodwill recorded as a result of the transaction; however, in accordance with generally accepted accounting principles (“GAAP”),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2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Reflected in the Company’s results for the nine months ended September 30, 2011 were gains from the sale of investment securities available for sale, predominantly residential mortgage-backed securities guaranteed by the Federal National Mortgage Association (“Fannie Mae”) and the Federal Home Loan Mortgage Corporation (“Freddie Mac”), collateralized debt obligations (“CDOs”) and capital preferred securities. Such gains increased net income in that period by $91 million ($150 million before taxes), or $.73 of diluted earnings per common share. The Company sold the securities in response to the Wilmington Trust acquisition in order to reposition the investment portfolio and to manage its forecasted balance sheet size and composition and resultant capital ratios.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discussed in the Company’s Form 10-K for the year ended December 31, 2011, the Dodd-Frank Wall Street Reform and Consumer Protection Act (“Dodd-Frank Act”) was signed into law on July 21, 2010. That law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Dodd-Frank Act broadens the base for FDIC insurance assessments. Beginning in the second quarter of 2011, assessments are based on average consolidated total assets less average Tier 1 capital and certain allowable deductions of a financial institution. The Dodd-Frank Act also permanently increases the maximum amount of deposit insurance for banks, savings institutions and credit unions to $250,000 per depositor, retroactive to January 1, 2009, and noninterest-bearing transaction accounts have unlimited deposit insurance through December 31, 2012.</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Dodd-Frank Act, among other things:</w:t>
      </w:r>
    </w:p>
    <w:p>
      <w:pPr>
        <w:spacing w:after="0" w:line="90" w:lineRule="exact"/>
        <w:rPr>
          <w:sz w:val="20"/>
          <w:szCs w:val="20"/>
          <w:color w:val="auto"/>
        </w:rPr>
      </w:pPr>
    </w:p>
    <w:p>
      <w:pPr>
        <w:ind w:left="900" w:right="5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amended the Electronic Fund Transfer Act (“EFTA”) which resulted in, among other things, the Federal Reserve Board issuing rules aimed at limiting debit card-interchange fees;</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applied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created the Financial Stability Oversight Council, which will recommend to the Federal Reserve Board increasingly strict rules for capital, leverage, liquidity, risk management and other requirements as companies grow in size and complexity.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aspects of the Dodd-Frank Act still remain subject to rulemaking and will take effect over several years, making it difficult to anticipate the overall financial impact on M&amp;T, its customers or the financial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the principal banking subsidiary of M&amp;T, could require M&amp;T and M&amp;T Bank to further seek other sources of capital in the future. A further discussion of other provisions of the Dodd-Frank Act is included in Part II, Item 7 of the Company’s Form 10-K for the year ended December 31,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a result of business combinations and other acquisitions, the Company had intangible assets consisting of goodwill and core deposit and other intangible assets totaling $3.7 billion at each of September 30, 2012, September 30, 2011 and December 31, 2011. Included in such intangible assets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was goodwill of $3.5 billion at each of those dates. Amortization of core deposit and other intangible assets, after tax effect, totaled $9 million ($.07 per diluted common share) during the third quarter of 2012, compared with $11 million ($.08 per diluted common share) during the year-earlier quarter and $10 million ($.08 per diluted common share) during the second quarter of 2012. For the nine-month periods ended September 30, 2012 and 2011, amortization of core deposit and other intangible assets, after tax effect, totaled $29 million and $27 million, respectively, or $.22 per diluted share in each period.</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Net operating income was $302 million in the third quarter of 2012, compared with $210 million in the third quarter of 2011. Diluted net operating earnings per common share for the third quarter of 2012 were $2.24, compared with $1.53 in the year-earlier quarter. Net operating income and diluted net operating earnings per common share were $247 million and $1.82, respectively, in the second quarter of 2012. For the first nine months of 2012, net operating income and diluted net operating earnings per common share were $768 million and $5.64, respectively, compared with $716 million and $5.36 in the similar period of 2011.</w:t>
      </w:r>
    </w:p>
    <w:p>
      <w:pPr>
        <w:spacing w:after="0" w:line="143"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Net operating income in the recent quarter expressed as an annualized rate of return on average tangible assets was 1.56%, compared with 1.14% in the year-earlier quarter and 1.30% in the second quarter of 2012. Net operating income expressed as an annualized return on average tangible common equity was</w:t>
      </w:r>
    </w:p>
    <w:p>
      <w:pPr>
        <w:jc w:val="both"/>
        <w:ind w:right="20"/>
        <w:spacing w:after="0" w:line="255" w:lineRule="auto"/>
        <w:rPr>
          <w:sz w:val="20"/>
          <w:szCs w:val="20"/>
          <w:color w:val="auto"/>
        </w:rPr>
      </w:pPr>
      <w:r>
        <w:rPr>
          <w:rFonts w:ascii="Arial" w:cs="Arial" w:eastAsia="Arial" w:hAnsi="Arial"/>
          <w:sz w:val="18"/>
          <w:szCs w:val="18"/>
          <w:color w:val="auto"/>
        </w:rPr>
        <w:t>21.53% in the recently completed quarter, compared with 16.07% in the third quarter of 2011 and 18.54% in 2012’s second quarter. For the first three quarters of 2012, net operating income represented an annualized return on average tangible assets and average tangible common shareholders’ equity of 1.35% and 19.03%, respectively, compared with 1.39% and 20.03%, respectively, in the corresponding 2011 period.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Taxable-equivalent net interest income rose 7% to $669 million in the third quarter of 2012 from $623 million in the year-earlier quarter. That improvement was predominantly the result of a $3.4 billion, or 5%, rise in average earning assets and a 9 basis point (hundredths of one percent) widening of the Company’s net interest margin, or taxable-equivalent net interest income expressed as an annualized percentage of average earning assets. Taxable-equivalent net interest income in the recent quarter was 2% above the $655 million recorded in the second quarter of 2012, reflecting a $212 million increase in average earning assets and a 3 basis point expansion of the net interest margin.</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the first nine months of 2012, taxable-equivalent net interest income was $1.95 billion, up 9% from $1.79 billion in the similar period of 2011. That increase was largely attributable to higher average earning assets, which rose $6.4 billion or 10% to $69.8 billion from $63.4 billion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the first nine months of 2011. Contributing to the growth in average earning assets were earning assets obtained in the acquisition of Wilmington Trust on May 16, 2011, higher balances of commercial loans and commercial real estate loans due to increased demand for such loans, and higher residential real estate loan balances resulting from the Company’s decision to retain more of such loans rather than selling them. Partially offsetting the improvement in net interest income resulting from higher average balances of earning assets was a 5 basis point narrowing of the Company’s net interest margin, reflecting the effect of declining interest rates on yields earned on loans, partially offset by lower rates paid on deposits. Resulting from an improvement in estimated cash flows associated with acquired loans, taxable-equivalent net interest income was increased by approximately $15 million and $14 million during the third and second quarters of 2012, respectively. Stabilizing economic conditions and better than expected repayments resulted in an approximate $140 million transfer from the nonaccretable balance to the accretable yield in 2012’s second quarter, which is being recognized as interest income over the remaining terms of the acquired loans.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Average loans and leases rose $5.3 billion, or 9%, to $63.5 billion in the recent quarter from $58.2 billion in the third quarter of 2011. Commercial loans and leases averaged $16.5 billion in the third quarter of 2012, up $1.5 billion or 10% from $15.0 billion in the year-earlier quarter. Average commercial real estate loans rose to $25.0 billion in the recent quarter, up $1.0 billion or 4% from $24.0 billion in the third quarter of 2011. The growth in commercial loans and commercial real estate loans reflects higher loan demand by customers. Average residential real estate loans outstanding increased $3.3 billion or 47% to $10.3 billion in the recently completed quarter from $7.0 billion in the third quarter of 2011. Included in that portfolio were loans held for sale, which averaged $549 million in the third quarter of 2012, compared with $250 million in the year-earlier quarter. Excluding loans held for sale, average residential real estate loans rose $3.0 billion from the third quarter of 2011 to the third quarter of 2012. That growth was largely due to the Company’s decision during the third quarter of 2011 to retain for portfolio a higher proportion of originated loans rather than selling them. Consumer loans averaged $11.7 billion in the recent quarter, $540 million or 4% below 2011’s third quarter average of $12.2 billion. That decline was largely due to lower average balances of automobile loans and home equity loans and lines of credit outside of the Company’s footprint, as the Company has decided it does not want to pursue growth in such portfolios.</w:t>
      </w:r>
    </w:p>
    <w:p>
      <w:pPr>
        <w:spacing w:after="0" w:line="12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Average loan balances in the recent quarter rose $1.6 billion, or 3%, from the second quarter of 2012. Reflecting increased loan demand and, in the case of residential real estate loans, increased retention of originated loans for portfolio, average outstanding commercial loan and lease balances increased $400 million, or 2%, commercial real estate loan average balances rose $257 million, or 1%, and average residential real estate loans were up $1.1 billion, or 12%. Average outstanding consumer loans declined $109 million, or 1%, from 2012’s second quarter. The accompanying table summarizes quarterly changes in the major components of the loan and lease portfolio.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3rd Qtr.</w:t>
            </w: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w w:val="88"/>
              </w:rPr>
              <w:t>3rd Qtr.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2"/>
              </w:rPr>
              <w:t>2nd Qtr.</w:t>
            </w:r>
          </w:p>
        </w:tc>
        <w:tc>
          <w:tcPr>
            <w:tcW w:w="0" w:type="dxa"/>
            <w:vAlign w:val="bottom"/>
          </w:tcPr>
          <w:p>
            <w:pPr>
              <w:spacing w:after="0"/>
              <w:rPr>
                <w:sz w:val="1"/>
                <w:szCs w:val="1"/>
                <w:color w:val="auto"/>
              </w:rPr>
            </w:pPr>
          </w:p>
        </w:tc>
      </w:tr>
      <w:tr>
        <w:trPr>
          <w:trHeight w:val="159"/>
        </w:trPr>
        <w:tc>
          <w:tcPr>
            <w:tcW w:w="6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86"/>
              <w:spacing w:after="0" w:line="159" w:lineRule="exact"/>
              <w:rPr>
                <w:sz w:val="20"/>
                <w:szCs w:val="20"/>
                <w:color w:val="auto"/>
              </w:rPr>
            </w:pPr>
            <w:r>
              <w:rPr>
                <w:rFonts w:ascii="Arial" w:cs="Arial" w:eastAsia="Arial" w:hAnsi="Arial"/>
                <w:sz w:val="14"/>
                <w:szCs w:val="14"/>
                <w:color w:val="auto"/>
              </w:rPr>
              <w:t>2012</w:t>
            </w:r>
          </w:p>
        </w:tc>
        <w:tc>
          <w:tcPr>
            <w:tcW w:w="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2011</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2"/>
              </w:rPr>
              <w:t>2012 .</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$16,504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24,995</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10,296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2,520</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Home equity lines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5,914</w:t>
            </w:r>
          </w:p>
        </w:tc>
        <w:tc>
          <w:tcPr>
            <w:tcW w:w="56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loans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2,689</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consumer</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11,660</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63,455</w:t>
            </w:r>
          </w:p>
        </w:tc>
        <w:tc>
          <w:tcPr>
            <w:tcW w:w="5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first nine months of 2012, average loans and leases aggregated $61.9 billion, up $6.7 billion or 12% from $55.2 billion in the corresponding 2011 period. That growth was due, in part, to loans obtained from Wilmington Trust, which totaled $6.4 billion on the May 16, 2011 acquisition date, increased demand for commercial loans and commercial real estate loans, and the retention of residential real estate loans for portfolio, rather than selling them.</w:t>
      </w:r>
    </w:p>
    <w:p>
      <w:pPr>
        <w:spacing w:after="0" w:line="10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investment securities portfolio averaged $6.8 billion in the recent quarter, down $195 million or 3% from $7.0 billion in the third quarter of 2011. The decline from the year-earlier quarter reflects the impact of maturities and paydowns of mortgage-backed securities, partially offset by purchases of residential mortgage-backed securities guaranteed by Freddie Mac of $250 million during the second quarter of 2012. Average investment securities balances in the third quarter of 2012 declined $460 million from the immediately preceding quarter, due predominantly to the impact of maturities and paydowns of mortgage-backed securities. For the first nine months of 2012 and 2011, average investment securities were $7.2 billion and $6.9 billion, respectively. The Wilmington Trust acquisition added approximately $510 million to the investment securities portfolio on the May 16, 2011 acquisition date. The investment securities portfolio is largely comprised of residential mortgage-backed securities and collateralized mortgage obligations (“CMOs”),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During the first and second quarters of 2011, the Company sold certain residential mortgage-backed securities guaranteed by Fannie Mae and Freddie Mac, collateralized debt obligations and capital preferred securities, all held in the available-for-sale portfolio, with an amortized cost of $1.7 billion. The Company sold the securities in connection with the acquisition of Wilmington Trust in order to manage its balance sheet size and composition and resultant capital ratios. A second quarter 2011 purchase of $1.2 billion of residential mortgage-backed securities guaranteed by the Government National Mortgage Association (“Ginnie Mae”) provided a replenishment of the investment securities portfolio at an improved risk-weighting. In the third quarter of 2011, the Company purchased $900 million of residential mortgage-backed securities guaranteed by Fannie Mae.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regularly reviews its investment securities for declines in value below amortized cost that might be characterized as “other than temporary.” Other-than-temporary impairment charges recognized during the quarters ended September 30, 2012, September 30, 2011 and June 30, 2012 totaled $6 million, $10 million and $16 million, respectively. Such impairment charges related to certain privately issued CMOs backed by residential and commercial real estate loans. Persistently high unemployment, depressed real estate values and the resulting increased loan delinquencies and foreclosures were significant factors contributing to the recognition of the other-than-temporary impairment charges related to the CMOs. A further discussion of fair values of investment securities is included herein under the heading “Capital.” Additional information about the investment securities portfolio is included in notes 3 and 12 of Notes to Financial Statements.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earning assets include interest-earning deposits at the Federal Reserve Bank of New York and other banks, trading account assets, federal funds sold and agreements to resell securities. Those other earning assets in the aggregate averaged $397 million, $2.0 billion and $1.4 billion for the quarters ended September 30, 2012, September 30, 2011 and June 30, 2012, respectively. Interest-bearing deposits at banks averaged $298 million in the recent quarter, compared with $1.9 billion in the third quarter of 2011 and $1.2 billion in 2012’s second quarter. For the nine-month periods ended September 30, 2012 and 2011, average balances of other earning assets were $715 million and $1.3 billion, respectively, including $614 million and $933 million, respectively, of interest-bearing deposits at banks. The decline in average interest-bearing deposits at banks in the third quarter of 2012 and nine-month period ended September 30, 2012 as compared with the earlier periods was due to lower balances on deposit at the Federal Reserve Bank of New York.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 result of the changes described herein, average earning assets aggregated $70.7 billion in the third quarter of 2012, compared with $67.2 billion in the year-earlier quarter and $70.4 billion in the second quarter of 2012. Average earning assets totaled $69.8 billion and $63.4 billion during the nine-month periods ended September 30, 2012 and 2011, respectively.</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most significant source of funding for the Company is core deposits. The Company considered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Certificates of deposit of $250,000 or less generated on a nationwide basis by Wilmington Trust, National Association (“Wilmington Trust, N.A.”), a wholly owned bank subsidiary of M&amp;T that was formerly named M&amp;T Bank, National Association, are also included in core deposits. Average core deposits totaled $60.0 billion in the third quarter of 2012, compared with $54.5 billion in the year-earlier quarter and $58.7 billion in the second quarter of 2012. The growth in core deposits since the third quarter of 2011 was due, in part, to the lack of attractive alternative investments available to the Company’s customers resulting from lower interest rates and from the economic environment in the U.S. and higher balances held on behalf of trust customers.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 For the nine-month periods ended September 30, 2012 and 2011, core deposits averaged $58.3 billion and $50.4 billion,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r>
      <w:tr>
        <w:trPr>
          <w:trHeight w:val="149"/>
        </w:trPr>
        <w:tc>
          <w:tcPr>
            <w:tcW w:w="6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gridSpan w:val="4"/>
          </w:tcPr>
          <w:p>
            <w:pPr>
              <w:jc w:val="right"/>
              <w:ind w:right="560"/>
              <w:spacing w:after="0" w:line="149" w:lineRule="exact"/>
              <w:rPr>
                <w:sz w:val="20"/>
                <w:szCs w:val="20"/>
                <w:color w:val="auto"/>
              </w:rPr>
            </w:pPr>
            <w:r>
              <w:rPr>
                <w:rFonts w:ascii="Arial" w:cs="Arial" w:eastAsia="Arial" w:hAnsi="Arial"/>
                <w:sz w:val="14"/>
                <w:szCs w:val="14"/>
                <w:color w:val="auto"/>
              </w:rPr>
              <w:t>(decrease) from</w:t>
            </w:r>
          </w:p>
        </w:tc>
      </w:tr>
      <w:tr>
        <w:trPr>
          <w:trHeight w:val="149"/>
        </w:trPr>
        <w:tc>
          <w:tcPr>
            <w:tcW w:w="66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3rd Qtr.</w:t>
            </w:r>
          </w:p>
        </w:tc>
        <w:tc>
          <w:tcPr>
            <w:tcW w:w="580" w:type="dxa"/>
            <w:vAlign w:val="bottom"/>
          </w:tcPr>
          <w:p>
            <w:pPr>
              <w:spacing w:after="0"/>
              <w:rPr>
                <w:sz w:val="12"/>
                <w:szCs w:val="12"/>
                <w:color w:val="auto"/>
              </w:rPr>
            </w:pPr>
          </w:p>
        </w:tc>
        <w:tc>
          <w:tcPr>
            <w:tcW w:w="11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8"/>
              </w:rPr>
              <w:t>3rd Qtr.</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2"/>
              </w:rPr>
              <w:t>2nd Qtr.</w:t>
            </w:r>
          </w:p>
        </w:tc>
      </w:tr>
      <w:tr>
        <w:trPr>
          <w:trHeight w:val="159"/>
        </w:trPr>
        <w:tc>
          <w:tcPr>
            <w:tcW w:w="66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rPr>
              <w:t>2012</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4"/>
              <w:spacing w:after="0" w:line="159"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2"/>
              </w:rPr>
              <w:t>2012 .</w:t>
            </w:r>
          </w:p>
        </w:tc>
        <w:tc>
          <w:tcPr>
            <w:tcW w:w="20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32,318</w:t>
            </w:r>
          </w:p>
        </w:tc>
        <w:tc>
          <w:tcPr>
            <w:tcW w:w="1700" w:type="dxa"/>
            <w:vAlign w:val="bottom"/>
            <w:gridSpan w:val="3"/>
          </w:tcPr>
          <w:p>
            <w:pPr>
              <w:jc w:val="right"/>
              <w:ind w:right="70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22,704</w:t>
            </w:r>
          </w:p>
        </w:tc>
        <w:tc>
          <w:tcPr>
            <w:tcW w:w="58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7"/>
        </w:trPr>
        <w:tc>
          <w:tcPr>
            <w:tcW w:w="6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59,982</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6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$375 million in the third quarter of 2012, compared with $499 million and $419 million in the third quarter of 2011 and the second quarter of 2012, respectively. Cayman Islands office deposits averaged $702 million, $614 million and $457 million for the three-month periods ended September 30, 2012, September 30, 2011 and June 30, 2012, respectively. Brokered time deposits averaged $680 million in the recent quarter, compared with $1.6 billion in the third quarter of 2011 and $808 million in the second quarter of 2012. The Company also had brokered NOW and brokered money-market deposit accounts, which in the aggregate averaged $1.0 billion during the recently completed quarter, compared with $1.3 billion and $1.1 billion during the corresponding quarter of 2011 and the second quarter of 2012, respectively. The levels of brokered NOW and brokered money-market deposit accounts reflect the demand for such deposits, largely resulting from continued uncertain economic markets and the desire of brokerage firms to earn reasonable yields while ensuring that customer deposits are fully insured. The level of Cayman Islands office deposits and brokered deposits are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also uses borrowings from banks, securities dealers, various Federal Home Loan Banks, the Federal Reserve Bank and others as sources of funding. Short-term borrowings averaged $976 million in the recent quarter, compared with $592 million in the third quarter of 2011 and $875 million in the second quarter of 2012. Included in average short-term borrowings were unsecured federal funds borrowings, which generally mature on the next business day, that averaged $808 million in the third quarter of 2012, $309 million in the year-earlier quarter and $716 million in the second quarter of 2012. Overnight federal funds borrowings represented the largest component of short-term borrowings and totaled $437 million at September 30, 2012, $365 million at September 30, 2011 and $590 million at December 31, 2011.</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Long-term borrowings averaged $5.0 billion in the recent quarter, compared with $6.8 billion in the third quarter of 2011 and $6.1 billion in the second quarter of 2012. Included in average long-term borrowings were amounts borrowed from the Federal Home Loan Bank (“FHLB”) of New York, the FHLB of Atlanta and the FHLB of Pittsburgh of $559 million in the third quarter of 2012, $1.5 billion in the year-earlier quarter and $1.1 billion in 2012’s second quarter, and subordinated capital notes of $1.8 billion in the recent quarter, compared with $2.2 billion in each of the third quarter of 2011 and the second quarter of 2012. On July 2, 2012, the Company redeemed $400 million of subordinated capital notes of M&amp;T Bank that were due to mature in 2013, as such notes ceased to qualify as regulatory capital during the one-year period before their contractual maturity date. The Company has utilized interest rate swap agreements to modify the repricing characteristics of certain components of long-term debt. As of September 30, 2012 swap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September 30, 2012, September 30, 2011 and June 30, 2012. Additional information regarding junior subordinated debentures is provided in note 5 of Notes to Financial Statements. Also included in long-term borrowings were agreements to repurchase securities, which averaged $1.4 billion during each of the two most recent quarters, compared with $1.6 billion in the third quarter of 2011. The agreements have various repurchase dates through 2017, however, the contractual maturities of the underlying securities extend beyond such repurchase dates.</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3.52% in the third quarter of 2012, compared with 3.43% in the third quarter of 2011 and 3.49% in the second quarter of 2012. The yield on earning assets during the recent quarter was 4.23%, down 6 basis points from 4.29% in the year-earlier quarter, while the rate paid on interest-bearing liabilities declined 15 basis points to .71% from .86%. In the second quarter of 2012, the yield on earning assets was 4.25% and the rate paid on interest-bearing liabilities was .76%. For the first nine months of 2012, the net interest spread was 3.48%, down 5 basis points from the year-earlier period. The yield on earning assets and the rate paid on interest-bearing liabilities for the nine-month period ended September 30, 2012 were 4.24% and .76%, respectively, compared with 4.42% and .89%, respectively, in the corresponding 2011 period.</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$24.6 billion in the recent quarter, compared with $19.5 billion in the third quarter of 2011 and $23.3 billion in the second quarter of 2012. The rise in average net interest-free funds in the two most recent quarters as compared with the third quarter of 2011 was largely the result of higher average balances of noninterest-bearing deposits, including balances on deposit for trust customers. Noninterest-bearing deposits averaged $22.7 billion, $18.2 billion and $21.4 billion in the quarters ended September 30, 2012, September 30, 2011 and June 30, 2012, respectively. During the first nine months of 2012 and 2011, average net interest-free funds were $23.1 billion and $17.5 billion, respectively. Goodwill and core deposit and other intangible assets averaged $3.7 billion during each of the three quarters noted in this paragraph. The cash surrender value of bank owned life insurance averaged $1.6 billion during each of the two most recent quarters, compared with $1.5 billion in the third quarter of 2011. Increases in the cash surrender value of bank owned life insurance are not included in interest income, but rather are recorded in “other revenues from operations.” The contribution of net interest-free funds to net interest margin was .25% in each of the third quarter of 2012, the year-earlier quarter and the second quarter of 2012. That contribution for each of the first nine months of 2012 and 2011 was also .25%.</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Reflecting the changes to the net interest spread and the contribution of interest-free funds as described herein, the Company’s net interest margin was 3.77% in the recent quarter, compared with 3.68% in the third quarter of 2011 and 3.74% in the second quarter of 2012. During the nine-month periods ended September 30, 2012 and 2011, the net interest margin was 3.73% and 3.78%, respectively. Future changes in market interest rates or spreads, as well as changes in the composition of the Company’s portfolios of earning assets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interest-bearing liabilities that result in reductions in spreads, could adversely impact the Company’s net interest income and net interest margin.</w:t>
      </w:r>
    </w:p>
    <w:p>
      <w:pPr>
        <w:spacing w:after="0" w:line="19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September 30, 2012, September 30, 2011, December 31, 2011 and June 30, 2012.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September 30, 2012 and 2011 and the quarter ended June 30, 2012 were not material to the Company’s results of operations. The estimated aggregate fair value of interest rate swap agreements designated as fair value hedges represented gains of approximately $153 million at September 30, 2012, $149 million at September 30, 2011, $147 million at December 31, 2011 and $150 million at June 30, 2012.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September 30, 2012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$77 million of collateral with the Company.</w:t>
      </w:r>
    </w:p>
    <w:p>
      <w:pPr>
        <w:spacing w:after="0" w:line="12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weighted-average rates to be received and paid under interest rate swap agreements currently in effect were 6.07% and 1.96%, respectively, at September 30, 2012. The average notional amounts of interest rate swap agreements entered into for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color w:val="auto"/>
                <w:w w:val="94"/>
              </w:rPr>
              <w:t>Three months ended 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92"/>
              <w:spacing w:after="0" w:line="142" w:lineRule="exact"/>
              <w:rPr>
                <w:sz w:val="20"/>
                <w:szCs w:val="20"/>
                <w:color w:val="auto"/>
              </w:rPr>
            </w:pPr>
            <w:r>
              <w:rPr>
                <w:rFonts w:ascii="Arial" w:cs="Arial" w:eastAsia="Arial" w:hAnsi="Arial"/>
                <w:sz w:val="14"/>
                <w:szCs w:val="14"/>
                <w:color w:val="auto"/>
                <w:w w:val="91"/>
              </w:rPr>
              <w:t>Amount</w:t>
            </w:r>
          </w:p>
        </w:tc>
        <w:tc>
          <w:tcPr>
            <w:tcW w:w="24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(9,077)</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(9,485)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9,077</w:t>
            </w:r>
          </w:p>
        </w:tc>
        <w:tc>
          <w:tcPr>
            <w:tcW w:w="24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9,485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color w:val="auto"/>
                <w:w w:val="85"/>
              </w:rPr>
              <w:t>Nine months ended September 30</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92"/>
              <w:spacing w:after="0" w:line="142" w:lineRule="exact"/>
              <w:rPr>
                <w:sz w:val="20"/>
                <w:szCs w:val="20"/>
                <w:color w:val="auto"/>
              </w:rPr>
            </w:pPr>
            <w:r>
              <w:rPr>
                <w:rFonts w:ascii="Arial" w:cs="Arial" w:eastAsia="Arial" w:hAnsi="Arial"/>
                <w:sz w:val="14"/>
                <w:szCs w:val="14"/>
                <w:color w:val="auto"/>
                <w:w w:val="91"/>
              </w:rPr>
              <w:t>Amount</w:t>
            </w:r>
          </w:p>
        </w:tc>
        <w:tc>
          <w:tcPr>
            <w:tcW w:w="24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2"/>
              </w:rPr>
              <w:t>(27,135)</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(28,490)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27,135</w:t>
            </w:r>
          </w:p>
        </w:tc>
        <w:tc>
          <w:tcPr>
            <w:tcW w:w="240" w:type="dxa"/>
            <w:vAlign w:val="bottom"/>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28,490</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totaled $437 million, $365 million and $590 million at September 30, 2012, September 30, 2011 and December 31, 2011, respectively. In general, those borrowings were unsecured and matured on the following business day. Similar to short-term borrowings, Cayman Islands office deposits and brokered certificates of deposit have provided a source of funding to the Company. Cayman Islands office deposits also generally mature on the next business day and totaled $1.4 billion at September 30, 2012, $515 million at September 30, 2011 and $356 million at December 31, 2011. Outstanding brokered time deposits at September 30, 2012, September 30, 2011 and December 31, 2011 were $625 million, $1.4 billion and $1.0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billion, respectively. At September 30, 2012, the weighted-average remaining term to maturity of brokered time deposits was 9 months. Certain of these brokered time deposits have provisions that allow for early redemption. The Company also has brokered NOW and brokered money-market deposit accounts which aggregated $1.1 billion at each of September 30, 2012 and December 31, 2011, and $1.2 billion at September 30, 2011.</w:t>
      </w:r>
    </w:p>
    <w:p>
      <w:pPr>
        <w:spacing w:after="0" w:line="107"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$10 million and $52 million at September 30, 2012 and 2011, respectively, and $40 million at December 31, 2011. The total amount of VRDBs outstanding backed by M&amp;T Bank letters of credit was $1.9 billion at each of September 30, 2012, September 30, 2011 and December 31, 2011. M&amp;T Bank also serves as remarketing agent for most of those bonds.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dividends from its banking subsidiaries, which are subject to various regulatory limitations. Dividends from any banking subsidiary to M&amp;T are limited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earnings of the banking subsidiary in the current year and the two preceding years. For purposes of that test, at September 30, 2012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$784 million was available for payment of dividends to M&amp;T from banking subsidiaries. These historic sources of cash flow have been augmented in the past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issuance of trust preferred securities and senior notes payable. Information regarding trust preferred securities and the related junior subordinated debentures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 included in note 5 of Notes to Financial Statements. The $300 million of 5.375% senior notes of M&amp;T that were issued in 2007 matured and were repaid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2012. M&amp;T also maintains a $30 million line of credit with an unaffiliated commercial bank, of which there were no borrowings outstanding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or December 31,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Market risk is the risk of loss from adverse changes in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2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accompanying table as of September 30, 2012 and December 31, 2011 displays the estimated impact on net interest income from non-trading financial instruments in the base scenario described above resulting from parallel changes in interest rates across repricing categories during the first modeling year.</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tbl>
      <w:tblPr>
        <w:tblLayout w:type="fixed"/>
        <w:tblInd w:w="138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60" w:type="dxa"/>
            <w:vAlign w:val="bottom"/>
            <w:gridSpan w:val="5"/>
          </w:tcPr>
          <w:p>
            <w:pPr>
              <w:jc w:val="right"/>
              <w:ind w:right="820"/>
              <w:spacing w:after="0" w:line="149" w:lineRule="exact"/>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right"/>
              <w:ind w:right="80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6"/>
        </w:trPr>
        <w:tc>
          <w:tcPr>
            <w:tcW w:w="1420" w:type="dxa"/>
            <w:vAlign w:val="bottom"/>
            <w:tcBorders>
              <w:bottom w:val="single" w:sz="8" w:color="auto"/>
            </w:tcBorders>
            <w:vMerge w:val="continue"/>
          </w:tcPr>
          <w:p>
            <w:pPr>
              <w:spacing w:after="0"/>
              <w:rPr>
                <w:sz w:val="14"/>
                <w:szCs w:val="14"/>
                <w:color w:val="auto"/>
              </w:rPr>
            </w:pPr>
          </w:p>
        </w:tc>
        <w:tc>
          <w:tcPr>
            <w:tcW w:w="5660" w:type="dxa"/>
            <w:vAlign w:val="bottom"/>
            <w:gridSpan w:val="4"/>
          </w:tcPr>
          <w:p>
            <w:pPr>
              <w:ind w:left="4100"/>
              <w:spacing w:after="0" w:line="146" w:lineRule="exact"/>
              <w:rPr>
                <w:sz w:val="20"/>
                <w:szCs w:val="20"/>
                <w:color w:val="auto"/>
              </w:rPr>
            </w:pPr>
            <w:r>
              <w:rPr>
                <w:rFonts w:ascii="Arial" w:cs="Arial" w:eastAsia="Arial" w:hAnsi="Arial"/>
                <w:sz w:val="14"/>
                <w:szCs w:val="14"/>
                <w:color w:val="auto"/>
              </w:rPr>
              <w:t>September 30, 2012</w:t>
            </w:r>
          </w:p>
        </w:tc>
        <w:tc>
          <w:tcPr>
            <w:tcW w:w="1600" w:type="dxa"/>
            <w:vAlign w:val="bottom"/>
            <w:gridSpan w:val="3"/>
          </w:tcPr>
          <w:p>
            <w:pPr>
              <w:jc w:val="right"/>
              <w:ind w:right="120"/>
              <w:spacing w:after="0" w:line="146" w:lineRule="exact"/>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+200 basis points</w:t>
            </w:r>
          </w:p>
        </w:tc>
        <w:tc>
          <w:tcPr>
            <w:tcW w:w="4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191,035</w:t>
            </w: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117,826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4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98,238</w:t>
            </w:r>
          </w:p>
        </w:tc>
        <w:tc>
          <w:tcPr>
            <w:tcW w:w="4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4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(57,285)</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(62,055)</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(76,257)</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(83,369)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change in interest rate sensitivity to rising rates reflects a higher percentage of funding coming from core deposits, including noninterest-bearing deposits, a greater mix of variable rate commercial loans, and updated projected deposit pricing assumptions. Partially offsetting those changes was the growth in fixed rate residential real estate loans.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notional amounts of interest rate contracts entered into for trading purposes totaled $15.1 billion at September 30, 2012, compared with $13.6 billion at September 30, 2011 and $13.9 billion at December 31, 2011. The notional amounts of foreign currency and other option and futures contracts entered into for trading purposes were $1.2 billion, $1.3 billion and $1.4 billion at September 30, 2012, September 30, 2011 and December 31, 2011,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were $527 million and $424 million, respectively, at September 30, 2012, $606 million and $458 million, respectively, at September 30, 2011, and $562 million and $435 million, respectively, at December 31, 2011. Included in trading account assets at September 30, 2012 were $36 million of assets related to deferred compensation plans, compared with $34 million at each of September 30, 2011 and December 31, 2011, respectively. Changes in the fair value of such assets are recorded as “trading account and foreign exchange gains” in the consolidated statement of income. Included in “other liabilities” in the consolidated balance sheet at September 30, 2012 were $31 million of liabilities related to deferred compensation plans, while at each of September 30, 2011 and December 31, 2011, such liabilities related to deferred compensation plans totaled $32 million. Changes in the balances of such liabilities due to the valuation of allocated investment options to which the liabilities are indexed are recorded in “other costs of operations” in the consolidated statement of income.</w:t>
      </w:r>
    </w:p>
    <w:p>
      <w:pPr>
        <w:spacing w:after="0" w:line="124"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third quarter of 2012 was $46 million, compared with $58 million in the year-earlier quarter and $60 million in the second quarter of 2012. For the nine-month periods ended September 30, 2012 and 2011, the provision for credit losses was $155 million and $196 million, respectively. While the Company has experienced improvement in its credit quality metrics during the past two years, generally depressed real estate valuations and higher than normal levels of delinquencies and charge-offs have significantly affected the quality of the Company’s residential real estate-related loan portfolios. Specifically, the Company’s alternative (“Alt-A”) residential real estate loan portfolio and its residential real estate builder and developer loan portfolio experienced the majority of the credit problems related to the turmoil in the residential real estate market place.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increased levels of commercial loan and consumer loan charge-offs over the past three years due to, among other things, higher unemployment levels and the recessionary economy.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loan charge-offs were $42 million in the recent quarter, compared with $57 million in the third quarter of 2011 and $52 million in the second quarter of 2012. Net charge-offs as an annualized percentage of average loans and leases were .26% in the third quarter of 2012, compared with .39% and .34% in the third quarter of 2011 and the second quarter of 2012, respectively. Net charge-offs for the nine-month periods ended September 30 totaled $142 million in 2012 and $190 million in 2011, representing an annualized .31% and .46% of average loans and leases. A summary of net charge–offs by loan type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color w:val="auto"/>
                <w:w w:val="89"/>
              </w:rPr>
              <w:t>2012</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r>
      <w:tr>
        <w:trPr>
          <w:trHeight w:val="159"/>
        </w:trPr>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1st Qtr.</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0"/>
              </w:rPr>
              <w:t>2nd Qtr.</w:t>
            </w:r>
          </w:p>
        </w:tc>
        <w:tc>
          <w:tcPr>
            <w:tcW w:w="300" w:type="dxa"/>
            <w:vAlign w:val="bottom"/>
          </w:tcPr>
          <w:p>
            <w:pPr>
              <w:spacing w:after="0"/>
              <w:rPr>
                <w:sz w:val="13"/>
                <w:szCs w:val="13"/>
                <w:color w:val="auto"/>
              </w:rPr>
            </w:pPr>
          </w:p>
        </w:tc>
        <w:tc>
          <w:tcPr>
            <w:tcW w:w="8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3rd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13,648</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11,724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10,844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9,619</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7,548</w:t>
            </w:r>
          </w:p>
        </w:tc>
        <w:tc>
          <w:tcPr>
            <w:tcW w:w="620" w:type="dxa"/>
            <w:vAlign w:val="bottom"/>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16,987</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19,996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60,730</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48,284</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51,978</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41,805</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142,067</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7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color w:val="auto"/>
                <w:w w:val="89"/>
              </w:rPr>
              <w:t>2011</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7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r>
      <w:tr>
        <w:trPr>
          <w:trHeight w:val="159"/>
        </w:trPr>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1st Qtr.</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90"/>
              </w:rPr>
              <w:t>2nd Qtr.</w:t>
            </w:r>
          </w:p>
        </w:tc>
        <w:tc>
          <w:tcPr>
            <w:tcW w:w="300" w:type="dxa"/>
            <w:vAlign w:val="bottom"/>
          </w:tcPr>
          <w:p>
            <w:pPr>
              <w:spacing w:after="0"/>
              <w:rPr>
                <w:sz w:val="13"/>
                <w:szCs w:val="13"/>
                <w:color w:val="auto"/>
              </w:rPr>
            </w:pPr>
          </w:p>
        </w:tc>
        <w:tc>
          <w:tcPr>
            <w:tcW w:w="8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3rd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210"/>
        </w:trPr>
        <w:tc>
          <w:tcPr>
            <w:tcW w:w="7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11,862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12,650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24,230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12,731</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14,666</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13,839</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10,385</w:t>
            </w:r>
          </w:p>
        </w:tc>
        <w:tc>
          <w:tcPr>
            <w:tcW w:w="620" w:type="dxa"/>
            <w:vAlign w:val="bottom"/>
          </w:tcPr>
          <w:p>
            <w:pPr>
              <w:jc w:val="right"/>
              <w:spacing w:after="0"/>
              <w:rPr>
                <w:sz w:val="20"/>
                <w:szCs w:val="20"/>
                <w:color w:val="auto"/>
              </w:rPr>
            </w:pPr>
            <w:r>
              <w:rPr>
                <w:rFonts w:ascii="Arial" w:cs="Arial" w:eastAsia="Arial" w:hAnsi="Arial"/>
                <w:sz w:val="18"/>
                <w:szCs w:val="18"/>
                <w:color w:val="auto"/>
              </w:rPr>
              <w:t>38,890</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23,480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19,894</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24,346</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67,720</w:t>
            </w:r>
          </w:p>
        </w:tc>
        <w:tc>
          <w:tcPr>
            <w:tcW w:w="100" w:type="dxa"/>
            <w:vAlign w:val="bottom"/>
            <w:shd w:val="clear" w:color="auto" w:fill="CCEEFF"/>
          </w:tcPr>
          <w:p>
            <w:pPr>
              <w:spacing w:after="0"/>
              <w:rPr>
                <w:sz w:val="18"/>
                <w:szCs w:val="18"/>
                <w:color w:val="auto"/>
              </w:rPr>
            </w:pPr>
          </w:p>
        </w:tc>
      </w:tr>
      <w:tr>
        <w:trPr>
          <w:trHeight w:val="222"/>
        </w:trPr>
        <w:tc>
          <w:tcPr>
            <w:tcW w:w="722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74,238</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59,114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57,064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190,416</w:t>
            </w:r>
          </w:p>
        </w:tc>
        <w:tc>
          <w:tcPr>
            <w:tcW w:w="10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Included in net charge-offs of commercial real estate loans were net charge-offs of loans to residential homebuilders and developers of $1 million and $5 million for the quarters ended September 30, 2012 and 2011, respectively, and $11 million in the second quarter of 2012. Net charge-offs of residential real estate loans included net charge-offs of Alt-A first mortgage loans of $5 million in the two most recent quarters and $7 million in the third quarter of 2011. Included in net charge-offs of consumer loans and leases were net charge-offs during the quarters ended September 30, 2012, September 30, 2011 and June 30, 2012, respectively, of: indirect automobile loans of $3 million, $5 million and $2 million; recreational vehicle loans of $4 million, $5 million and $4 million; and home equity loans and lines of credit, including Alt-A second lien loans, of $7 million, $10 million and $7 million. Including both first and second lien mortgages, net charge-offs of Alt-A loans totaled $5 million and $8 million in the quarters ended September 30, 2012 and 2011, respectively, compared with $6 million in the second quarter of 2012.</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cash flows expected at acquisition over the estimated fair value is being recognized as interest income over the lives of loans. The difference between contractually required payments at acquisition and the cash flows expected to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be collected at acquisition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$6.4 billion, $8.7 billion, $8.2 billion and $7.1 billion at September 30, 2012, September 30, 2011, December 31, 2011 and June 30, 2012, respectively. The portion of the nonaccretable balance related to remaining principal losses as well as life-to-date principal losses charged against the nonaccretable balance as of September 30, 2012 and December 31, 2011 are presented in the accompanying table.</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color w:val="auto"/>
                <w:w w:val="93"/>
              </w:rPr>
              <w:t>Nonaccretable balance - principal</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4"/>
          </w:tcPr>
          <w:p>
            <w:pPr>
              <w:jc w:val="right"/>
              <w:ind w:right="1080"/>
              <w:spacing w:after="0" w:line="142" w:lineRule="exact"/>
              <w:rPr>
                <w:sz w:val="20"/>
                <w:szCs w:val="20"/>
                <w:color w:val="auto"/>
              </w:rPr>
            </w:pPr>
            <w:r>
              <w:rPr>
                <w:rFonts w:ascii="Arial" w:cs="Arial" w:eastAsia="Arial" w:hAnsi="Arial"/>
                <w:sz w:val="14"/>
                <w:szCs w:val="14"/>
                <w:color w:val="auto"/>
              </w:rPr>
              <w:t>Remaining balance</w:t>
            </w:r>
          </w:p>
        </w:tc>
        <w:tc>
          <w:tcPr>
            <w:tcW w:w="2100" w:type="dxa"/>
            <w:vAlign w:val="bottom"/>
            <w:gridSpan w:val="3"/>
          </w:tcPr>
          <w:p>
            <w:pPr>
              <w:jc w:val="right"/>
              <w:ind w:right="418"/>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31"/>
        </w:trPr>
        <w:tc>
          <w:tcPr>
            <w:tcW w:w="4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2"/>
              </w:rPr>
              <w:t>September 30,</w:t>
            </w:r>
          </w:p>
        </w:tc>
        <w:tc>
          <w:tcPr>
            <w:tcW w:w="5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560" w:type="dxa"/>
            <w:vAlign w:val="bottom"/>
          </w:tcPr>
          <w:p>
            <w:pPr>
              <w:spacing w:after="0"/>
              <w:rPr>
                <w:sz w:val="11"/>
                <w:szCs w:val="11"/>
                <w:color w:val="auto"/>
              </w:rPr>
            </w:pPr>
          </w:p>
        </w:tc>
        <w:tc>
          <w:tcPr>
            <w:tcW w:w="1340" w:type="dxa"/>
            <w:vAlign w:val="bottom"/>
            <w:tcBorders>
              <w:top w:val="single" w:sz="8" w:color="auto"/>
            </w:tcBorders>
            <w:gridSpan w:val="2"/>
          </w:tcPr>
          <w:p>
            <w:pPr>
              <w:jc w:val="right"/>
              <w:ind w:right="560"/>
              <w:spacing w:after="0" w:line="131" w:lineRule="exact"/>
              <w:rPr>
                <w:sz w:val="20"/>
                <w:szCs w:val="20"/>
                <w:color w:val="auto"/>
              </w:rPr>
            </w:pPr>
            <w:r>
              <w:rPr>
                <w:rFonts w:ascii="Arial" w:cs="Arial" w:eastAsia="Arial" w:hAnsi="Arial"/>
                <w:sz w:val="14"/>
                <w:szCs w:val="14"/>
                <w:color w:val="auto"/>
                <w:w w:val="82"/>
              </w:rPr>
              <w:t>September 30,</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4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2012</w:t>
            </w:r>
          </w:p>
        </w:tc>
        <w:tc>
          <w:tcPr>
            <w:tcW w:w="1320" w:type="dxa"/>
            <w:vAlign w:val="bottom"/>
            <w:tcBorders>
              <w:bottom w:val="single" w:sz="8" w:color="auto"/>
            </w:tcBorders>
            <w:gridSpan w:val="2"/>
          </w:tcPr>
          <w:p>
            <w:pPr>
              <w:jc w:val="right"/>
              <w:ind w:right="167"/>
              <w:spacing w:after="0" w:line="159" w:lineRule="exact"/>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8"/>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4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60" w:type="dxa"/>
            <w:vAlign w:val="bottom"/>
            <w:gridSpan w:val="4"/>
          </w:tcPr>
          <w:p>
            <w:pPr>
              <w:jc w:val="right"/>
              <w:ind w:right="124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68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46,878</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56,059</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62,079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55,086</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324,427</w:t>
            </w:r>
          </w:p>
        </w:tc>
        <w:tc>
          <w:tcPr>
            <w:tcW w:w="1880" w:type="dxa"/>
            <w:vAlign w:val="bottom"/>
            <w:gridSpan w:val="3"/>
          </w:tcPr>
          <w:p>
            <w:pPr>
              <w:jc w:val="right"/>
              <w:ind w:right="560"/>
              <w:spacing w:after="0"/>
              <w:rPr>
                <w:sz w:val="20"/>
                <w:szCs w:val="20"/>
                <w:color w:val="auto"/>
              </w:rPr>
            </w:pPr>
            <w:r>
              <w:rPr>
                <w:rFonts w:ascii="Arial" w:cs="Arial" w:eastAsia="Arial" w:hAnsi="Arial"/>
                <w:sz w:val="18"/>
                <w:szCs w:val="18"/>
                <w:color w:val="auto"/>
              </w:rPr>
              <w:t>470,788</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259,982</w:t>
            </w:r>
          </w:p>
        </w:tc>
        <w:tc>
          <w:tcPr>
            <w:tcW w:w="760" w:type="dxa"/>
            <w:vAlign w:val="bottom"/>
          </w:tcPr>
          <w:p>
            <w:pPr>
              <w:jc w:val="right"/>
              <w:spacing w:after="0"/>
              <w:rPr>
                <w:sz w:val="20"/>
                <w:szCs w:val="20"/>
                <w:color w:val="auto"/>
              </w:rPr>
            </w:pPr>
            <w:r>
              <w:rPr>
                <w:rFonts w:ascii="Arial" w:cs="Arial" w:eastAsia="Arial" w:hAnsi="Arial"/>
                <w:sz w:val="18"/>
                <w:szCs w:val="18"/>
                <w:color w:val="auto"/>
              </w:rPr>
              <w:t>208,770</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66,424</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42,498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29,983</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Consumer</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62,430</w:t>
            </w:r>
          </w:p>
        </w:tc>
        <w:tc>
          <w:tcPr>
            <w:tcW w:w="56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93,734</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58,511</w:t>
            </w:r>
          </w:p>
        </w:tc>
        <w:tc>
          <w:tcPr>
            <w:tcW w:w="760" w:type="dxa"/>
            <w:vAlign w:val="bottom"/>
          </w:tcPr>
          <w:p>
            <w:pPr>
              <w:jc w:val="right"/>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18"/>
                <w:szCs w:val="18"/>
                <w:color w:val="auto"/>
              </w:rPr>
            </w:pPr>
          </w:p>
        </w:tc>
      </w:tr>
      <w:tr>
        <w:trPr>
          <w:trHeight w:val="27"/>
        </w:trPr>
        <w:tc>
          <w:tcPr>
            <w:tcW w:w="4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476,760</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687,005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423,070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336,263</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regularly reviews its cash flow projections for acquired loans, including its estimates of lifetime principal losses. In general, based on stabilizing economic conditions and the Company’s success at restructuring several large acquired loans, the estimates of cash flows expected to be generated by acquired loans increased by approximately 1%, or $109 million, in the second quarter of 2012. That improvement reflected a lowering of estimated principal losses by approximately $122 million, largely driven by a $93 million decrease in expected principal losses in the acquired commercial real estate portfolios. The increases in projected cash flows, including both the $122 million of principal referred to above and interest payments related thereto, resulted in a $140 million transfer from the nonaccretable balance to the accretable yield.</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Nonaccrual loans totaled $925 million or 1.44% of total loans and leases outstanding at September 30, 2012, compared with $1.11 billion or 1.91% at September 30, 2011, $1.10 billion or 1.83% at December 31, 2011 and $968 million or 1.54% at June 30, 2012.</w:t>
      </w:r>
    </w:p>
    <w:p>
      <w:pPr>
        <w:spacing w:after="0" w:line="132"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Accruing loans past due 90 days or more (excluding acquired loans) were $309 million or .48% of total loans and leases at September 30, 2012, compared with $240 million or .41% a year earlier, $288 million or .48% at December 31, 2011 and $275 million or .44% at June 30, 2012. Those loans included loans guaranteed by government-related entities of $280 million, $210 million, $253 million and $255 million at September 30, 2012, September 30,</w:t>
      </w:r>
    </w:p>
    <w:p>
      <w:pPr>
        <w:spacing w:after="0" w:line="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2011, December 31, 2011 and June 30, 2012. Such guaranteed loans included one-to-four family residential mortgage loans serviced by the Company that were repurchased to reduce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$263 million, $205 million, $241 million and $242</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million at September 30, 2012, September 30, 2011, December 31, 2011 and June 30, 2012, respectively.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$528 million at September 30, 2012, or less than 1% of total loans. Of that amount, $494 million related to the Wilmington Trust acquisition. Purchased impaired loans totaled $653 million at December 31, 2011. The decline in such loans during the first nine months of 2012 was predominantly the result of payments recovered from customers.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Such loans totaled $161 million at September 30, 2012, compared with $212 million at September 30, 2011 and $164 million at December 31, 2011.</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$165 million, $133 million and $143 million at September 30, 2012, September 30, 2011 and December 31, 2011,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Commercial loans and leases classified as nonaccrual totaled $122 million at September 30, 2012, $151 million at September 30, 2011, $164 million at December 31, 2011 and $153 million at June 30, 2012. The decline in such nonaccrual loans from June 30 to September 30, 2012 was predominantly the result of payoffs or pay downs during the third quarter, none of which individually exceeded $10 million. Nonaccrual commercial real estate loans aggregated $424 million at September 30, 2012, $607 million a year earlier, $559 million at December 31, 2011 and $440 million at June 30, 2012. Reflected in such nonaccrual loans were loans to residential homebuilders and developers totaling $226 million, $319 million, $281 million and $240 million at September 30,</w:t>
      </w:r>
    </w:p>
    <w:p>
      <w:pPr>
        <w:spacing w:after="0" w:line="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2012, September 30, 2011, December 31, 2011 and June 30, 2012, respectively. The decline in commercial real estate loans classified as nonaccrual at the two most recent quarter-ends as compared with September 30 and December 31, 2011 was largely attributable to the impact of a payoff in 2012’s second quarter of a $58 million construction loan to an owner/operator of retirement and assisted living facilities, other payments received, and charge-offs of commercial real estate loans. Information about the location of nonaccrual and charged–off loans to residential real estate builders and developers as of and for the three-month period ended September 30, 2012 is presented in the accompanying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60" w:type="dxa"/>
            <w:vAlign w:val="bottom"/>
            <w:gridSpan w:val="6"/>
          </w:tcPr>
          <w:p>
            <w:pPr>
              <w:jc w:val="right"/>
              <w:ind w:right="1220"/>
              <w:spacing w:after="0" w:line="159" w:lineRule="exact"/>
              <w:rPr>
                <w:sz w:val="20"/>
                <w:szCs w:val="20"/>
                <w:color w:val="auto"/>
              </w:rPr>
            </w:pPr>
            <w:r>
              <w:rPr>
                <w:rFonts w:ascii="Arial" w:cs="Arial" w:eastAsia="Arial" w:hAnsi="Arial"/>
                <w:sz w:val="14"/>
                <w:szCs w:val="14"/>
                <w:color w:val="auto"/>
                <w:w w:val="88"/>
              </w:rPr>
              <w:t>September 30, 2012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5"/>
              </w:rPr>
              <w:t>September 30, 2012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2"/>
              <w:spacing w:after="0" w:line="131"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860"/>
              <w:spacing w:after="0" w:line="159" w:lineRule="exact"/>
              <w:rPr>
                <w:sz w:val="20"/>
                <w:szCs w:val="20"/>
                <w:color w:val="auto"/>
              </w:rPr>
            </w:pPr>
            <w:r>
              <w:rPr>
                <w:rFonts w:ascii="Arial" w:cs="Arial" w:eastAsia="Arial" w:hAnsi="Arial"/>
                <w:sz w:val="14"/>
                <w:szCs w:val="14"/>
                <w:color w:val="auto"/>
              </w:rPr>
              <w:t>Nonaccrual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6"/>
              </w:rPr>
              <w:t>(recoveries)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Percent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Outstanding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4"/>
              </w:rPr>
              <w:t>balances(a)</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8"/>
              <w:spacing w:after="0" w:line="159" w:lineRule="exact"/>
              <w:rPr>
                <w:sz w:val="20"/>
                <w:szCs w:val="20"/>
                <w:color w:val="auto"/>
              </w:rPr>
            </w:pPr>
            <w:r>
              <w:rPr>
                <w:rFonts w:ascii="Arial" w:cs="Arial" w:eastAsia="Arial" w:hAnsi="Arial"/>
                <w:sz w:val="14"/>
                <w:szCs w:val="14"/>
                <w:color w:val="auto"/>
                <w:w w:val="79"/>
              </w:rPr>
              <w:t>Balances</w:t>
            </w:r>
          </w:p>
        </w:tc>
        <w:tc>
          <w:tcPr>
            <w:tcW w:w="400" w:type="dxa"/>
            <w:vAlign w:val="bottom"/>
          </w:tcPr>
          <w:p>
            <w:pPr>
              <w:spacing w:after="0"/>
              <w:rPr>
                <w:sz w:val="13"/>
                <w:szCs w:val="13"/>
                <w:color w:val="auto"/>
              </w:rPr>
            </w:pPr>
          </w:p>
        </w:tc>
        <w:tc>
          <w:tcPr>
            <w:tcW w:w="9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2"/>
              </w:rPr>
              <w:t>balances</w:t>
            </w:r>
          </w:p>
        </w:tc>
        <w:tc>
          <w:tcPr>
            <w:tcW w:w="18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w w:val="86"/>
              </w:rPr>
              <w:t>(dollars in thousands)</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Pennsylvania</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228,672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70,585</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30.87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720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773,992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128,238</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189,474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13,550</w:t>
            </w: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(358)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1,348,734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228,857</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1,369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$42 million of loans not secured by real estate, of which approximately $3 million were in nonaccrual status.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Residential real estate loans classified as nonaccrual totaled $278 million at each of September 30, 2012 and December 31, 2011, $274 million at September 30, 2011 and $276 million at June 30, 2012. Depressed real estate values and high levels of delinquencies have contributed to higher than historical levels of residential real estate loans classified as nonaccrual and to the elevated level of charge-offs, largely in the Company’s Alt-A portfolio. Included in residential real estate loans classified as nonaccrual were Alt-A loans, which totaled $96 million and $109 million at September 30, 2012 and September 30, 2011, respectively, $105 million at December 31, 2011 and $101 million at June 30, 2012. Residential real estate loans past due 90 days or more and accruing interest (excluding acquired loans) totaled $276 million at September 30, 2012, compared with $211 million a year earlier, and $250 million and $252 million at December 31, 2011 and June 30, 2012, respectively. A substantial portion of such amounts related to guaranteed loans repurchased from government-related entities. Information about the location of nonaccrual and charged-off residential real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estate loans as of and for the quarter ended September 30, 2012 is presented in the accompanying table.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Nonaccrual consumer loans and leases totaled $101 million at September 30, 2012, compared with $82 million a year earlier, $97 million at December 31, 2011 and $99 million at June 30, 2012. Included in nonaccrual consumer loans and leases at September 30, 2012, September 30, 2011, December 31, 2011 and June 30, 2012 were automobile loans of $26 million, $27 million, $27 million and $24 million, respectively; recreational vehicle loans of $9 million, $9 million, $13 million and $10 million, respectively; and outstanding balances of home equity loans and lines of credit, including second lien Alt-A loans, of $56 million, $42 million, $47 million and $55 million, respectively. Information about the location of nonaccrual and charged-off home equity loans and lines of credit as of and for the quarter ended September 30, 2012 is presented in the accompanying table.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Real estate and other foreclosed assets totaled $112 million at September 30, 2012, $150 million at September 30, 2011, $157 million at December 31, 2011 and $116 million at June 30, 2012. The declines in such assets at the two most recent quarter-ends as compared with the respective 2011 dates were due predominantly to sales of such assets, partially offset by additions of foreclosed assets. At September 30, 2012, the Company’s holding of residential real estate-related properties comprised 63% of foreclosed assets.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320"/>
          </w:cols>
          <w:pgMar w:left="24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ind w:left="40"/>
              <w:spacing w:after="0" w:line="159" w:lineRule="exact"/>
              <w:rPr>
                <w:sz w:val="20"/>
                <w:szCs w:val="20"/>
                <w:color w:val="auto"/>
              </w:rPr>
            </w:pPr>
            <w:r>
              <w:rPr>
                <w:rFonts w:ascii="Arial" w:cs="Arial" w:eastAsia="Arial" w:hAnsi="Arial"/>
                <w:sz w:val="14"/>
                <w:szCs w:val="14"/>
                <w:color w:val="auto"/>
              </w:rPr>
              <w:t>September 30, 2012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center"/>
              <w:ind w:right="360"/>
              <w:spacing w:after="0" w:line="159" w:lineRule="exact"/>
              <w:rPr>
                <w:sz w:val="20"/>
                <w:szCs w:val="20"/>
                <w:color w:val="auto"/>
              </w:rPr>
            </w:pPr>
            <w:r>
              <w:rPr>
                <w:rFonts w:ascii="Arial" w:cs="Arial" w:eastAsia="Arial" w:hAnsi="Arial"/>
                <w:sz w:val="14"/>
                <w:szCs w:val="14"/>
                <w:color w:val="auto"/>
                <w:w w:val="85"/>
              </w:rPr>
              <w:t>September 30, 2012</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14"/>
              <w:spacing w:after="0" w:line="131" w:lineRule="exact"/>
              <w:rPr>
                <w:sz w:val="20"/>
                <w:szCs w:val="20"/>
                <w:color w:val="auto"/>
              </w:rPr>
            </w:pPr>
            <w:r>
              <w:rPr>
                <w:rFonts w:ascii="Arial" w:cs="Arial" w:eastAsia="Arial" w:hAnsi="Arial"/>
                <w:sz w:val="14"/>
                <w:szCs w:val="14"/>
                <w:color w:val="auto"/>
                <w:w w:val="87"/>
              </w:rPr>
              <w:t>Net charge-offs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840"/>
              <w:spacing w:after="0" w:line="159" w:lineRule="exact"/>
              <w:rPr>
                <w:sz w:val="20"/>
                <w:szCs w:val="20"/>
                <w:color w:val="auto"/>
              </w:rPr>
            </w:pPr>
            <w:r>
              <w:rPr>
                <w:rFonts w:ascii="Arial" w:cs="Arial" w:eastAsia="Arial" w:hAnsi="Arial"/>
                <w:sz w:val="14"/>
                <w:szCs w:val="14"/>
                <w:color w:val="auto"/>
              </w:rPr>
              <w:t>Nonaccrual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center"/>
              <w:ind w:right="360"/>
              <w:spacing w:after="0" w:line="159" w:lineRule="exact"/>
              <w:rPr>
                <w:sz w:val="20"/>
                <w:szCs w:val="20"/>
                <w:color w:val="auto"/>
              </w:rPr>
            </w:pPr>
            <w:r>
              <w:rPr>
                <w:rFonts w:ascii="Arial" w:cs="Arial" w:eastAsia="Arial" w:hAnsi="Arial"/>
                <w:sz w:val="14"/>
                <w:szCs w:val="14"/>
                <w:color w:val="auto"/>
                <w:w w:val="86"/>
              </w:rPr>
              <w:t>(recoveries)</w:t>
            </w: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Annualized</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percent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Percent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7"/>
              </w:rPr>
              <w:t>Outstanding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outstanding</w:t>
            </w:r>
          </w:p>
        </w:tc>
        <w:tc>
          <w:tcPr>
            <w:tcW w:w="0" w:type="dxa"/>
            <w:vAlign w:val="bottom"/>
          </w:tcPr>
          <w:p>
            <w:pPr>
              <w:spacing w:after="0"/>
              <w:rPr>
                <w:sz w:val="1"/>
                <w:szCs w:val="1"/>
                <w:color w:val="auto"/>
              </w:rPr>
            </w:pPr>
          </w:p>
        </w:tc>
      </w:tr>
      <w:tr>
        <w:trPr>
          <w:trHeight w:val="159"/>
        </w:trPr>
        <w:tc>
          <w:tcPr>
            <w:tcW w:w="38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balances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spacing w:after="0" w:line="159" w:lineRule="exact"/>
              <w:rPr>
                <w:sz w:val="20"/>
                <w:szCs w:val="20"/>
                <w:color w:val="auto"/>
              </w:rPr>
            </w:pPr>
            <w:r>
              <w:rPr>
                <w:rFonts w:ascii="Arial" w:cs="Arial" w:eastAsia="Arial" w:hAnsi="Arial"/>
                <w:sz w:val="14"/>
                <w:szCs w:val="14"/>
                <w:color w:val="auto"/>
              </w:rPr>
              <w:t>Balances</w:t>
            </w:r>
          </w:p>
        </w:tc>
        <w:tc>
          <w:tcPr>
            <w:tcW w:w="9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2"/>
              </w:rPr>
              <w:t>balances</w:t>
            </w:r>
          </w:p>
        </w:tc>
        <w:tc>
          <w:tcPr>
            <w:tcW w:w="180" w:type="dxa"/>
            <w:vAlign w:val="bottom"/>
          </w:tcPr>
          <w:p>
            <w:pPr>
              <w:spacing w:after="0"/>
              <w:rPr>
                <w:sz w:val="13"/>
                <w:szCs w:val="13"/>
                <w:color w:val="auto"/>
              </w:rPr>
            </w:pPr>
          </w:p>
        </w:tc>
        <w:tc>
          <w:tcPr>
            <w:tcW w:w="88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96"/>
              </w:rPr>
              <w:t>balances</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color w:val="auto"/>
              </w:rPr>
              <w:t>(dollars 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4,024,262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59,912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1,425,543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2,321,957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36,433</w:t>
            </w: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1,095</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2,533,966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1,625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10,305,728</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179,727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2,904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6,272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832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13.27%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10,745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40,988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2,490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73,650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18,558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25.20%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537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89,236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13,934</w:t>
            </w:r>
          </w:p>
        </w:tc>
        <w:tc>
          <w:tcPr>
            <w:tcW w:w="640" w:type="dxa"/>
            <w:vAlign w:val="bottom"/>
          </w:tcPr>
          <w:p>
            <w:pPr>
              <w:jc w:val="right"/>
              <w:spacing w:after="0"/>
              <w:rPr>
                <w:sz w:val="20"/>
                <w:szCs w:val="20"/>
                <w:color w:val="auto"/>
              </w:rPr>
            </w:pPr>
            <w:r>
              <w:rPr>
                <w:rFonts w:ascii="Arial" w:cs="Arial" w:eastAsia="Arial" w:hAnsi="Arial"/>
                <w:sz w:val="18"/>
                <w:szCs w:val="18"/>
                <w:color w:val="auto"/>
              </w:rPr>
              <w:t>15.61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283,907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60,836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3,707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461,504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95,733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20.74%</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4,643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640" w:type="dxa"/>
            <w:vAlign w:val="bottom"/>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16,480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1,020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493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21,014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737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96,774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579</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229,039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5,251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268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935,467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4,107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644,979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564,061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1,855</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203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2,162,825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9,986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659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45,719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3,163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285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156,079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1,548</w:t>
            </w: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270,899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6,340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415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1,460,656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25,092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2,903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574,286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1,613,013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3,784</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962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3,744,689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33,703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4,855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360" w:type="dxa"/>
            <w:vAlign w:val="bottom"/>
            <w:vMerge w:val="restart"/>
          </w:tcPr>
          <w:p>
            <w:pPr>
              <w:jc w:val="right"/>
              <w:ind w:right="212"/>
              <w:spacing w:after="0"/>
              <w:rPr>
                <w:sz w:val="20"/>
                <w:szCs w:val="20"/>
                <w:color w:val="auto"/>
              </w:rPr>
            </w:pPr>
            <w:r>
              <w:rPr>
                <w:rFonts w:ascii="Arial" w:cs="Arial" w:eastAsia="Arial" w:hAnsi="Arial"/>
                <w:sz w:val="18"/>
                <w:szCs w:val="18"/>
                <w:color w:val="auto"/>
              </w:rPr>
              <w:t>- 80 -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comparative summary of nonperforming assets and certain past due, renegotiated and impaired loan data and credit quality ratios as of the end of the periods indicated is presented in the accompanying table.</w:t>
      </w:r>
    </w:p>
    <w:p>
      <w:pPr>
        <w:spacing w:after="0" w:line="132" w:lineRule="exact"/>
        <w:rPr>
          <w:sz w:val="20"/>
          <w:szCs w:val="20"/>
          <w:color w:val="auto"/>
        </w:rPr>
      </w:pPr>
    </w:p>
    <w:p>
      <w:pPr>
        <w:ind w:right="4300"/>
        <w:spacing w:after="0" w:line="268"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color w:val="auto"/>
                <w:w w:val="84"/>
              </w:rPr>
              <w:t>2012 Quarters</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4"/>
          </w:tcPr>
          <w:p>
            <w:pPr>
              <w:ind w:left="560"/>
              <w:spacing w:after="0"/>
              <w:rPr>
                <w:sz w:val="20"/>
                <w:szCs w:val="20"/>
                <w:color w:val="auto"/>
              </w:rPr>
            </w:pPr>
            <w:r>
              <w:rPr>
                <w:rFonts w:ascii="Arial" w:cs="Arial" w:eastAsia="Arial" w:hAnsi="Arial"/>
                <w:sz w:val="14"/>
                <w:szCs w:val="14"/>
                <w:color w:val="auto"/>
              </w:rPr>
              <w:t>2011 Quarters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Third</w:t>
            </w:r>
          </w:p>
        </w:tc>
        <w:tc>
          <w:tcPr>
            <w:tcW w:w="400" w:type="dxa"/>
            <w:vAlign w:val="bottom"/>
          </w:tcPr>
          <w:p>
            <w:pPr>
              <w:spacing w:after="0"/>
              <w:rPr>
                <w:sz w:val="13"/>
                <w:szCs w:val="13"/>
                <w:color w:val="auto"/>
              </w:rPr>
            </w:pPr>
          </w:p>
        </w:tc>
        <w:tc>
          <w:tcPr>
            <w:tcW w:w="114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84"/>
              </w:rPr>
              <w:t>Second</w:t>
            </w:r>
          </w:p>
        </w:tc>
        <w:tc>
          <w:tcPr>
            <w:tcW w:w="760" w:type="dxa"/>
            <w:vAlign w:val="bottom"/>
          </w:tcPr>
          <w:p>
            <w:pPr>
              <w:jc w:val="right"/>
              <w:ind w:right="174"/>
              <w:spacing w:after="0" w:line="159" w:lineRule="exact"/>
              <w:rPr>
                <w:sz w:val="20"/>
                <w:szCs w:val="20"/>
                <w:color w:val="auto"/>
              </w:rPr>
            </w:pPr>
            <w:r>
              <w:rPr>
                <w:rFonts w:ascii="Arial" w:cs="Arial" w:eastAsia="Arial" w:hAnsi="Arial"/>
                <w:sz w:val="14"/>
                <w:szCs w:val="14"/>
                <w:color w:val="auto"/>
              </w:rPr>
              <w:t>First</w:t>
            </w:r>
          </w:p>
        </w:tc>
        <w:tc>
          <w:tcPr>
            <w:tcW w:w="400" w:type="dxa"/>
            <w:vAlign w:val="bottom"/>
          </w:tcPr>
          <w:p>
            <w:pPr>
              <w:spacing w:after="0"/>
              <w:rPr>
                <w:sz w:val="13"/>
                <w:szCs w:val="13"/>
                <w:color w:val="auto"/>
              </w:rPr>
            </w:pPr>
          </w:p>
        </w:tc>
        <w:tc>
          <w:tcPr>
            <w:tcW w:w="740" w:type="dxa"/>
            <w:vAlign w:val="bottom"/>
          </w:tcPr>
          <w:p>
            <w:pPr>
              <w:jc w:val="right"/>
              <w:ind w:right="99"/>
              <w:spacing w:after="0" w:line="159" w:lineRule="exact"/>
              <w:rPr>
                <w:sz w:val="20"/>
                <w:szCs w:val="20"/>
                <w:color w:val="auto"/>
              </w:rPr>
            </w:pPr>
            <w:r>
              <w:rPr>
                <w:rFonts w:ascii="Arial" w:cs="Arial" w:eastAsia="Arial" w:hAnsi="Arial"/>
                <w:sz w:val="14"/>
                <w:szCs w:val="14"/>
                <w:color w:val="auto"/>
              </w:rPr>
              <w:t>Fourth</w:t>
            </w:r>
          </w:p>
        </w:tc>
        <w:tc>
          <w:tcPr>
            <w:tcW w:w="400" w:type="dxa"/>
            <w:vAlign w:val="bottom"/>
          </w:tcPr>
          <w:p>
            <w:pPr>
              <w:spacing w:after="0"/>
              <w:rPr>
                <w:sz w:val="13"/>
                <w:szCs w:val="13"/>
                <w:color w:val="auto"/>
              </w:rPr>
            </w:pPr>
          </w:p>
        </w:tc>
        <w:tc>
          <w:tcPr>
            <w:tcW w:w="9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Third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Nonaccrual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925,231</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968,328</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1,065,229</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1,097,581</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1,113,788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112,160</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115,580</w:t>
            </w: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140,297</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156,592</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1,037,391</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1,083,908</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1,205,526</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1,254,173</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1,263,656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 (a)</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309,420</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274,598</w:t>
            </w:r>
          </w:p>
        </w:tc>
        <w:tc>
          <w:tcPr>
            <w:tcW w:w="760" w:type="dxa"/>
            <w:vAlign w:val="bottom"/>
          </w:tcPr>
          <w:p>
            <w:pPr>
              <w:jc w:val="right"/>
              <w:spacing w:after="0"/>
              <w:rPr>
                <w:sz w:val="20"/>
                <w:szCs w:val="20"/>
                <w:color w:val="auto"/>
              </w:rPr>
            </w:pPr>
            <w:r>
              <w:rPr>
                <w:rFonts w:ascii="Arial" w:cs="Arial" w:eastAsia="Arial" w:hAnsi="Arial"/>
                <w:sz w:val="18"/>
                <w:szCs w:val="18"/>
                <w:color w:val="auto"/>
              </w:rPr>
              <w:t>273,081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287,876</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239,970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54,583</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48,712</w:t>
            </w:r>
          </w:p>
        </w:tc>
        <w:tc>
          <w:tcPr>
            <w:tcW w:w="760" w:type="dxa"/>
            <w:vAlign w:val="bottom"/>
          </w:tcPr>
          <w:p>
            <w:pPr>
              <w:jc w:val="right"/>
              <w:spacing w:after="0"/>
              <w:rPr>
                <w:sz w:val="20"/>
                <w:szCs w:val="20"/>
                <w:color w:val="auto"/>
              </w:rPr>
            </w:pPr>
            <w:r>
              <w:rPr>
                <w:rFonts w:ascii="Arial" w:cs="Arial" w:eastAsia="Arial" w:hAnsi="Arial"/>
                <w:sz w:val="18"/>
                <w:szCs w:val="18"/>
                <w:color w:val="auto"/>
              </w:rPr>
              <w:t>44,717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40,529</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32,937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280,410</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255,495</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252,622</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252,503</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266,526</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267,111</w:t>
            </w:r>
          </w:p>
        </w:tc>
        <w:tc>
          <w:tcPr>
            <w:tcW w:w="760" w:type="dxa"/>
            <w:vAlign w:val="bottom"/>
          </w:tcPr>
          <w:p>
            <w:pPr>
              <w:jc w:val="right"/>
              <w:spacing w:after="0"/>
              <w:rPr>
                <w:sz w:val="20"/>
                <w:szCs w:val="20"/>
                <w:color w:val="auto"/>
              </w:rPr>
            </w:pPr>
            <w:r>
              <w:rPr>
                <w:rFonts w:ascii="Arial" w:cs="Arial" w:eastAsia="Arial" w:hAnsi="Arial"/>
                <w:sz w:val="18"/>
                <w:szCs w:val="18"/>
                <w:color w:val="auto"/>
              </w:rPr>
              <w:t>213,024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214,379</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223,233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161,424</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162,487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211,958</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 (c):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978,731</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1,037,458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1,158,829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1,267,762</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528,001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560,700</w:t>
            </w:r>
          </w:p>
        </w:tc>
        <w:tc>
          <w:tcPr>
            <w:tcW w:w="760" w:type="dxa"/>
            <w:vAlign w:val="bottom"/>
          </w:tcPr>
          <w:p>
            <w:pPr>
              <w:jc w:val="right"/>
              <w:spacing w:after="0"/>
              <w:rPr>
                <w:sz w:val="20"/>
                <w:szCs w:val="20"/>
                <w:color w:val="auto"/>
              </w:rPr>
            </w:pPr>
            <w:r>
              <w:rPr>
                <w:rFonts w:ascii="Arial" w:cs="Arial" w:eastAsia="Arial" w:hAnsi="Arial"/>
                <w:sz w:val="18"/>
                <w:szCs w:val="18"/>
                <w:color w:val="auto"/>
              </w:rPr>
              <w:t>604,779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653,362</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703,632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08"/>
        </w:trPr>
        <w:tc>
          <w:tcPr>
            <w:tcW w:w="5820" w:type="dxa"/>
            <w:vAlign w:val="bottom"/>
          </w:tcPr>
          <w:p>
            <w:pPr>
              <w:spacing w:after="0"/>
              <w:rPr>
                <w:sz w:val="20"/>
                <w:szCs w:val="20"/>
                <w:color w:val="auto"/>
              </w:rPr>
            </w:pPr>
            <w:r>
              <w:rPr>
                <w:rFonts w:ascii="Arial" w:cs="Arial" w:eastAsia="Arial" w:hAnsi="Arial"/>
                <w:sz w:val="18"/>
                <w:szCs w:val="18"/>
                <w:color w:val="auto"/>
                <w:w w:val="95"/>
              </w:rPr>
              <w:t>Nonperforming assets to total net loans and leases and real estate and other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82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Accruing loans past due 90 days or more (a) to total loans and leases, net of</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2012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continue to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regions of upstate New York and central Pennsylvania. Approximately 60%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were centered around residential real estate, including loans to builders and developers of residential real estate, in areas other than New York State and Pennsylvania.</w:t>
      </w:r>
    </w:p>
    <w:p>
      <w:pPr>
        <w:spacing w:after="0" w:line="12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Reflecting more stable economic conditions in the regions served by the Company and continued workouts of problem credits, criticized commercial loans and commercial real estate loans were $2.5 billion at September 30, 2012, compared with $2.8 billion at December 31, 2011 and $3.0 billion at September 30, 2011. Loan officers with the support of loan review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September 30, 2012, approximately 37% of the Company’s home equity portfolio consisted of first lien loans. Of the remaining junior lien loans in the portfolio, approximately 83% (or approximately 53% of the aggregate home equity portfolio) consisted of junior lien loans that were behind a first lien mortgage loan that was not owned or serviced by the Company. For the junior lien loans where an entity other than the Company held a first lien mortgage, the Company cannot precisely determine whether there is a delinquency on such first lien mortgage. As a result, the Company typically only has knowledge of the exact stage of delinquency for that portion of the portfolio where the first lien is owned or serviced by the Company. The Company’s nonaccrual policy for junior lien home equity loans and lines of credit does consider the payment status of the senior lien loan in cases where the Company has knowledge about the payment status of such loan. To the extent known by the Company, if the senior lien loan, for payment delinquency or other reasons, would be on nonaccrual status, the Company similarly places the junior lien loan or line on nonaccrual status. At September 30, 2012, the balance of junior lien loans and lines that were in nonaccrual status solely as a result of first lien loan performance was not significant. In monitoring the credit quality of its home equity portfolio for purposes of determining the allowance for credit losses, the Company reviews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precise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September 30, 2012, approximately 96% of all outstanding balances of home equity lines of credit related to lines that were still in the draw period, the weighted-average remaining draw periods were approximately five years, and approximately 16% were making contractually allowed payments that do not include any repayment of principal.</w:t>
      </w:r>
    </w:p>
    <w:p>
      <w:pPr>
        <w:spacing w:after="0" w:line="12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in recent years the Company has experienced historically high levels of nonaccrual loans and net charge-offs of residential real estate-related loans, including first and junior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loans secured by residential real estate and other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63% of the Company’s home equity portfolio consists of junior lien loans and lines of credit. The Company generally evaluates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leases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2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September 30, 2012 appropriately reflected credit losses inherent in the portfolio as of that date. The allowance for credit losses was $921 million, or 1.44% of total loans and leases at September 30, 2012, compared with $909 million or 1.56% at September 30, 2011, $908 million or 1.51% at December 31, 2011 and $917 million or 1.46% at June 30, 2012. The declining ratio of the allowance to total loans and leases primarily reflects the impact of improved credit quality on that metric. The level of the allowance reflects management’s evaluation of the loan and lease portfolio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100% at September 30, 2012, compared with 82% a year earlier, 83% at December 31, 2011 and 95% at June 30, 2012.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Other income totaled $446 million in the third quarter of 2012, compared with $368 million in the year-earlier quarter and $392 million in the second quarter of 2012. Reflected in those amounts were net losses on investment securities of $5 million in the recent quarter, $10 million in the third quarter of 2011 and $17 million in the second quarter of 2012. Included in net securities losses in each of the quarters were other-than-temporary impairment charges, which totaled $6 million in the recent quarter, $10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million in 2011’s third quarter and $16 million in the second quarter of 2012. Those other-than-temporary impairment charges were related to the Company’s holdings of privately issued CMOs and reflect the impact of lower real estate values and higher delinquencies on real estate loans underlying those impaired securities.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Excluding gains and losses on bank investment securities (including other-than-temporary impairment losses) in all periods, other income in the recent quarter totaled $451 million, up from $378 million in the third quarter of 2011 and $408 million in the second quarter of 2012. As compared with the third quarter of 2011 and 2012’s second quarter, the primary contributors to the increases were significantly higher mortgage banking revenues.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Mortgage banking revenues were $107 million in the recent quarter, up 180% from $38 million in the third quarter of 2011 and 54% higher than $70 million in the second quarter of 2012.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$82 million in the third quarter of 2012, compared with $25 million in the year-earlier quarter and $47 million in the second quarter of 2012. The higher level of residential mortgage banking revenues in the recent quarter as compared with the two earlier quarters was due to increased volumes of loans originated for sale and wider margins related to such loans. Those higher volumes reflect increased refinancing activity by consumers in light of the low interest rate environment and include the impact of the Company’s involvement in the U.S. government’s Home Affordable Refinance Program (“HARP 2.0”), which allows homeowners to refinance their Fannie Mae or Freddie Mac mortgages when the value of their home has fallen such that they have little or no equity. The HARP 2.0 program will remain available to borrowers through December 31, 2013.</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New commitments to originate residential mortgage loans to be sold were approximately $1.8 billion in the recent quarter, compared with $371 million in the third quarter of 2011 and $856 million in the second quarter of 2012. Included in those commitments to originate residential mortgage loans to be sold were HARP 2.0 commitments of $585 million and $492 million in the quarters ended September 30, 2012 and June 30, 2012, respectively. The HARP 2.0 program began in December 2011.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$57 million in the recently completed quarter, compared with gains of $4 million and $20 million in the third quarter of 2011 and the second quarter of 2012, respectively.</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banking revenues during each of the three-month periods ended September 30, 2012 and June 30, 2012 were reduced by approximately $10 million and during the three-month period ended September 30, 2011 such revenues were reduced by $3 million related to actual or anticipated settlement of repurchase obligations. The higher levels of those charges in the two most recent quarters as compared with the third quarter of 2011 are reflective of general market conditions for residential real estate repurchases and sales volumes.</w:t>
      </w:r>
    </w:p>
    <w:p>
      <w:pPr>
        <w:spacing w:after="0" w:line="14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Late in the third quarter of 2010, the Company began to originate certain residential real estate loans to be held in its loan portfolio, rather than continuing to sell such loans. The retained loans conform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resumed originating the majority of residential real estate loans to be held in its loan portfolio. The decision to retain for portfolio the majority of such loans originated rather than selling them resulted in a reduction of residential mortgage banking revenues of approximately $11 million, $15 million and $22 million in the three-month periods ended September 30, 2012, September 30, 2011 and June 30, 2012, respectively. Due to the significant growth in the Company’s residential real estate loan portfolio and the recently announced Hudson City acquisition, the majority of residential mortgage loans that the Company has committed to originate subsequent to August 2012 will be sold.</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Loans held for sale that are secured by residential real estate totaled $801 million at September 30, 2012, $191 million at September 30, 2011 and $210 million at December 31, 2011. Commitments to sell residential mortgage loans and commitments to originate residential mortgage loans for sale at pre-determined rates were $1.9 billion and $1.6 billion, respectively, at September 30, 2012, $304 million and $227 million, respectively, at September 30, 2011 and $296 million and $182 million, respectively, at December 31, 2011. Net unrealized gains on residential mortgage loans held for sale, commitments to sell loans, and commitments to originate loans for sale were $71 million at September 30, 2012 and $6 million at each of September 30, 2011 and December 31, 2011. Changes in such net unrealized gains are recorded in mortgage banking revenues and resulted net increases in revenues of $37 million and $21 million in the third quarter of 2012 and the second quarter of 2012, respectively, compared with a net decrease in revenues of $6 million in the third quarter of 2011.</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Revenues from servicing residential mortgage loans for others were $24 million in the recent quarter, compared with $20 million in the third quarter of 2011 and $25 million in the second quarter of 2012. Included in such servicing revenues were amounts related to purchased servicing rights associated with small balance commercial mortgage loans which totaled $5 million in each of the two most recent quarters and $6 million in third quarter of 2011. Residential mortgage loans serviced for others totaled $36.4 billion at September 30, 2012, $28.1 billion at September 30, 2011, $37.9 billion at June 30, 2012 and $40.7 billion at December 31, 2011, including the small balance commercial mortgage loans noted above of approximately $4.0 billion at the recent quarter-end, $4.7 billion at September 30, 2011, $4.2 billion at June 30, 2012 and $4.4 billion at December 31, 2011. Reflected in residential mortgage loans serviced for others were loans sub-serviced for others of $12.8 billion at September 30, 2012, $13.5 billion at June 30, 2012 and $14.3 billion at December 31, 2011. Loans sub-serviced for others were not significant at September 30, 2011. On September 30, 2011, the Company purchased servicing rights associated with residential mortgage loans having outstanding principal balances of approximately $6.7 billion. The outstanding balances of such loans as of September 30, 2012, June 30, 2012 and December 31, 2011 were $5.6 billion, $5.8 billion and $6.4 billion, respectively. Approximately $5 million of servicing fees relating to that portfolio of loans were included in mortgage banking revenues in each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three-month periods ended September 30, 2012 and June 30, 2012. Capitalized residential mortgage servicing assets, net of a valuation allowance for impairment, were $111 million at September 30, 2012, compared with $159 million at September 30, 2011, $124 million at June 30, 2012 and $145 million at December 31, 2011. The valuation allowance for possible impairment of residential mortgage servicing assets totaled $5 million at September 30, 2012, $1 million at each of September 30, 2011 and June 30, 2012, and $2 million at December 31, 2011. Included in capitalized residential mortgage servicing assets were $10 million at September 30, 2012, $18 million at September 30, 2011, $12 million at June 30, 2012 and $16 million at December 31, 2011 of purchased servicing rights associated with the small balance commercial mortgage loans noted above.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Commercial mortgage banking revenues were $25 million in the third quarter of 2012, up from $14 million in the year-earlier period and $23 million in the second quarter of 2012. Included in such amounts were revenues from loan origination and sales activities of $19 million in the recent quarter, compared with $8 million in the third quarter of 2011 and $17 million in the second quarter of 2012. Commercial mortgage loan servicing revenues were $6 million in each of the three-month periods ended September 30, 2012, September 30, 2011 and June 30, 2012. Capitalized commercial mortgage servicing assets totaled $55 million at September 30, 2012, $50 million at September 30, 2011 and $51 million at December 31, 2011. Commercial mortgage loans serviced for other investors totaled $10.1 billion, $8.8 billion and $9.0 billion at September 30, 2012, September 30, 2011 and December 31, 2011, respectively. Such amounts included $1.9 billion at September 30, 2012 and $1.8 billion at each of September 30, 2011 and December 31, 2011 of loan balances for which investors had recourse to the Company if such balances are ultimately uncollectible. Commitments to sell commercial mortgage loans and commitments to originate commercial mortgage loans for sale were $458 million and $282 million, respectively, at September 30, 2012, $141 million and $56 million, respectively, at September 30, 2011 and $339 million and $178 million, respectively, at December 31, 2011. Commercial mortgage loans held for sale at September 30, 2012 and 2011 were $176 million and $85 million, respectively, and $161 million at December 31, 2011.</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Service charges on deposit accounts totaled $114 million in the recent quarter, compared with $122 million in the third quarter of 2011 and $111 million in the second quarter of 2012. The decline in such revenues as compared with the third quarter of 2011 reflects new regulations that were enacted as part of the Dodd-Frank Act related to limiting debit card interchange fees that financial institutions are able to assess. Those new regulations were effective October 1, 2011.</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Trust income totaled $116 million in the recent quarter, compared with $114 million in the third quarter of 2011 and $122 million in the second quarter of</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2012. The Wilmington Trust acquisition brought with it two significant sources of income. The Institutional Client Services (“ICS”) business, formerly known as Corporate Client Services,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ICS clients are multinational corporations and institutions.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reflects revenues from acquired ICS activities of $46 million, $47 million and $50 million in the third quarter of 2012, the third quarter of 2011 and the second quarter of 2012, respectively, and revenues from acquired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WAS activities of $38 million, $35 million and $40 million in the three-month periods ended September 30, 2012, September 30, 2011 and June 30, 2012, respectively. Adversely impacting trust income for the three-month periods ended September 30, 2012, September 30, 2011 and June 30, 2012 were $16 million, $10 million and $15 million, respectively, of fee waivers by the Company in order to provide proprietary money-market funds to pay customers a yield on their investments in such funds. Total trust assets, which include assets under management and assets under administration, aggregated $251.7 billion at September 30, 2012, compared with $254.0 billion at September 30, 2011 and $261.9 billion at December 31, 2011. Trust assets under management were $60.5 billion, $51.4 billion and $52.7 billion at September 30, 2012, September 30, 2011 and December 31, 2011, respectively. In addition to the asset amounts noted above, trust assets under management of affiliates totaled $15.1 billion at September 30, 2012, $13.1 billion at September 30, 2011 and $14.3 billion at December 31, 2011.</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$14 million in each of the third quarters of 2012 and 2011 and $16 million in the second quarter of 2012. Gains from trading account and foreign exchange activity rose to $8 million during the most recent quarter from $4 million in the third quarter of 2011 and $6 million in 2012’s second quarter. Those increases were largely attributable to higher market values of trading account assets held in conjunction with deferred compensation arrangements.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Including other-than-temporary impairment losses, during the third quarter of 2012 the Company recognized net losses on investment securities of $5 million, compared with net losses of $10 million in the year-earlier quarter and $17 million in the second quarter of 2012. Other-than-temporary impairment charges of $6 million, $10 million and $16 million were recorded in the quarters ended September 30, 2012, September 30, 2011 and June 30, 2012, respectively. The impairment charges were related to certain privately issued CMOs backed by residential and commercial real estate loans.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M&amp;T’s share of the operating results of BLG in the recent quarter was a loss of $5 million, compared with losses of $7 million in each of the third quarter of 2011 and the second 2012 quarter. The operating losses of BLG in the respective quarters resulted from disruptions in the residential and commercial real estate markets and reflected provisions for losses associated with securitized loans and other loans held by BLG and loan servicing and other administrative costs. The loan losses largely relate to loans in non-recourse securitization trusts that BLG consolidates in its financial statements.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reinvested their earnings to generate additional servicing and asset management activities, further contributing to the value of those affiliates that inures to the benefit of BLG and, ultimately, M&amp;T. In 2011’s final quarter the Company recognized a $79 million other-than-temporary impairment charge related to M&amp;T’s 20% investment in BLG. While the small business commercial real estate securitization market that BLG previously operated in continues to be stagnant, its affiliated asset management operations continue to grow and its business of managing capital in the distressed real estate market is performing well. Nevertheless, in consideration of the passage of time since M&amp;T’s original investment in BLG in 2007, the prospects of ongoing loan losses at BLG and the inability to accurately predict the timing of potential distributions to M&amp;T, management increased its estimate of the timeframe over which the Company could reasonably anticipate recovery of the recorded investment amount and concluded that the investment was other-than-temporarily impaired. That investment was written-down to its estimated fair value of $115 million. The impairment charge of $79 million was recorded in “other costs of operations” in the fourth quarter of 2011. The Company believes that the value of its investment in BLG as of September 30, 2012 has not changed significantly since December 31, 2011. Information about the Company’s relationship with BLG and its affiliates is included in note 15 of Notes to Financial Statements.</w:t>
      </w:r>
    </w:p>
    <w:p>
      <w:pPr>
        <w:spacing w:after="0" w:line="1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revenues from operations totaled $97 million in the recent quarter, compared with $93 million in the third quarter of 2011 and $90 million in the second quarter of 2012. Included in other revenues from operations were the following significant components: letter of credit and other credit-related fees of $34 million in the third quarter of 2012 and $30 million in each of the third quarter of 2011 and the second quarter of 2012; tax-exempt income from bank owned life insurance, which includes increases in the cash surrender value of life insurance policies and benefits received, of $13 million in the recent quarter, $14 million in the year-earlier quarter and $12 million in the second quarter of 2012; revenues from merchant discount and credit card fees of $20 million in the most recent quarter, compared with $15 million and $19 million in the third quarter of 2011 and 2012’s second quarter, respectively;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insurance-related sales commissions and other revenues of $10 million, $9 million and $11 million in the quarters ended September 30, 2012, September 30, 2011 and June 30, 2012, respectively.</w:t>
      </w:r>
    </w:p>
    <w:p>
      <w:pPr>
        <w:spacing w:after="0" w:line="13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Other income totaled $1.21 billion in the first nine months of 2012, compared with $1.18 billion in the similar 2011 period. Gains and losses on bank investment securities (including other-than-temporary impairment losses) totaled to net losses of $33 million in the first nine months of 2012, compared with net gains of $98 million in the corresponding 2011 period. Also reflected in other income in the first nine months of 2011 was the $65 million gain realized on the Wilmington Trust acquisition. Excluding gains and losses from bank investment securities and the Wilmington Trust-related gain in 2011, other income aggregated $1.25 billion in the nine-month period ended September 30, 2012, compared with $1.02 billion in the corresponding period of 2011. The main contributors to the rise in other income during the 2012 period were higher trust income, the result of the Wilmington Trust acquisition, and mortgage banking revenues.</w:t>
      </w:r>
    </w:p>
    <w:p>
      <w:pPr>
        <w:spacing w:after="0" w:line="14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Mortgage banking revenues totaled $233 million for the nine-month period ended September 30, 2012, up 85% from $125 million in the year-earlier period. Residential mortgage banking revenues rose 112% to $168 million during the first nine months of 2012 from $79 million in the similar 2011 period. New commitments to originate residential mortgage loans to be sold were $3.1 billion and $1.6 billion during the first nine months of 2012 and 2011, respectively. Realized gains from sales of residential mortgage loans and loan servicing rights (net of the impact of costs associated with obligations to repurchase mortgage loans originated for sale) and recognized unrealized gains and losses on residential mortgage loans held for sale, commitments to originate loans for sale and commitments to sell loans aggregated to gains of $87 million and $18 million during the nine-month periods ended September 30, 2012 and 2011, respectively. Higher origination activity related to loans originated for sale and wider margins associated with those loans contributed to the rise in such revenues. Residential mortgage banking revenues during the nine-month periods ended September 30, 2012 and 2011 were reduced by $24 million and $16 million, respectively, related to actual or anticipated settlements of repurchase obligations. Revenues from servicing residential mortgage loans for others were $76 million and $58 million for the first nine-months of 2012 and 2011, respectively. Included in such amounts were revenues related to purchased servicing rights associated with the previously noted small balance commercial mortgage loans of $15 million and $18 million for the nine-month periods ended September 30, 2012 and 2011, respectively. Commercial mortgage banking revenues totaled $65 million and $46 million during the nine-month periods ended September 30, 2012 and 2011, respectively. That improvement reflected higher origination volumes that aggregated $1.9 billion in the 2012 period, compared with $1.1 billion in the 2011 period.</w:t>
      </w:r>
    </w:p>
    <w:p>
      <w:pPr>
        <w:spacing w:after="0" w:line="12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Service charges on deposit accounts declined 5% to $334 million during the first nine months of 2012 from $351 million in the corresponding period of 2011, largely due to the Dodd-Frank regulations limiting debit card interchange fees that were effective October 1, 2011. Trust income rose 62% to $355 million from $219 million a year earlier, due to higher revenues of $143 million associated with the Wilmington Trust acquisition. Reflected in trust income were $42 million and $23 million of fee waivers during the first nine months of 2012 and 2011, respectively, related to proprietary money-market funds. Brokerage services income rose 2% to $44 million during the first nine months of 2012 from $43 million in the corresponding 2011 period. Trading account and foreign exchange activity resulted in gains of $25 million and $19 million for the nine-month periods ended September 30, 2012 and 2011, respectively. M&amp;T’s investment in BLG resulted in losses of $17 million for the nine months ended September 30, 2012, compared with losses of $19 million in the year-earlier period. Investment securities gains and losses totaled to net losses of $33 million during the first nine months of 2012, compared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net gains of $98 million in the nine-month period ended September 30, 2011. Included in those amounts were other-than-temporary impairment losses of $33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in 2012 and $52 million in 2011. As discussed earlier, during the first nine months of 2011 the Company sold investment securities resulting in gains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$150 million. Those securities, predominantly residential mortgage-backed securities guaranteed by Fannie Mae and Freddie Mac, were sold in anticipation of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Wilmington Trust acquisition in order to reposition the Company’s investment portfolio and to manage its forecasted balance sheet size and composition.</w:t>
      </w:r>
    </w:p>
    <w:p>
      <w:pPr>
        <w:spacing w:after="0" w:line="1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Other revenues from operations were $273 million in the nine-month period ended September 30, 2012, compared with $348 million in the similar year-earlier period. Reflected in such revenues in 2011 was the $65 million gain realized on the acquisition of Wilmington Trust. Included in other revenues from operations during the nine-month periods ended September 30, 2012 and 2011 were the following significant components: letter of credit and other credit related fees of $91 million and $97 million, respectively; income from bank owned life insurance of $37 million and $39 million, respectively; merchant discount and credit card fees of $57 million and $41 million, respectively; and insurance-related sales commissions and other revenues of $33 million and $30 million, respectively. The higher merchant discount and credit card fees in 2012 as compared with 2011 were largely attributable to increased transaction volumes related to merchant activity and usage of the Company’s credit card products. Gains from the sale of previously leased equipment were $1 million during the first nine months of 2012, compared with $10 million in the year-earlier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expense totaled $616 million in the third quarter of 2012, down 7% from $662 million in the year-earlier period and 2% below $627 million in 2012’s second quarter. Included in those amounts are expenses considered by management to be “nonoperating” in nature consisting of amortization of core deposit and other intangible assets of $14 million and $17 million in the third quarters of 2012 and 2011, respectively, and $16 million in the second quarter of 2012, and merger-related expenses of $26 million and $7 million in the three-month periods ended September 30, 2011 and June 30, 2012, respectively. Such merger-related expenses were incurred in connection with the Wilmington Trust acquisition and related to systems conversions and other costs of integrating the acquired operations with and into the Company. Those expenses consisted largely of professional services and other temporary help fees associated with the conversion of systems and/or integration of operations; costs related to termination of existing contractual arrangements of Wilmington Trust to purchase various services; initial marketing and promotion expenses designed to introduce M&amp;T Bank to its new customers; severance for former employees; travel costs; and printing, postage, supplies and other costs of completing the transactions and commencing operations in new markets and offices. There were no merger-related expenses in the third quarter of 2012. Exclusive of these nonoperating expenses, noninterest operating expenses were $602 million in the recent quarter, compared with $619 million in the third quarter of 2011 and $604 million in the second quarter of 2012.</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Other expense for the first nine months of 2012 aggregated $1.88 billion, up $145 million or 8% from $1.74 billion in the corresponding 2011 period. Included in those amounts are expenses considered to be “nonoperating” in nature consisting of amortization of core deposit and other intangible assets of $47 million and $44 million in the nine-month periods ended September 30, 2012 and 2011, respectively, and merger-related expenses of $10 million and $67 million in the first nine months of 2012 and 2011, respectively. Exclusive of these nonoperating expenses, noninterest operating expenses through the first nine months of 2012 increased $200 million or 12% to $1.83 billion from $1.63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billion in the similar 2011 period. The most significant factors for that increase were costs associated with the acquired operations of Wilmington Trust. Table 2 provides a reconciliation of other expense to noninterest operating expense.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Salaries and employee benefits expense totaled $322 million in the third quarter of 2012, compared with $325 million in the third quarter of 2011 and $324 million in the second quarter of 2012. As noted in table 2, merger-related salaries and benefits costs were $285 thousand and $3 million for the quarters ended September 30, 2011 and June 30, 2012, respectively. For the first three quarters of 2012, salaries and employee benefits expense totaled $992 million, compared with $891 million in the year-earlier period. Exclusive of merger-related expenses, salaries and benefits expense rose 13% or $111 million in the nine-month period ended September 30, 2012 from the corresponding 2011 period. That increase reflects the impact of operations associated with the acquisition of Wilmington Trust on May 16, 2011.</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Salaries and employee benefits included stock-based compensation of $11 million in the recent quarter, compared with $12 million during each of the quarters ended September 30, 2011 and June 30, 2012, and $46 million and $43 million for the nine-month periods ended September 30, 2012 and 2011, respectively. The number of full-time equivalent employees was 14,434 at September 30, 2012, 15,074 at September 30, 2011, 15,072 at December 31, 2011 and 14,629 at June 30, 2012.</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Excluding the nonoperating expense items described earlier from each quarter, nonpersonnel operating expenses were $280 million in the third quarter of 2012, compared with $294 million and $284 million in the similar quarter of 2011 and the second quarter of 2012, respectively. On the same basis, such expenses were $840 million and $751 million during the first nine months of 2012 and 2011, respectively. The rise in nonpersonnel operating expenses in the first nine months of 2012 as compared with the corresponding 2011 period was due predominantly to the impact of the operations associated with the Wilmington Trust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provision for income taxes for the third quarter of 2012 was $153 million, compared with $82 million and $119 million in the year-earlier quarter and second quarter of 2012, respectively. The effective tax rates were 34.3%, 30.9% and 33.7% for the quarters ended September 30, 2012, September 30, 2011 and June 30, 2012, respectively. For the nine-month periods ended September 30, 2012 and 2011, the provision for income taxes was $374 million and $310 million, respectively, and the effective tax rates were 33.8% and 30.3%,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the recognition of the non-taxable gain of $65 million on the Wilmington Trust acquisition in the second quarter of 2011 served to lower the effective tax rate in that quarter and first nine months of 2011. Income taxes in the second quarter of 2011 also reflected the resolution in that period of previously uncertain tax positions related to the Company’s 2009 tax year that allowed the Company to reduce its accrual for income taxes in that quarter by $7 million. Excluding the impact of the merger-related gain and the credit to income tax expense noted above in the second quarter of 2011, the Company’s effective tax rate for the first nine months of 2011 would have been 33.1%.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Shareholders’ equity was $9.9 billion at September 30, 2012, representing 12.27% of total assets, compared with $9.4 billion or 12.04% of total assets a year earlier and $9.3 billion or 11.90% at December 31, 2011. Included in shareholders’ equity was preferred stock with financial statement carrying values of $870 million at September 30, 2012, $863 million at September 30, 2011 and $865 million at December 31, 2011. As discussed earlier, the U.S. Treasury completed a public offering of its holding of M&amp;T Series A and Series C preferred stock in August 2012, resulting in M&amp;T’s exit from the TARP.</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Common shareholders’ equity was $9.1 billion, or $71.17 per share, at September 30, 2012, compared with $8.5 billion, or $67.70 per share, at September 30, 2011 and $8.4 billion, or $66.82 per share, at December 31, 2011. Tangible equity per common share, which excludes goodwill and core deposit and other intangible assets and applicable deferred tax balances, was $42.80 at the end of the recent quarter, compared with $38.56 a year earlier and $37.79 at December 31, 2011. The Company’s ratio of tangible common equity to tangible assets was 7.04% at September 30, 2012, compared with 6.53% a year earlier and 6.40% at December 31, 2011. Reconciliations of total common shareholders’ equity and tangible common equity and total assets and tangible assets as of each of those respective dates are presented in table 2.</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available-for-sale,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$34 million, or $.27 per common share, at September 30, 2012, compared with unrealized losses of $78 million, or $.62 per common share, at each of September 30, 2011 and December 31, 2011. Information about unrealized gains and losses as of September 30, 2012 and December 31, 2011 is included in note 3 of Notes to Financial Statements.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Reflected in net unrealized gains at September 30, 2012 were pre-tax effect unrealized losses of $187 million on available-for-sale investment securities with an amortized cost of $1.2 billion and pre-tax effect unrealized gains of $280 million on securities with an amortized cost of $3.9 billion. The pre-tax effect unrealized losses reflect $149 million of losses on privately issued residential mortgage-backed securities with an amortized cost of $1.1 billion and an estimated fair value of $911 million (considered Level 3 valuations) and $29 million of losses on trust preferred securities issued by financial institutions having an amortized cost of $122 million and an estimated fair value of $93 million (generally considered Level 2 valuations).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September 30, 2012. As with any accounting estimate or other data, changes in fair values and investment ratings may occur at any time.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As a percentage of carrying</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unrealized</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Fair</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gains</w:t>
            </w:r>
          </w:p>
        </w:tc>
        <w:tc>
          <w:tcPr>
            <w:tcW w:w="7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AAA</w:t>
            </w: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Investment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Senior</w:t>
            </w: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Credit</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Collateral type</w:t>
            </w:r>
          </w:p>
        </w:tc>
        <w:tc>
          <w:tcPr>
            <w:tcW w:w="10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value</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(losses)</w:t>
            </w: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rated</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grade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tranche</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enhancement(b)</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status(c)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w w:val="96"/>
              </w:rPr>
              <w:t>(Dollars in thousands)</w:t>
            </w: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540" w:type="dxa"/>
            <w:vAlign w:val="bottom"/>
            <w:gridSpan w:val="3"/>
          </w:tcPr>
          <w:p>
            <w:pPr>
              <w:spacing w:after="0"/>
              <w:rPr>
                <w:sz w:val="20"/>
                <w:szCs w:val="20"/>
                <w:color w:val="auto"/>
              </w:rPr>
            </w:pPr>
            <w:r>
              <w:rPr>
                <w:rFonts w:ascii="Arial" w:cs="Arial" w:eastAsia="Arial" w:hAnsi="Arial"/>
                <w:sz w:val="18"/>
                <w:szCs w:val="18"/>
                <w:color w:val="auto"/>
              </w:rPr>
              <w:t>Residential mortgage loans: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Prime – fixed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45,977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Prime – Hybrid ARMs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1,026,723</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908,682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(118,041)</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29</w:t>
            </w:r>
          </w:p>
        </w:tc>
        <w:tc>
          <w:tcPr>
            <w:tcW w:w="40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Alt-A – Hybrid ARMs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117,619</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89,546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(28,073)</w:t>
            </w:r>
          </w:p>
        </w:tc>
        <w:tc>
          <w:tcPr>
            <w:tcW w:w="7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12,288</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10,863</w:t>
            </w:r>
          </w:p>
        </w:tc>
        <w:tc>
          <w:tcPr>
            <w:tcW w:w="3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(1,425)</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67</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1,198,896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1,055,068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(143,828)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3"/>
        </w:trPr>
        <w:tc>
          <w:tcPr>
            <w:tcW w:w="354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10,837</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10,568</w:t>
            </w:r>
          </w:p>
        </w:tc>
        <w:tc>
          <w:tcPr>
            <w:tcW w:w="3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1,209,733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1,065,636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(144,097)</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1"/>
        </w:trPr>
        <w:tc>
          <w:tcPr>
            <w:tcW w:w="3540" w:type="dxa"/>
            <w:vAlign w:val="bottom"/>
            <w:gridSpan w:val="3"/>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Residential and commercial mortgage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(92,632)</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w:t>
            </w:r>
          </w:p>
        </w:tc>
        <w:tc>
          <w:tcPr>
            <w:tcW w:w="1060" w:type="dxa"/>
            <w:vAlign w:val="bottom"/>
            <w:gridSpan w:val="2"/>
            <w:vMerge w:val="restart"/>
          </w:tcPr>
          <w:p>
            <w:pPr>
              <w:ind w:left="480"/>
              <w:spacing w:after="0"/>
              <w:rPr>
                <w:sz w:val="20"/>
                <w:szCs w:val="20"/>
                <w:color w:val="auto"/>
              </w:rPr>
            </w:pPr>
            <w:r>
              <w:rPr>
                <w:rFonts w:ascii="Arial" w:cs="Arial" w:eastAsia="Arial" w:hAnsi="Arial"/>
                <w:sz w:val="18"/>
                <w:szCs w:val="18"/>
                <w:color w:val="auto"/>
              </w:rPr>
              <w:t>30%</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95%</w:t>
            </w: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1,458,174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1,221,445</w:t>
            </w:r>
          </w:p>
        </w:tc>
        <w:tc>
          <w:tcPr>
            <w:tcW w:w="3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(236,729)</w:t>
            </w:r>
          </w:p>
        </w:tc>
        <w:tc>
          <w:tcPr>
            <w:tcW w:w="72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September 30, 2012</w:t>
      </w:r>
    </w:p>
    <w:p>
      <w:pPr>
        <w:spacing w:after="0" w:line="15" w:lineRule="exact"/>
        <w:rPr>
          <w:rFonts w:ascii="Arial" w:cs="Arial" w:eastAsia="Arial" w:hAnsi="Arial"/>
          <w:sz w:val="18"/>
          <w:szCs w:val="18"/>
          <w:i w:val="1"/>
          <w:iCs w:val="1"/>
          <w:color w:val="auto"/>
        </w:rPr>
      </w:pPr>
    </w:p>
    <w:p>
      <w:pPr>
        <w:ind w:left="460" w:right="280" w:hanging="452"/>
        <w:spacing w:after="0" w:line="250"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1"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the full amount of all contractually required principal and interest payments expected at acquisition continue to be received.</w:t>
      </w:r>
    </w:p>
    <w:p>
      <w:pPr>
        <w:spacing w:after="0" w:line="13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estimating values for privately issued mortgage-backed securities, the Company was restricted in the level of market observable assumptions used in the valuation of such securities. Because of reduced trading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September 30, 2012 and December 31, 2011. GAAP provides guidance for estimating fair value when the volume and level of trading activity for an asset or liability have significantly decreased. In consideration of that guidance, the Company performed internal modeling to estimate the cash flows and fair value of privately issued residential mortgage-backed securities with an amortized cost basis of $1.2 billion and $1.3 billion at September 30, 2012 and December 31, 2011, respectively. The Company’s internal modeling techniques included discounting estimated bond-specific cash flows using assumptions about cash flows associated with loans underlying each of the bonds. In estimating those cash flows, the Company used conservative assumptions as to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determine the most representative fair value for those bonds under current market conditions, the Company averaged the internal model valuations and the indications obtained from the two independent pricing sources resulting in a one-third weighting on the internal model valuation and a two-thirds weighting on valuations provided by the independent sources. Further information concerning the Company’s valuations of privately issued mortgage-backed securities can be found in note 12 of Notes to Financial Statements.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During the quarter ended September 30, 2012 the Company recognized $6 million (pre-tax) of other-than-temporary impairment losses related to privately issued residential mortgage-backed securities.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privately issued mortgage-backed securities, the modeling for other than temporary impairment utilized assumptions about the expected underlying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performance of the mortgage loan collateral considering recent collateral performance and future assumptions regarding default and loss severity.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2012, projected model default percentages on the underlying mortgage loan collateral ranged from 2% to 31% and loss severities ranged from 22%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74%. For bonds in which the Company has recognized an other-than-temporary impairment charge, the weighted-average percentage of default collateral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and the weighted-average loss severity was 48%. For bonds without other-than-temporary impairment losses, the weighted-average default percentage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severity were 10% and 36%, respectively. Underlying mortgage loan collateral cash flows, after considering the impact of estimated credit losses,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distributed by the model to the various securities within the securitization structure to determine the timing and extent of losses at the bond level, if any. Despite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high levels of delinquencies and losses in the underlying residential mortgage loan collateral, given credit enhancements resulting from the structures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individual bonds, the Company has concluded that as of September 30, 2012 its remaining privately issued mortgage-backed securities were not other-than-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temporarily impaired. Nevertheless, given recent market conditions, it is possible that adverse changes in repayment performance and fair value could occur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remainder of 2012 and later years that could impact the Company’s conclusions. For example, a 10% increase in the estimated default rate assumption and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 increase in the severity rate assumption would have increased the other-than-temporary impairment charge recognized by the Company for the three months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2012 by $7 million. Information comparing the amortized cost and fair value of investment securities is included in note 3 of Notes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The Company’s model as described above uses projected default and loss severity assumptions. Information on the current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enhancement and current payment status of privately issued mortgage-backed securities at September 30, 2012 is included in the accompanying table.</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Similar to its evaluation of available-for-sale privately issued mortgage-backed securities, the Company assesses impairment losses on privately issued CMOs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CMOs in the held-to-maturity portfolio during the third quarter of 2012. In total, at September 30, 2012 and December 31, 2011, the Company had in its held-to-maturity portfolio CMOs with an amortized cost basis of $248 million and $269 million, respectively, and a fair value of $156 million and $170 million,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September 30, 2012, the Company also had pre-tax unrealized losses of $30 million on $133 million of trust preferred securities issued by financial institutions, securities backed by trust preferred securities, and other debt securities (reflecting $1 million of unrealized losses on $10 million of securities using a Level 3 valuation). Pre-tax unrealized losses of $47 million existed on $200 million of such securities at December 31, 2011. After evaluating the expected repayment performance of those bonds, the Company did not recognize any other-than-temporary impairment losses related to those securities during the quarter ended September 30, 2012.</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previously noted, during the third quarter of 2011 the Company recognized $10 million (pre-tax) of other-than-temporary losses, all related to privately issued residential mortgage-backed securities. During the second quarter of 2012, the Company recognized $16 million (pre-tax) of other-than-temporary losses, including $14 million related to privately issued residential mortgage-backed securities and $2 million related to commercial mortgage-backed securities.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September 30, 2012,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$264 million, or $2.07 per common share, at September 30, 2012, $114 million, or $.91 per common share, at September 30, 2011 and $278 million, or $2.21 per common share, at December 31, 2011. The increase in such adjustment at the recent quarter-end and at December 31, 2011 as compared with September 30, 2011 was predominantly the result of a 100 basis point reduction in the discount rate used to measure the benefit obligations of the defined benefit plans at such dates and actual investment returns in the qualified defined benefit pension plan that were less than expected returns.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dividends declared on M&amp;T’s common stock totaled approximately $89 million in each of the three-month periods ended September 30,</w:t>
      </w:r>
    </w:p>
    <w:p>
      <w:pPr>
        <w:spacing w:after="0" w:line="38"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2012, September 30, 2011 and June 30, 2012 and represented a quarterly dividend of $.70 per common share in each of those quarters. Common stock dividends during the nine-month periods ended September 30, 2012 and 2011 were $268 million and $262 million, respectively.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w w:val="82"/>
              </w:rPr>
              <w:t>1st Qtr.</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2nd Qtr.</w:t>
            </w:r>
          </w:p>
        </w:tc>
        <w:tc>
          <w:tcPr>
            <w:tcW w:w="40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color w:val="auto"/>
              </w:rPr>
              <w:t>3rd Qtr.</w:t>
            </w:r>
          </w:p>
        </w:tc>
        <w:tc>
          <w:tcPr>
            <w:tcW w:w="800" w:type="dxa"/>
            <w:vAlign w:val="bottom"/>
            <w:gridSpan w:val="2"/>
          </w:tcPr>
          <w:p>
            <w:pPr>
              <w:spacing w:after="0"/>
              <w:rPr>
                <w:sz w:val="20"/>
                <w:szCs w:val="20"/>
                <w:color w:val="auto"/>
              </w:rPr>
            </w:pPr>
            <w:r>
              <w:rPr>
                <w:rFonts w:ascii="Arial" w:cs="Arial" w:eastAsia="Arial" w:hAnsi="Arial"/>
                <w:sz w:val="14"/>
                <w:szCs w:val="14"/>
                <w:color w:val="auto"/>
                <w:w w:val="95"/>
              </w:rPr>
              <w:t>Year- to-date</w:t>
            </w:r>
          </w:p>
        </w:tc>
      </w:tr>
      <w:tr>
        <w:trPr>
          <w:trHeight w:val="142"/>
        </w:trPr>
        <w:tc>
          <w:tcPr>
            <w:tcW w:w="4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Series A – 2012</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Series A – 2011</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7,500</w:t>
            </w:r>
          </w:p>
        </w:tc>
        <w:tc>
          <w:tcPr>
            <w:tcW w:w="540" w:type="dxa"/>
            <w:vAlign w:val="bottom"/>
          </w:tcPr>
          <w:p>
            <w:pPr>
              <w:jc w:val="right"/>
              <w:spacing w:after="0"/>
              <w:rPr>
                <w:sz w:val="20"/>
                <w:szCs w:val="20"/>
                <w:color w:val="auto"/>
              </w:rPr>
            </w:pPr>
            <w:r>
              <w:rPr>
                <w:rFonts w:ascii="Arial" w:cs="Arial" w:eastAsia="Arial" w:hAnsi="Arial"/>
                <w:sz w:val="18"/>
                <w:szCs w:val="18"/>
                <w:color w:val="auto"/>
              </w:rPr>
              <w:t>7,654</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2,875</w:t>
            </w:r>
          </w:p>
        </w:tc>
        <w:tc>
          <w:tcPr>
            <w:tcW w:w="700" w:type="dxa"/>
            <w:vAlign w:val="bottom"/>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Series B – 2011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Series C – 2012</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1,894</w:t>
            </w:r>
          </w:p>
        </w:tc>
        <w:tc>
          <w:tcPr>
            <w:tcW w:w="540" w:type="dxa"/>
            <w:vAlign w:val="bottom"/>
          </w:tcPr>
          <w:p>
            <w:pPr>
              <w:jc w:val="right"/>
              <w:spacing w:after="0"/>
              <w:rPr>
                <w:sz w:val="20"/>
                <w:szCs w:val="20"/>
                <w:color w:val="auto"/>
              </w:rPr>
            </w:pPr>
            <w:r>
              <w:rPr>
                <w:rFonts w:ascii="Arial" w:cs="Arial" w:eastAsia="Arial" w:hAnsi="Arial"/>
                <w:sz w:val="18"/>
                <w:szCs w:val="18"/>
                <w:color w:val="auto"/>
              </w:rPr>
              <w:t>1,894</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1,894</w:t>
            </w:r>
          </w:p>
        </w:tc>
        <w:tc>
          <w:tcPr>
            <w:tcW w:w="700" w:type="dxa"/>
            <w:vAlign w:val="bottom"/>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Series C – 2011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Series D – 2012</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8,594</w:t>
            </w:r>
          </w:p>
        </w:tc>
        <w:tc>
          <w:tcPr>
            <w:tcW w:w="540" w:type="dxa"/>
            <w:vAlign w:val="bottom"/>
          </w:tcPr>
          <w:p>
            <w:pPr>
              <w:jc w:val="right"/>
              <w:spacing w:after="0"/>
              <w:rPr>
                <w:sz w:val="20"/>
                <w:szCs w:val="20"/>
                <w:color w:val="auto"/>
              </w:rPr>
            </w:pPr>
            <w:r>
              <w:rPr>
                <w:rFonts w:ascii="Arial" w:cs="Arial" w:eastAsia="Arial" w:hAnsi="Arial"/>
                <w:sz w:val="18"/>
                <w:szCs w:val="18"/>
                <w:color w:val="auto"/>
              </w:rPr>
              <w:t>8,593</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8,594</w:t>
            </w:r>
          </w:p>
        </w:tc>
        <w:tc>
          <w:tcPr>
            <w:tcW w:w="700" w:type="dxa"/>
            <w:vAlign w:val="bottom"/>
          </w:tcPr>
          <w:p>
            <w:pPr>
              <w:jc w:val="right"/>
              <w:spacing w:after="0"/>
              <w:rPr>
                <w:sz w:val="20"/>
                <w:szCs w:val="20"/>
                <w:color w:val="auto"/>
              </w:rPr>
            </w:pPr>
            <w:r>
              <w:rPr>
                <w:rFonts w:ascii="Arial" w:cs="Arial" w:eastAsia="Arial" w:hAnsi="Arial"/>
                <w:sz w:val="18"/>
                <w:szCs w:val="18"/>
                <w:color w:val="auto"/>
              </w:rPr>
              <w:t>25,781</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Series D – 2011</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100" w:type="dxa"/>
            <w:vAlign w:val="bottom"/>
            <w:shd w:val="clear" w:color="auto" w:fill="CCEEFF"/>
          </w:tcPr>
          <w:p>
            <w:pPr>
              <w:spacing w:after="0"/>
              <w:rPr>
                <w:sz w:val="18"/>
                <w:szCs w:val="18"/>
                <w:color w:val="auto"/>
              </w:rPr>
            </w:pPr>
          </w:p>
        </w:tc>
      </w:tr>
      <w:tr>
        <w:trPr>
          <w:trHeight w:val="222"/>
        </w:trPr>
        <w:tc>
          <w:tcPr>
            <w:tcW w:w="4140" w:type="dxa"/>
            <w:vAlign w:val="bottom"/>
          </w:tcPr>
          <w:p>
            <w:pPr>
              <w:ind w:left="440"/>
              <w:spacing w:after="0"/>
              <w:rPr>
                <w:sz w:val="20"/>
                <w:szCs w:val="20"/>
                <w:color w:val="auto"/>
              </w:rPr>
            </w:pPr>
            <w:r>
              <w:rPr>
                <w:rFonts w:ascii="Arial" w:cs="Arial" w:eastAsia="Arial" w:hAnsi="Arial"/>
                <w:sz w:val="18"/>
                <w:szCs w:val="18"/>
                <w:color w:val="auto"/>
              </w:rPr>
              <w:t>Totals – 2012</w:t>
            </w:r>
          </w:p>
        </w:tc>
        <w:tc>
          <w:tcPr>
            <w:tcW w:w="2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13,363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13,362</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13,363</w:t>
            </w:r>
          </w:p>
        </w:tc>
        <w:tc>
          <w:tcPr>
            <w:tcW w:w="700" w:type="dxa"/>
            <w:vAlign w:val="bottom"/>
          </w:tcPr>
          <w:p>
            <w:pPr>
              <w:jc w:val="right"/>
              <w:spacing w:after="0"/>
              <w:rPr>
                <w:sz w:val="20"/>
                <w:szCs w:val="20"/>
                <w:color w:val="auto"/>
              </w:rPr>
            </w:pPr>
            <w:r>
              <w:rPr>
                <w:rFonts w:ascii="Arial" w:cs="Arial" w:eastAsia="Arial" w:hAnsi="Arial"/>
                <w:sz w:val="18"/>
                <w:szCs w:val="18"/>
                <w:color w:val="auto"/>
              </w:rPr>
              <w:t>40,088</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 – 2011</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10,498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14,079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May 18, 2011, M&amp;T redeemed $370 million of the Series A Preferred Stock originally issued on December 23, 2008 to the U.S. Treasury. The Series B Preferred Stock was converted to M&amp;T common stock on April 1, 2011. The Series D Preferred Stock was issued on May 31,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2011 or the first nine months of 2012.</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At September 30, 2012, Tier 1 capital included trust preferred securities of $1.2 billion as described in note 5 of Notes to Financial Statements and total capital further included subordinated capital notes of $1.6 billion. Pursuant to the Dodd-Frank Act, trust preferred securities will be phased-out of the definition of Tier 1 capital of bank holding companies.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regulatory capital ratios of the Company, M&amp;T Bank and Wilmington Trust, N.A., as of September 30, 2012 are presented in the accompanying table.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color w:val="auto"/>
              </w:rPr>
              <w:t>M&amp;T</w:t>
            </w:r>
          </w:p>
        </w:tc>
        <w:tc>
          <w:tcPr>
            <w:tcW w:w="1220" w:type="dxa"/>
            <w:vAlign w:val="bottom"/>
            <w:gridSpan w:val="2"/>
          </w:tcPr>
          <w:p>
            <w:pPr>
              <w:jc w:val="right"/>
              <w:ind w:right="82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Wilmington</w:t>
            </w:r>
          </w:p>
        </w:tc>
        <w:tc>
          <w:tcPr>
            <w:tcW w:w="0" w:type="dxa"/>
            <w:vAlign w:val="bottom"/>
          </w:tcPr>
          <w:p>
            <w:pPr>
              <w:spacing w:after="0"/>
              <w:rPr>
                <w:sz w:val="1"/>
                <w:szCs w:val="1"/>
                <w:color w:val="auto"/>
              </w:rPr>
            </w:pPr>
          </w:p>
        </w:tc>
      </w:tr>
      <w:tr>
        <w:trPr>
          <w:trHeight w:val="159"/>
        </w:trPr>
        <w:tc>
          <w:tcPr>
            <w:tcW w:w="5980" w:type="dxa"/>
            <w:vAlign w:val="bottom"/>
          </w:tcPr>
          <w:p>
            <w:pPr>
              <w:spacing w:after="0"/>
              <w:rPr>
                <w:sz w:val="13"/>
                <w:szCs w:val="13"/>
                <w:color w:val="auto"/>
              </w:rPr>
            </w:pPr>
          </w:p>
        </w:tc>
        <w:tc>
          <w:tcPr>
            <w:tcW w:w="154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w w:val="85"/>
              </w:rPr>
              <w:t>(Consolidated)</w:t>
            </w:r>
          </w:p>
        </w:tc>
        <w:tc>
          <w:tcPr>
            <w:tcW w:w="1220" w:type="dxa"/>
            <w:vAlign w:val="bottom"/>
            <w:gridSpan w:val="2"/>
          </w:tcPr>
          <w:p>
            <w:pPr>
              <w:jc w:val="right"/>
              <w:ind w:right="840"/>
              <w:spacing w:after="0" w:line="159" w:lineRule="exact"/>
              <w:rPr>
                <w:sz w:val="20"/>
                <w:szCs w:val="20"/>
                <w:color w:val="auto"/>
              </w:rPr>
            </w:pPr>
            <w:r>
              <w:rPr>
                <w:rFonts w:ascii="Arial" w:cs="Arial" w:eastAsia="Arial" w:hAnsi="Arial"/>
                <w:sz w:val="14"/>
                <w:szCs w:val="14"/>
                <w:color w:val="auto"/>
              </w:rPr>
              <w:t>Bank</w:t>
            </w:r>
          </w:p>
        </w:tc>
        <w:tc>
          <w:tcPr>
            <w:tcW w:w="8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Trust, N.A.</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10.21%</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capital</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13.55%</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12.09%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9.82%</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Business Banking segment recorded net income of $38 million during the quarter ended September 30, 2012, 23% higher than the $31 million earned in the year-earlier quarter and 4% above $37 million earned in the immediately preceding quarter. The recent quarter’s improvement as compared with 2011’s third quarter reflects a $4 million decline in the provision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credit losses, due to lower net charge-offs of loans, a $3 million rise in net interest income and a $2 million increase in merchant and credit card revenues. The higher net interest income resulted from a rise in average outstanding deposit balances of $906 million and a 10 basis point widening of the net interest margin on loans offset, in part, by a $354 million decline in average outstanding loan balances. In comparison to the second quarter of 2012, a $6 million increase in net interest income, due largely to a $659 million increase in average outstanding deposit balances and a 16 basis point widening of the net interest margin on loans, was partially offset by a $2 million decline in fees earned for providing deposit account services and a $2 million increase in the provision for credit losses. Net income recorded by the Business Banking segment totaled $111 million and $84 million for the first nine months of 2012 and 2011, respectively. The 32% improvement in net income can be attributed to a $20 million reduction in the provision for credit losses, higher net interest income of $14 million and increased merchant and credit card revenues of $5 million. The higher net interest income reflects a $1.1 billion increase in average outstanding deposit balances and a 12 basis point widening of the net interest margin on loans offset, in part, by a 12 basis point narrowing of the net interest margin on deposit balances.</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income earned by the Commercial Banking segment totaled $113 million in the recent quarter, 20% above the $94 million earned in the third quarter of 2011 and 13% higher than the $100 million recorded in 2012’s second quarter. Factors contributing to the improved recent quarter performance as compared with the corresponding 2011 quarter include: a $20 million increase in net interest income, resulting from a 43 basis point widening of the net interest margin on deposits and a $1.3 billion rise in average outstanding loan balances; a $7 million decline in the provision for credit losses, due to lower net charge-offs of loans; and a $4 million rise in credit-related fees, including fees earned for providing loan syndication services. The 13% increase in net income as compared with the second quarter of 2012 was largely due to a $16 million decrease in the provision for credit losses and a $4 million increase in net interest income, due to a 9 basis point widening of the net interest margin on deposits and one additional day in the recent quarter. Net contribution for the Commercial Banking segment increased to $315 million during the first nine months of 2012, a 14% improvement from the $277 million earned in the corresponding 2011 period. That improvement was due to higher net interest income of $71 million, the result of growth in average outstanding loan and deposit balances of $2.3 billion and $1.3 billion, respectively, and an 18 basis point widening of the net interest margin on deposits.</w:t>
      </w:r>
    </w:p>
    <w:p>
      <w:pPr>
        <w:spacing w:after="0" w:line="12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Commercial Real Estate segment recorded net income of $76 million in 2012’s third quarter, 16% above the $66 million recorded in the year-earlier quarter, but 6% lower than the $80 million earned in the quarter ended June 30, 2012. The improvement in net income as compared with the third quarter of 2011 was largely due to: an $11 million decrease in the provision for credit losses; higher mortgage banking revenues of $11 million; and a $5 million improvement in net interest income, predominantly due to a $732 million rise in average outstanding loan balances. Those favorable factors were offset, in part, by higher FDIC assessments of $7 million and salaries and employee benefits of $6 million. A $9 million increase in the provision for credit losses was the main factor for the recent quarter’s unfavorable performance as compared with the preceding quarter. Through September 30, net income for this segment increased 25% to $225 million in 2012 from $180 million in 2011. The most significant contributors to the increase in net income were: a $52 million rise in net interest income, resulting mostly from growth of $1.7 billion and $503 million in average outstanding loan and deposit balances, respectively, and a 7 basis point widening of the net interest margin on loans; a $44 million reduction in the provision for credit losses; and an $18 million increase in mortgage banking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revenues. Those favorable factors were offset, in part, by higher FDIC assessments, personnel costs and other operating expenses.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Discretionary Portfolio segment incurred net losses of $5 million in the recent quarter, compared with net income totaling $2 million in the year-earlier quarter and a net loss of $15 million in the second quarter of 2012. Included in this segment’s results for each of those quarters were net pre-tax losses from investment securities of $6 million in the recent quarter, $10 million in the third quarter of 2011 and $17 million in the second quarter of 2012. The net securities losses were predominantly due to other-than-temporary impairment charges related to certain privately issued CMOs. The unfavorable performance in the recent quarter as compared with the year-earlier quarter was due predominantly to a $15 million increase in intersegment costs related to a higher proportion of residential real estate loans being retained for portfolio rather than being sold. The favorable performance in the 2012 third quarter as compared with the immediately preceding quarter was predominantly due to the lower other-than-temporary impairment losses. For the first nine months of 2012, the Discretionary Portfolio segment incurred a net loss of $28 million, compared with net income of $77 million in the corresponding 2011 period. The most significant contributor to that unfavorable performance was the impact of securities gains and losses, which totaled to net losses of $33 million in the 2012 period and net gains of $98 million in the 2011 period. This segment realized $150 million of gains in the first and second quarters of 2011 on the sale of residential mortgage-backed securities guaranteed by Fannie Mae and Freddie Mac. Other-than-temporary impairment losses were $33 million and $52 million during the nine-month periods ended September 30, 2012 and 2011, respectively. A $35 million rise in intersegment costs related to a higher proportion of residential real estate loans being retained for portfolio rather than being sold also contributed to the unfavorable performance in 2012 as compared with 2011.</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Net contribution from the Residential Mortgage Banking segment aggregated $45 million in the recent quarter, improved from $11 million in the third 2011 quarter and $26 million in 2012’s second quarter. The recent quarter’s improvement as compared with the similar 2011 period resulted from a $55 million increase in revenues from residential mortgage origination and sales activities (including intersegment revenues), due to higher origination volumes and wider margins on loans originated for sale, $7 million growth in revenues from servicing residential real estate loans and higher net interest income of $4 million, largely due to a $628 million increase in average outstanding loan balances. As compared with the second 2012 quarter, the recent quarter’s favorable performance was due to a $26 million increase in revenues from residential mortgage origination and sales activities (including intersegment revenues), due to higher origination volumes and wider margins on loans originated for sale, and an $11 million decline in the provision for credit losses offset, in part, by increases in servicing-related expenses. Year-to-date net income totaled $94 million and $22 million in 2012 and 2011, respectively. That significant improvement was due to a $114 million increase in revenues from residential mortgage origination and sales activities (including intersegment revenues), due to higher origination volumes and wider margins on loans originated for sale, and a $23 million rise in revenues from servicing residential real estate loans, partially offset by an increase in personnel and other costs.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Net income recorded by the Retail Banking segment aggregated $58 million in each of the third and second quarters of 2012, and $44 million in the third quarter of 2011. The 33% increase in the recent quarter’s net income as compared with the similar 2011 quarter was due to a $12 million improvement in net interest income and declines in FDIC assessments, personnel costs and provision for credit losses of $7 million, $5 million and $3 million, respectively. Those favorable factors were offset, in part, by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$9 million decline in fees earned for deposit account services. The improvement in net interest income can be primarily attributed to an 18 basis point widening of the net interest margin on deposits. As compared with the second quarter of 2012, a $4 million increase in fees earned for providing deposit account services was offset by higher noninterest operating expenses. The Retail Banking segment earned net income of $165 million in the first nine months of 2012, 9% above the $151 million recorded in the corresponding 2011 period. Contributing to the favorable performance was a $42 million increase in net interest income, largely due to a $2.1 billion increase in average outstanding deposit balances and a 6 basis point widening of the net interest margin on deposits, a $20 million reduction in FDIC assessments and a $4 million rise in merchant and credit card revenues. Those factors were offset, in part, by a $29 million decrease in fees earned for deposit account services, higher levels of personnel, equipment and net occupancy and other operating expenses.</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ICS and WAS activities obtained in the acquisition of Wilmington Trust on May 16, 2011 and the pre-acquisition trust activities of the Company. Revenues for ICS, WAS and the non-Wilmington Trust-related trust activities in the recent quarter were $46 million, $38 million and $32 million, respectively, compared with $47 million, $35 million and $28 million, respectively, in the year-earlier quarter and $50 million, $40 million and $32 million, respectively, in the second quarter of 2012. Individually and combined the net income of those activities did not exceed 10% of the Company’s net income. The various components of the “All Other” category resulted in net losses of $32 million, $64 million and $53 million in the quarters ended September 30, 2012, September 30, 2011 and June 30, 2012, respectively. The recent quarter’s favorable performance as compared with the third quarter of 2011 was due to: the impact of $26 million of merger-related expenses associated with the Wilmington Trust acquisition recorded in 2011’s third quarter (there were no merger-related expenses in the recent quarter); a $12 million decrease in personnel-related expenses; and a $14 million reduction in other noninterest operating expenses. Partially offsetting those factors was the unfavorable impact from the Company’s allocation methodologies for internal transfers for funding charges and credits associated with the earning assets and interest-bearing liabilities of the Company’s reportable segments and the provision for credit losses. The recent quarter’s improved performance as compared with the second quarter of 2012 was largely due to decreases in merger-related costs of $7 million and other noninterest operating expenses of $21 million, including personnel, equipment and occupancy costs. The “All Other” category incurred net losses of $149 million and $79 million for the first nine months of 2012 and 2011, respectively. The most significant contributors to the year-over-year unfavorable performance were: higher personnel-related expenses and professional services costs of $78 million and $42 million, respectively; the impact of the $65 million non-taxable gain on the Wilmington Trust acquisition recorded in 2011; and the unfavorable impact from the Company’s allocation methodologies for internal transfers for funding charges and credits associated with the earning assets and interest-bearing liabilities of the Company’s reportable segments and the provision for credit losses. Partially offsetting those unfavorable items were higher trust-related revenues in 2012 of $136 million, reflecting the full nine-month impact of the Wilmington Trust acquisition, and merger-related expenses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recorded in the first nine months of 2012 of $10 million, compared with $67 million of merger-related costs recorded in the corresponding 2011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October 2012, the Financial Accounting Standards Board (“FASB”) issued amended accounting guidance relating to subsequent accounting for an indemnification asset recognized at the acquisition date as a result of a government-assisted acquisition of a financial institution. The amendment clarifies the existing subsequent measurement guidance for indemnification assets recognized as a result of a government-assisted acquisition of a financial institution that includes a loss-sharing agreement. Specifically, when an entity recognizes an indemnification asset as a result of a government-assisted acquisition of a financial institution and subsequently a change in the cash flows expected to be collected on the indemnification asset occurs (as a result of a change in cash flows expected to be collected on the assets subject to indemnification), the entity should account for the change in the measurement of the indemnification asset on the same basis as the change in the assets subject to indemnification. Any amortization of changes in value would be limited to the lesser of the contractual term of the indemnification agreement and the remaining life of the indemnified assets. The guidance is effective for fiscal years, and interim periods within those years, beginning on or after December 15, 2012. The guidance should be applied prospectively to any new indemnification assets recognized after the date of adoption and to indemnification assets existing as of the date of adoption. The Company does not expect the guidance to have a material impact on its financial position or results of operations.</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July 2012, the FASB issued amended accounting guidance relating to testing indefinite-lived intangible assets for impairment. The amendments are similar to the accounting guidance provided in September 2011 relating to the testing of goodwill for impairment. The amendments provide the option to first assess qualitative factors to determine whether the existence of events or circumstances leads to a determination that it is more likely than not that the indefinite-lived intangible asset is impaired. If, after assessing the totality of events and circumstances, an entity determines it is not more likely than not that the indefinite-lived intangible asset is impaired, then the entity is not required to take further action. However, if an entity concludes otherwise, then it is required to determine the fair value of the indefinite-lived intangible asset and perform the quantitative impairment test by comparing the fair value with the carrying amount. The optional guidance is effective for annual and interim impairment tests performed for fiscal years beginning after September 15, 2012, with early adoption permitted. The Company does not expect the guidance to have an impact on its financial position or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 intends to comply with the new disclosure guidance.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amended accounting guidance relating to testing goodwill for impairment. The amendments provide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The optional guidance is effective for annual and interim goodwill impairment tests performed for fiscal years beginning after December 15, 2011, with early adoption permitted. The Company did not early adopt the optional accounting guidance for its goodwill impairment test as of October 1, 2011 and does not expect the guidance to have an impact on its financial position or results of operations.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With either approach, an entity would have been required to present reclassification adjustments for items reclassified from other comprehensive income to net income in the statement(s). In December 2011, the reclassification adjustments guidance was deferred indefinitely. All other presentation guidance is effective for fiscal years, and interim periods within those years, beginning after December 15, 2011 and should be applied retrospectively. The Company has complied with the new presentation guidance using separate but consecutive statements.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 of the requirements for measuring fair value and for disclosing information about fair value measurements, but generally do not result in a change in the application of the existing guidance. The guidance is effective for interim and annual periods beginning after December 15, 2011 and should be applied prospectively. The Company has complied with the amended accounting and disclosure guidance. The adoption of this guidance did not have a significant impact on any of the Company’s fair value measurements. The disclosures relating to fair value measurements can be found in note 12 of Notes to Financial Statements.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is effective for the first interim or annual period beginning on or after December 15, 2011 and should be applied prospectively to transactions or modifications of existing transactions that occur on or after the effective date. The adoption of this guidance did not have a significant effect on the Company’s financial position or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2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Table 1</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2012 Quarters</w:t>
            </w:r>
          </w:p>
        </w:tc>
        <w:tc>
          <w:tcPr>
            <w:tcW w:w="6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2011 Quarters</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Second</w:t>
            </w:r>
          </w:p>
        </w:tc>
        <w:tc>
          <w:tcPr>
            <w:tcW w:w="62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2"/>
                <w:szCs w:val="12"/>
                <w:color w:val="auto"/>
              </w:rPr>
            </w:pPr>
          </w:p>
        </w:tc>
        <w:tc>
          <w:tcPr>
            <w:tcW w:w="9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Fourth</w:t>
            </w: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Third</w:t>
            </w: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8"/>
              </w:rPr>
              <w:t>Second</w:t>
            </w:r>
          </w:p>
        </w:tc>
        <w:tc>
          <w:tcPr>
            <w:tcW w:w="6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751,385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744,031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720,800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722,535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726,897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694,721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673,810</w:t>
            </w: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82,129</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89,403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93,706</w:t>
            </w: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97,969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103,632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2"/>
              </w:rPr>
              <w:t>102,051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669,256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654,628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627,094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624,566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623,265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592,670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575,131</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46,000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49,000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74,000</w:t>
            </w:r>
          </w:p>
        </w:tc>
        <w:tc>
          <w:tcPr>
            <w:tcW w:w="640" w:type="dxa"/>
            <w:vAlign w:val="bottom"/>
          </w:tcPr>
          <w:p>
            <w:pPr>
              <w:jc w:val="right"/>
              <w:spacing w:after="0"/>
              <w:rPr>
                <w:sz w:val="20"/>
                <w:szCs w:val="20"/>
                <w:color w:val="auto"/>
              </w:rPr>
            </w:pPr>
            <w:r>
              <w:rPr>
                <w:rFonts w:ascii="Arial" w:cs="Arial" w:eastAsia="Arial" w:hAnsi="Arial"/>
                <w:sz w:val="18"/>
                <w:szCs w:val="18"/>
                <w:color w:val="auto"/>
              </w:rPr>
              <w:t>58,000</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445,733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391,650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376,723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398,454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368,382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501,656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314,420</w:t>
            </w: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616,027</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627,392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5"/>
              </w:rPr>
              <w:t>639,695</w:t>
            </w: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5"/>
              </w:rPr>
              <w:t>739,583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662,019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2"/>
              </w:rPr>
              <w:t>576,895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499,571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452,962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358,886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315,122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209,437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271,628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454,431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314,980</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152,966</w:t>
            </w:r>
          </w:p>
        </w:tc>
        <w:tc>
          <w:tcPr>
            <w:tcW w:w="16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118,861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101,954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55,162</w:t>
            </w:r>
          </w:p>
        </w:tc>
        <w:tc>
          <w:tcPr>
            <w:tcW w:w="640" w:type="dxa"/>
            <w:vAlign w:val="bottom"/>
          </w:tcPr>
          <w:p>
            <w:pPr>
              <w:jc w:val="right"/>
              <w:spacing w:after="0"/>
              <w:rPr>
                <w:sz w:val="20"/>
                <w:szCs w:val="20"/>
                <w:color w:val="auto"/>
              </w:rPr>
            </w:pPr>
            <w:r>
              <w:rPr>
                <w:rFonts w:ascii="Arial" w:cs="Arial" w:eastAsia="Arial" w:hAnsi="Arial"/>
                <w:sz w:val="18"/>
                <w:szCs w:val="18"/>
                <w:color w:val="auto"/>
              </w:rPr>
              <w:t>81,974</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125,605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102,380</w:t>
            </w:r>
          </w:p>
        </w:tc>
      </w:tr>
      <w:tr>
        <w:trPr>
          <w:trHeight w:val="216"/>
        </w:trPr>
        <w:tc>
          <w:tcPr>
            <w:tcW w:w="20" w:type="dxa"/>
            <w:vAlign w:val="bottom"/>
          </w:tcPr>
          <w:p>
            <w:pPr>
              <w:spacing w:after="0"/>
              <w:rPr>
                <w:sz w:val="18"/>
                <w:szCs w:val="18"/>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6,705</w:t>
            </w:r>
          </w:p>
        </w:tc>
        <w:tc>
          <w:tcPr>
            <w:tcW w:w="9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6,535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200" w:type="dxa"/>
            <w:vAlign w:val="bottom"/>
            <w:shd w:val="clear" w:color="auto" w:fill="CCEEFF"/>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293,462</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233,380</w:t>
            </w:r>
          </w:p>
        </w:tc>
        <w:tc>
          <w:tcPr>
            <w:tcW w:w="3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206,463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147,740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183,108</w:t>
            </w:r>
          </w:p>
        </w:tc>
        <w:tc>
          <w:tcPr>
            <w:tcW w:w="3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322,358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206,273</w:t>
            </w: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273,896</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214,716</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188,241</w:t>
            </w:r>
          </w:p>
        </w:tc>
        <w:tc>
          <w:tcPr>
            <w:tcW w:w="94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129,804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164,671</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297,179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190,121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Per common share data</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Diluted earnings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125,220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124,615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124,575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122,181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119,201</w:t>
            </w: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126,292</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125,897</w:t>
            </w: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125,616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124,736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124,860</w:t>
            </w:r>
          </w:p>
        </w:tc>
        <w:tc>
          <w:tcPr>
            <w:tcW w:w="3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122,796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119,852</w:t>
            </w:r>
          </w:p>
        </w:tc>
      </w:tr>
      <w:tr>
        <w:trPr>
          <w:trHeight w:val="230"/>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Return 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Average common shareholders’ equity</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10.12%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7.84%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14.94%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r>
      <w:tr>
        <w:trPr>
          <w:trHeight w:val="20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interest margin on average earning assets (taxable-equivalent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Nonaccrual loans to total loans and leases, net of unearned discount</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1.54%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r>
      <w:tr>
        <w:trPr>
          <w:trHeight w:val="230"/>
        </w:trPr>
        <w:tc>
          <w:tcPr>
            <w:tcW w:w="20" w:type="dxa"/>
            <w:vAlign w:val="bottom"/>
          </w:tcPr>
          <w:p>
            <w:pPr>
              <w:spacing w:after="0"/>
              <w:rPr>
                <w:sz w:val="19"/>
                <w:szCs w:val="19"/>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302,060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247,433</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218,360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168,410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209,996</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289,487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216,360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Annualized return 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Average tangible common shareholders’ equity</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21.53%</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18.54%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16.79%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12.36%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55.75%</w:t>
            </w:r>
          </w:p>
        </w:tc>
      </w:tr>
      <w:tr>
        <w:trPr>
          <w:trHeight w:val="228"/>
        </w:trPr>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Average balances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80,087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78,026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72,454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68,045</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Total tangible assets (c)</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76,810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76,455</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74,381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74,737</w:t>
            </w:r>
          </w:p>
        </w:tc>
        <w:tc>
          <w:tcPr>
            <w:tcW w:w="640" w:type="dxa"/>
            <w:vAlign w:val="bottom"/>
          </w:tcPr>
          <w:p>
            <w:pPr>
              <w:jc w:val="right"/>
              <w:spacing w:after="0"/>
              <w:rPr>
                <w:sz w:val="20"/>
                <w:szCs w:val="20"/>
                <w:color w:val="auto"/>
              </w:rPr>
            </w:pPr>
            <w:r>
              <w:rPr>
                <w:rFonts w:ascii="Arial" w:cs="Arial" w:eastAsia="Arial" w:hAnsi="Arial"/>
                <w:sz w:val="18"/>
                <w:szCs w:val="18"/>
                <w:color w:val="auto"/>
              </w:rPr>
              <w:t>73,239</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68,806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64,423</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68,388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63,382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59,431</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7,271</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7,633</w:t>
            </w:r>
          </w:p>
        </w:tc>
        <w:tc>
          <w:tcPr>
            <w:tcW w:w="640" w:type="dxa"/>
            <w:vAlign w:val="bottom"/>
          </w:tcPr>
          <w:p>
            <w:pPr>
              <w:jc w:val="right"/>
              <w:spacing w:after="0"/>
              <w:rPr>
                <w:sz w:val="20"/>
                <w:szCs w:val="20"/>
                <w:color w:val="auto"/>
              </w:rPr>
            </w:pPr>
            <w:r>
              <w:rPr>
                <w:rFonts w:ascii="Arial" w:cs="Arial" w:eastAsia="Arial" w:hAnsi="Arial"/>
                <w:sz w:val="18"/>
                <w:szCs w:val="18"/>
                <w:color w:val="auto"/>
              </w:rPr>
              <w:t>7,005</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6,394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7,219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60,484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55,461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51,972</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62,743</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61,530</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59,291</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59,999</w:t>
            </w:r>
          </w:p>
        </w:tc>
        <w:tc>
          <w:tcPr>
            <w:tcW w:w="640" w:type="dxa"/>
            <w:vAlign w:val="bottom"/>
          </w:tcPr>
          <w:p>
            <w:pPr>
              <w:jc w:val="right"/>
              <w:spacing w:after="0"/>
              <w:rPr>
                <w:sz w:val="20"/>
                <w:szCs w:val="20"/>
                <w:color w:val="auto"/>
              </w:rPr>
            </w:pPr>
            <w:r>
              <w:rPr>
                <w:rFonts w:ascii="Arial" w:cs="Arial" w:eastAsia="Arial" w:hAnsi="Arial"/>
                <w:sz w:val="18"/>
                <w:szCs w:val="18"/>
                <w:color w:val="auto"/>
              </w:rPr>
              <w:t>58,473</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54,457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49,680</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shareholders’ equity (c)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8,096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7,708</w:t>
            </w:r>
          </w:p>
        </w:tc>
      </w:tr>
      <w:tr>
        <w:trPr>
          <w:trHeight w:val="223"/>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Tangible common shareholders’ equity (c)</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5,297</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5,036</w:t>
            </w: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4,865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4,893</w:t>
            </w:r>
          </w:p>
        </w:tc>
        <w:tc>
          <w:tcPr>
            <w:tcW w:w="640" w:type="dxa"/>
            <w:vAlign w:val="bottom"/>
          </w:tcPr>
          <w:p>
            <w:pPr>
              <w:jc w:val="right"/>
              <w:spacing w:after="0"/>
              <w:rPr>
                <w:sz w:val="20"/>
                <w:szCs w:val="20"/>
                <w:color w:val="auto"/>
              </w:rPr>
            </w:pPr>
            <w:r>
              <w:rPr>
                <w:rFonts w:ascii="Arial" w:cs="Arial" w:eastAsia="Arial" w:hAnsi="Arial"/>
                <w:sz w:val="18"/>
                <w:szCs w:val="18"/>
                <w:color w:val="auto"/>
              </w:rPr>
              <w:t>4,793</w:t>
            </w:r>
          </w:p>
        </w:tc>
        <w:tc>
          <w:tcPr>
            <w:tcW w:w="3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4,448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4,086</w:t>
            </w: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Total assets (c)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81,085</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80,808</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79,187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77,924</w:t>
            </w:r>
          </w:p>
        </w:tc>
        <w:tc>
          <w:tcPr>
            <w:tcW w:w="640" w:type="dxa"/>
            <w:vAlign w:val="bottom"/>
          </w:tcPr>
          <w:p>
            <w:pPr>
              <w:jc w:val="right"/>
              <w:spacing w:after="0"/>
              <w:rPr>
                <w:sz w:val="20"/>
                <w:szCs w:val="20"/>
                <w:color w:val="auto"/>
              </w:rPr>
            </w:pPr>
            <w:r>
              <w:rPr>
                <w:rFonts w:ascii="Arial" w:cs="Arial" w:eastAsia="Arial" w:hAnsi="Arial"/>
                <w:sz w:val="18"/>
                <w:szCs w:val="18"/>
                <w:color w:val="auto"/>
              </w:rPr>
              <w:t>77,864</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77,727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67,881</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tangible assets (c)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77,181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75,548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74,052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64,263</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71,220</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71,065</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69,490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68,027</w:t>
            </w:r>
          </w:p>
        </w:tc>
        <w:tc>
          <w:tcPr>
            <w:tcW w:w="640" w:type="dxa"/>
            <w:vAlign w:val="bottom"/>
          </w:tcPr>
          <w:p>
            <w:pPr>
              <w:jc w:val="right"/>
              <w:spacing w:after="0"/>
              <w:rPr>
                <w:sz w:val="20"/>
                <w:szCs w:val="20"/>
                <w:color w:val="auto"/>
              </w:rPr>
            </w:pPr>
            <w:r>
              <w:rPr>
                <w:rFonts w:ascii="Arial" w:cs="Arial" w:eastAsia="Arial" w:hAnsi="Arial"/>
                <w:sz w:val="18"/>
                <w:szCs w:val="18"/>
                <w:color w:val="auto"/>
              </w:rPr>
              <w:t>67,926</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67,837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58,822</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6,492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6,507</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64,112</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62,851</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60,922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60,096</w:t>
            </w:r>
          </w:p>
        </w:tc>
        <w:tc>
          <w:tcPr>
            <w:tcW w:w="640" w:type="dxa"/>
            <w:vAlign w:val="bottom"/>
          </w:tcPr>
          <w:p>
            <w:pPr>
              <w:jc w:val="right"/>
              <w:spacing w:after="0"/>
              <w:rPr>
                <w:sz w:val="20"/>
                <w:szCs w:val="20"/>
                <w:color w:val="auto"/>
              </w:rPr>
            </w:pPr>
            <w:r>
              <w:rPr>
                <w:rFonts w:ascii="Arial" w:cs="Arial" w:eastAsia="Arial" w:hAnsi="Arial"/>
                <w:sz w:val="18"/>
                <w:szCs w:val="18"/>
                <w:color w:val="auto"/>
              </w:rPr>
              <w:t>58,401</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58,541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52,119</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60,913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59,395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59,229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50,548</w:t>
            </w:r>
          </w:p>
        </w:tc>
      </w:tr>
      <w:tr>
        <w:trPr>
          <w:trHeight w:val="208"/>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w w:val="93"/>
              </w:rPr>
              <w:t>Common shareholders’ equity, net of undeclared cumulative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640"/>
              <w:spacing w:after="0"/>
              <w:rPr>
                <w:sz w:val="20"/>
                <w:szCs w:val="20"/>
                <w:color w:val="auto"/>
              </w:rPr>
            </w:pPr>
            <w:r>
              <w:rPr>
                <w:rFonts w:ascii="Arial" w:cs="Arial" w:eastAsia="Arial" w:hAnsi="Arial"/>
                <w:sz w:val="18"/>
                <w:szCs w:val="18"/>
                <w:color w:val="auto"/>
              </w:rPr>
              <w:t>preferred dividends (c)</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9,071</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8,758</w:t>
            </w: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8,559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8,403</w:t>
            </w:r>
          </w:p>
        </w:tc>
        <w:tc>
          <w:tcPr>
            <w:tcW w:w="640" w:type="dxa"/>
            <w:vAlign w:val="bottom"/>
          </w:tcPr>
          <w:p>
            <w:pPr>
              <w:jc w:val="right"/>
              <w:spacing w:after="0"/>
              <w:rPr>
                <w:sz w:val="20"/>
                <w:szCs w:val="20"/>
                <w:color w:val="auto"/>
              </w:rPr>
            </w:pPr>
            <w:r>
              <w:rPr>
                <w:rFonts w:ascii="Arial" w:cs="Arial" w:eastAsia="Arial" w:hAnsi="Arial"/>
                <w:sz w:val="18"/>
                <w:szCs w:val="18"/>
                <w:color w:val="auto"/>
              </w:rPr>
              <w:t>8,509</w:t>
            </w:r>
          </w:p>
        </w:tc>
        <w:tc>
          <w:tcPr>
            <w:tcW w:w="3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8,380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7,758</w:t>
            </w: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common shareholders’ equity (c)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4,140</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per common share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71.17</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69.15</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67.64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66.82</w:t>
            </w:r>
          </w:p>
        </w:tc>
        <w:tc>
          <w:tcPr>
            <w:tcW w:w="640" w:type="dxa"/>
            <w:vAlign w:val="bottom"/>
          </w:tcPr>
          <w:p>
            <w:pPr>
              <w:jc w:val="right"/>
              <w:spacing w:after="0"/>
              <w:rPr>
                <w:sz w:val="20"/>
                <w:szCs w:val="20"/>
                <w:color w:val="auto"/>
              </w:rPr>
            </w:pPr>
            <w:r>
              <w:rPr>
                <w:rFonts w:ascii="Arial" w:cs="Arial" w:eastAsia="Arial" w:hAnsi="Arial"/>
                <w:sz w:val="18"/>
                <w:szCs w:val="18"/>
                <w:color w:val="auto"/>
              </w:rPr>
              <w:t>67.70</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66.71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64.43</w:t>
            </w: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equity per common share</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34.38</w:t>
            </w:r>
          </w:p>
        </w:tc>
      </w:tr>
      <w:tr>
        <w:trPr>
          <w:trHeight w:val="229"/>
        </w:trPr>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Market price per common share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91.05</w:t>
            </w: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Low</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82.29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76.92</w:t>
            </w:r>
          </w:p>
        </w:tc>
        <w:tc>
          <w:tcPr>
            <w:tcW w:w="3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76.82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66.40</w:t>
            </w:r>
          </w:p>
        </w:tc>
        <w:tc>
          <w:tcPr>
            <w:tcW w:w="640" w:type="dxa"/>
            <w:vAlign w:val="bottom"/>
          </w:tcPr>
          <w:p>
            <w:pPr>
              <w:jc w:val="right"/>
              <w:spacing w:after="0"/>
              <w:rPr>
                <w:sz w:val="20"/>
                <w:szCs w:val="20"/>
                <w:color w:val="auto"/>
              </w:rPr>
            </w:pPr>
            <w:r>
              <w:rPr>
                <w:rFonts w:ascii="Arial" w:cs="Arial" w:eastAsia="Arial" w:hAnsi="Arial"/>
                <w:sz w:val="18"/>
                <w:szCs w:val="18"/>
                <w:color w:val="auto"/>
              </w:rPr>
              <w:t>66.41</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83.31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84.63</w:t>
            </w: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Closing</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86.88</w:t>
            </w:r>
          </w:p>
        </w:tc>
        <w:tc>
          <w:tcPr>
            <w:tcW w:w="9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0" w:gutter="0" w:footer="0" w:header="0"/>
        </w:sectPr>
      </w:pPr>
    </w:p>
    <w:p>
      <w:pPr>
        <w:spacing w:after="0" w:line="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Excludes amortization and balances related to goodwill and core deposit and other intangible assets and merger-related gains and expenses which, except</w:t>
      </w:r>
    </w:p>
    <w:p>
      <w:pPr>
        <w:sectPr>
          <w:pgSz w:w="11900" w:h="16838" w:orient="portrait"/>
          <w:cols w:equalWidth="0" w:num="1">
            <w:col w:w="11420"/>
          </w:cols>
          <w:pgMar w:left="240" w:top="459" w:right="239" w:bottom="0" w:gutter="0" w:footer="0" w:header="0"/>
          <w:type w:val="continuous"/>
        </w:sectPr>
      </w:pPr>
    </w:p>
    <w:bookmarkStart w:id="106" w:name="page107"/>
    <w:bookmarkEnd w:id="106"/>
    <w:p>
      <w:pPr>
        <w:ind w:left="452"/>
        <w:spacing w:after="0" w:line="254" w:lineRule="auto"/>
        <w:rPr>
          <w:sz w:val="20"/>
          <w:szCs w:val="20"/>
          <w:color w:val="auto"/>
        </w:rPr>
      </w:pPr>
      <w:r>
        <w:rPr>
          <w:rFonts w:ascii="Arial" w:cs="Arial" w:eastAsia="Arial" w:hAnsi="Arial"/>
          <w:sz w:val="18"/>
          <w:szCs w:val="18"/>
          <w:i w:val="1"/>
          <w:iCs w:val="1"/>
          <w:color w:val="auto"/>
        </w:rPr>
        <w:t>in the calculation of the efficiency ratio, are net of applicable income tax effects. A reconciliation of net income and net operating income appears in Table 2.</w:t>
      </w:r>
    </w:p>
    <w:p>
      <w:pPr>
        <w:ind w:left="452" w:hanging="452"/>
        <w:spacing w:after="0"/>
        <w:tabs>
          <w:tab w:leader="none" w:pos="452"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right="360" w:hanging="452"/>
        <w:spacing w:after="0" w:line="361" w:lineRule="auto"/>
        <w:tabs>
          <w:tab w:leader="none" w:pos="452" w:val="left"/>
        </w:tabs>
        <w:numPr>
          <w:ilvl w:val="0"/>
          <w:numId w:val="26"/>
        </w:numPr>
        <w:rPr>
          <w:rFonts w:ascii="Arial" w:cs="Arial" w:eastAsia="Arial" w:hAnsi="Arial"/>
          <w:sz w:val="15"/>
          <w:szCs w:val="15"/>
          <w:i w:val="1"/>
          <w:iCs w:val="1"/>
          <w:color w:val="auto"/>
        </w:rPr>
      </w:pPr>
      <w:r>
        <w:rPr>
          <w:rFonts w:ascii="Arial" w:cs="Arial" w:eastAsia="Arial" w:hAnsi="Arial"/>
          <w:sz w:val="15"/>
          <w:szCs w:val="15"/>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55" w:lineRule="exact"/>
        <w:rPr>
          <w:rFonts w:ascii="Arial" w:cs="Arial" w:eastAsia="Arial" w:hAnsi="Arial"/>
          <w:sz w:val="15"/>
          <w:szCs w:val="15"/>
          <w:i w:val="1"/>
          <w:iCs w:val="1"/>
          <w:color w:val="auto"/>
        </w:rPr>
      </w:pPr>
    </w:p>
    <w:p>
      <w:pPr>
        <w:ind w:left="5572" w:hanging="100"/>
        <w:spacing w:after="0"/>
        <w:tabs>
          <w:tab w:leader="none" w:pos="55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105 -</w:t>
      </w:r>
    </w:p>
    <w:p>
      <w:pPr>
        <w:sectPr>
          <w:pgSz w:w="11900" w:h="16838" w:orient="portrait"/>
          <w:cols w:equalWidth="0" w:num="1">
            <w:col w:w="11332"/>
          </w:cols>
          <w:pgMar w:left="248" w:top="131" w:right="319" w:bottom="1440" w:gutter="0" w:footer="0" w:header="0"/>
        </w:sectPr>
      </w:pPr>
    </w:p>
    <w:bookmarkStart w:id="107" w:name="page108"/>
    <w:bookmarkEnd w:id="107"/>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459"/>
        </w:trPr>
        <w:tc>
          <w:tcPr>
            <w:tcW w:w="6320" w:type="dxa"/>
            <w:vAlign w:val="bottom"/>
            <w:gridSpan w:val="5"/>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2012 Quarters</w:t>
            </w: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4"/>
                <w:szCs w:val="14"/>
                <w:b w:val="1"/>
                <w:bCs w:val="1"/>
                <w:color w:val="auto"/>
              </w:rPr>
              <w:t>2011 Quarters</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Third</w:t>
            </w:r>
          </w:p>
        </w:tc>
        <w:tc>
          <w:tcPr>
            <w:tcW w:w="11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Second</w:t>
            </w:r>
          </w:p>
        </w:tc>
        <w:tc>
          <w:tcPr>
            <w:tcW w:w="108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First</w:t>
            </w:r>
          </w:p>
        </w:tc>
        <w:tc>
          <w:tcPr>
            <w:tcW w:w="10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Fourth</w:t>
            </w:r>
          </w:p>
        </w:tc>
        <w:tc>
          <w:tcPr>
            <w:tcW w:w="1080" w:type="dxa"/>
            <w:vAlign w:val="bottom"/>
          </w:tcPr>
          <w:p>
            <w:pPr>
              <w:jc w:val="right"/>
              <w:ind w:right="373"/>
              <w:spacing w:after="0" w:line="155" w:lineRule="exact"/>
              <w:rPr>
                <w:sz w:val="20"/>
                <w:szCs w:val="20"/>
                <w:color w:val="auto"/>
              </w:rPr>
            </w:pPr>
            <w:r>
              <w:rPr>
                <w:rFonts w:ascii="Arial" w:cs="Arial" w:eastAsia="Arial" w:hAnsi="Arial"/>
                <w:sz w:val="14"/>
                <w:szCs w:val="14"/>
                <w:b w:val="1"/>
                <w:bCs w:val="1"/>
                <w:color w:val="auto"/>
              </w:rPr>
              <w:t>Third</w:t>
            </w:r>
          </w:p>
        </w:tc>
        <w:tc>
          <w:tcPr>
            <w:tcW w:w="96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Second</w:t>
            </w: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 statement data</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 except per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293,462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233,380</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206,463</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147,740</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183,108</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322,358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206,273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Amortization of core deposit and other intangible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8,598</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9,709</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10,240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10,476</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10,622</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8,974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Merger-related gain (a)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(64,930)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4,344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1,657</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10,194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16,266</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23,085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302,060</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247,433</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218,360</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168,410</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209,996</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289,487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Earnings per common share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2.17</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1.71</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1.50</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1.04</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1.32</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2.42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Amortization of core deposit and other intangible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.07</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.08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.08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.08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.08</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Merger-related gain (a)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 (a)</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.03</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.08</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Diluted net operating earnings per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1.82</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1.59</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1.20</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1.53</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2.16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expense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616,027</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627,392</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639,695</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739,583</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662,019</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576,895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Amortization of core deposit and other intangible assets</w:t>
            </w:r>
          </w:p>
        </w:tc>
        <w:tc>
          <w:tcPr>
            <w:tcW w:w="22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(14,085)</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(15,907)</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(16,774)</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(17,162)</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(17,401)</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(14,740)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(7,151)</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(2,728)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(16,393)</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(26,003)</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(36,996)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Noninterest operating expense</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601,942</w:t>
            </w:r>
          </w:p>
        </w:tc>
        <w:tc>
          <w:tcPr>
            <w:tcW w:w="11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rPr>
              <w:t>604,334</w:t>
            </w:r>
          </w:p>
        </w:tc>
        <w:tc>
          <w:tcPr>
            <w:tcW w:w="10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rPr>
              <w:t>620,193</w:t>
            </w:r>
          </w:p>
        </w:tc>
        <w:tc>
          <w:tcPr>
            <w:tcW w:w="10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rPr>
              <w:t>706,028</w:t>
            </w:r>
          </w:p>
        </w:tc>
        <w:tc>
          <w:tcPr>
            <w:tcW w:w="10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rPr>
              <w:t>618,615</w:t>
            </w:r>
          </w:p>
        </w:tc>
        <w:tc>
          <w:tcPr>
            <w:tcW w:w="9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rPr>
              <w:t>525,159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482,962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Merger-related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3,024</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1,973</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534</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285</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15,305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net occupancy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189</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119</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Printing, postage and supplies</w:t>
            </w:r>
          </w:p>
        </w:tc>
        <w:tc>
          <w:tcPr>
            <w:tcW w:w="22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1,475</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723</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318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costs of operations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4,127</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740</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14,195</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24,876</w:t>
            </w:r>
          </w:p>
        </w:tc>
        <w:tc>
          <w:tcPr>
            <w:tcW w:w="9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21,348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7,151</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2,728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16,393</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26,003</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36,996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Efficiency ratio</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Noninterest operating expense (numerator)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601,942</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604,334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620,193</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706,028</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618,615</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525,159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net interest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669,256</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654,628</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627,094</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624,566</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623,265</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592,670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445,733</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391,650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376,723</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398,454</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368,382</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501,656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Gain (loss) on bank investment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372</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(408)</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45</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89</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110,744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22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(5,672)</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(16,173)</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(11,486)</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(24,822)</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(9,642)</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(26,530)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Merger-related gain</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64,930</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w w:val="84"/>
              </w:rPr>
              <w:t>1,120,289</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1,062,859</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w w:val="99"/>
              </w:rPr>
              <w:t>1,015,258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w w:val="99"/>
              </w:rPr>
              <w:t>1,047,841</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w w:val="99"/>
              </w:rPr>
              <w:t>1,001,200</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945,182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866,239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56.86%</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61.09%</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67.38%</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61.79%</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55.56%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80,432</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80,087</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78,026</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78,393</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76,908</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72,454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(136)</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(151)</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(185)</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(202)</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58</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76,810</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76,455</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74,381</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74,737</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73,239</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68,806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Average common equity</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9,789</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9,536</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9,376</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9,413</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9,324</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8,812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(870)</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(868)</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(866)</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(864)</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(862)</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(716)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Average common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8,919</w:t>
            </w:r>
          </w:p>
        </w:tc>
        <w:tc>
          <w:tcPr>
            <w:tcW w:w="114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8,668</w:t>
            </w:r>
          </w:p>
        </w:tc>
        <w:tc>
          <w:tcPr>
            <w:tcW w:w="10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8,510</w:t>
            </w:r>
          </w:p>
        </w:tc>
        <w:tc>
          <w:tcPr>
            <w:tcW w:w="10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8,549</w:t>
            </w:r>
          </w:p>
        </w:tc>
        <w:tc>
          <w:tcPr>
            <w:tcW w:w="10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8,462</w:t>
            </w:r>
          </w:p>
        </w:tc>
        <w:tc>
          <w:tcPr>
            <w:tcW w:w="9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8,096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(3,525)</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(3,525)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(136)</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(151)</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(185)</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(202)</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54</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58</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common equity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5,297</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5,036</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4,865</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4,893</w:t>
            </w:r>
          </w:p>
        </w:tc>
        <w:tc>
          <w:tcPr>
            <w:tcW w:w="10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4,793</w:t>
            </w: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4,448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At end of quarter</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81,085</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80,808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79,187</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77,924</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77,864</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77,727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(3,525)</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(3,525)</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(3,525)</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(3,525)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22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(129)</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(143)</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(160)</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(176)</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(193)</w:t>
            </w:r>
          </w:p>
        </w:tc>
        <w:tc>
          <w:tcPr>
            <w:tcW w:w="960" w:type="dxa"/>
            <w:vAlign w:val="bottom"/>
          </w:tcPr>
          <w:p>
            <w:pPr>
              <w:jc w:val="right"/>
              <w:ind w:right="113"/>
              <w:spacing w:after="0"/>
              <w:rPr>
                <w:sz w:val="20"/>
                <w:szCs w:val="20"/>
                <w:color w:val="auto"/>
              </w:rPr>
            </w:pPr>
            <w:r>
              <w:rPr>
                <w:rFonts w:ascii="Arial" w:cs="Arial" w:eastAsia="Arial" w:hAnsi="Arial"/>
                <w:sz w:val="18"/>
                <w:szCs w:val="18"/>
                <w:color w:val="auto"/>
              </w:rPr>
              <w:t>(210)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38</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41</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46</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51</w:t>
            </w:r>
          </w:p>
        </w:tc>
        <w:tc>
          <w:tcPr>
            <w:tcW w:w="10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55</w:t>
            </w:r>
          </w:p>
        </w:tc>
        <w:tc>
          <w:tcPr>
            <w:tcW w:w="9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60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Total tangible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77,469</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77,181</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75,548</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74,274</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74,201</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74,052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equity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9,945</w:t>
            </w:r>
          </w:p>
        </w:tc>
        <w:tc>
          <w:tcPr>
            <w:tcW w:w="1140" w:type="dxa"/>
            <w:vAlign w:val="bottom"/>
          </w:tcPr>
          <w:p>
            <w:pPr>
              <w:jc w:val="right"/>
              <w:ind w:right="173"/>
              <w:spacing w:after="0"/>
              <w:rPr>
                <w:sz w:val="20"/>
                <w:szCs w:val="20"/>
                <w:color w:val="auto"/>
              </w:rPr>
            </w:pPr>
            <w:r>
              <w:rPr>
                <w:rFonts w:ascii="Arial" w:cs="Arial" w:eastAsia="Arial" w:hAnsi="Arial"/>
                <w:sz w:val="18"/>
                <w:szCs w:val="18"/>
                <w:color w:val="auto"/>
              </w:rPr>
              <w:t>9,630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9,429</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9,271</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9,375</w:t>
            </w:r>
          </w:p>
        </w:tc>
        <w:tc>
          <w:tcPr>
            <w:tcW w:w="960" w:type="dxa"/>
            <w:vAlign w:val="bottom"/>
          </w:tcPr>
          <w:p>
            <w:pPr>
              <w:jc w:val="right"/>
              <w:ind w:right="173"/>
              <w:spacing w:after="0"/>
              <w:rPr>
                <w:sz w:val="20"/>
                <w:szCs w:val="20"/>
                <w:color w:val="auto"/>
              </w:rPr>
            </w:pPr>
            <w:r>
              <w:rPr>
                <w:rFonts w:ascii="Arial" w:cs="Arial" w:eastAsia="Arial" w:hAnsi="Arial"/>
                <w:sz w:val="18"/>
                <w:szCs w:val="18"/>
                <w:color w:val="auto"/>
              </w:rPr>
              <w:t>9,244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(870)</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(868)</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(867)</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(865)</w:t>
            </w:r>
          </w:p>
        </w:tc>
        <w:tc>
          <w:tcPr>
            <w:tcW w:w="10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(863)</w:t>
            </w:r>
          </w:p>
        </w:tc>
        <w:tc>
          <w:tcPr>
            <w:tcW w:w="9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(861)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bl>
    <w:p>
      <w:pPr>
        <w:sectPr>
          <w:pgSz w:w="11900" w:h="16843" w:orient="portrait"/>
          <w:cols w:equalWidth="0" w:num="1">
            <w:col w:w="11420"/>
          </w:cols>
          <w:pgMar w:left="240" w:top="459" w:right="239" w:bottom="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r>
              <w:rPr>
                <w:rFonts w:ascii="Arial" w:cs="Arial" w:eastAsia="Arial" w:hAnsi="Arial"/>
                <w:sz w:val="18"/>
                <w:szCs w:val="18"/>
                <w:color w:val="auto"/>
                <w:w w:val="97"/>
              </w:rPr>
              <w:t>Undeclared dividends—cumulative preferred stock</w:t>
            </w:r>
          </w:p>
        </w:tc>
        <w:tc>
          <w:tcPr>
            <w:tcW w:w="460" w:type="dxa"/>
            <w:vAlign w:val="bottom"/>
          </w:tcPr>
          <w:p>
            <w:pPr>
              <w:spacing w:after="0"/>
              <w:rPr>
                <w:sz w:val="20"/>
                <w:szCs w:val="20"/>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08"/>
        </w:trPr>
        <w:tc>
          <w:tcPr>
            <w:tcW w:w="39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5"/>
              </w:rPr>
              <w:t>Common equity, net of undeclared cumulative</w:t>
            </w: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3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preferred dividends</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9,071</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8,758</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8,559</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8,403</w:t>
            </w: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8,509</w:t>
            </w:r>
          </w:p>
        </w:tc>
        <w:tc>
          <w:tcPr>
            <w:tcW w:w="9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8,380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200" w:type="dxa"/>
            <w:vAlign w:val="bottom"/>
            <w:shd w:val="clear" w:color="auto" w:fill="CCEEFF"/>
          </w:tcPr>
          <w:p>
            <w:pPr>
              <w:spacing w:after="0"/>
              <w:rPr>
                <w:sz w:val="19"/>
                <w:szCs w:val="19"/>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(3,525)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(3,525)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(3,525)</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(3,525)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(129)</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(143)</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(160)</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(176)</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(193)</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r>
      <w:tr>
        <w:trPr>
          <w:trHeight w:val="22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38</w:t>
            </w: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41</w:t>
            </w: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46</w:t>
            </w: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51</w:t>
            </w: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55</w:t>
            </w: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r>
      <w:tr>
        <w:trPr>
          <w:trHeight w:val="216"/>
        </w:trPr>
        <w:tc>
          <w:tcPr>
            <w:tcW w:w="39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Total tangible common equity</w:t>
            </w: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5,455</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5,131</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4,920</w:t>
            </w:r>
          </w:p>
        </w:tc>
        <w:tc>
          <w:tcPr>
            <w:tcW w:w="10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4,753</w:t>
            </w:r>
          </w:p>
        </w:tc>
        <w:tc>
          <w:tcPr>
            <w:tcW w:w="10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4,846</w:t>
            </w:r>
          </w:p>
        </w:tc>
        <w:tc>
          <w:tcPr>
            <w:tcW w:w="9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4,705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2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After any related tax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Table 3</w:t>
            </w:r>
          </w:p>
        </w:tc>
      </w:tr>
      <w:tr>
        <w:trPr>
          <w:trHeight w:val="378"/>
        </w:trPr>
        <w:tc>
          <w:tcPr>
            <w:tcW w:w="6960" w:type="dxa"/>
            <w:vAlign w:val="bottom"/>
            <w:gridSpan w:val="6"/>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gridSpan w:val="3"/>
          </w:tcPr>
          <w:p>
            <w:pPr>
              <w:jc w:val="right"/>
              <w:ind w:right="412"/>
              <w:spacing w:after="0"/>
              <w:rPr>
                <w:sz w:val="20"/>
                <w:szCs w:val="20"/>
                <w:color w:val="auto"/>
              </w:rPr>
            </w:pPr>
            <w:r>
              <w:rPr>
                <w:rFonts w:ascii="Arial" w:cs="Arial" w:eastAsia="Arial" w:hAnsi="Arial"/>
                <w:sz w:val="14"/>
                <w:szCs w:val="14"/>
                <w:color w:val="auto"/>
              </w:rPr>
              <w:t>2012 Third Quarter</w:t>
            </w:r>
          </w:p>
        </w:tc>
        <w:tc>
          <w:tcPr>
            <w:tcW w:w="1900" w:type="dxa"/>
            <w:vAlign w:val="bottom"/>
            <w:gridSpan w:val="3"/>
          </w:tcPr>
          <w:p>
            <w:pPr>
              <w:jc w:val="right"/>
              <w:ind w:right="372"/>
              <w:spacing w:after="0"/>
              <w:rPr>
                <w:sz w:val="20"/>
                <w:szCs w:val="20"/>
                <w:color w:val="auto"/>
              </w:rPr>
            </w:pPr>
            <w:r>
              <w:rPr>
                <w:rFonts w:ascii="Arial" w:cs="Arial" w:eastAsia="Arial" w:hAnsi="Arial"/>
                <w:sz w:val="14"/>
                <w:szCs w:val="14"/>
                <w:color w:val="auto"/>
              </w:rPr>
              <w:t>2012 Second Quarter</w:t>
            </w:r>
          </w:p>
        </w:tc>
        <w:tc>
          <w:tcPr>
            <w:tcW w:w="1880" w:type="dxa"/>
            <w:vAlign w:val="bottom"/>
            <w:gridSpan w:val="4"/>
          </w:tcPr>
          <w:p>
            <w:pPr>
              <w:jc w:val="right"/>
              <w:ind w:right="500"/>
              <w:spacing w:after="0"/>
              <w:rPr>
                <w:sz w:val="20"/>
                <w:szCs w:val="20"/>
                <w:color w:val="auto"/>
              </w:rPr>
            </w:pPr>
            <w:r>
              <w:rPr>
                <w:rFonts w:ascii="Arial" w:cs="Arial" w:eastAsia="Arial" w:hAnsi="Arial"/>
                <w:sz w:val="14"/>
                <w:szCs w:val="14"/>
                <w:color w:val="auto"/>
              </w:rPr>
              <w:t>2012 First Quarter</w:t>
            </w: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920" w:type="dxa"/>
            <w:vAlign w:val="bottom"/>
            <w:gridSpan w:val="2"/>
          </w:tcPr>
          <w:p>
            <w:pPr>
              <w:ind w:left="1360"/>
              <w:spacing w:after="0" w:line="149" w:lineRule="exact"/>
              <w:rPr>
                <w:sz w:val="20"/>
                <w:szCs w:val="20"/>
                <w:color w:val="auto"/>
              </w:rPr>
            </w:pPr>
            <w:r>
              <w:rPr>
                <w:rFonts w:ascii="Arial" w:cs="Arial" w:eastAsia="Arial" w:hAnsi="Arial"/>
                <w:sz w:val="14"/>
                <w:szCs w:val="14"/>
                <w:color w:val="auto"/>
              </w:rPr>
              <w:t>Average</w:t>
            </w:r>
          </w:p>
        </w:tc>
        <w:tc>
          <w:tcPr>
            <w:tcW w:w="64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5"/>
              </w:rPr>
              <w:t>Average</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1"/>
              </w:rPr>
              <w:t>Average</w:t>
            </w:r>
          </w:p>
        </w:tc>
        <w:tc>
          <w:tcPr>
            <w:tcW w:w="60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5"/>
              </w:rPr>
              <w:t>Average</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8"/>
              </w:rPr>
              <w:t>Average</w:t>
            </w:r>
          </w:p>
        </w:tc>
        <w:tc>
          <w:tcPr>
            <w:tcW w:w="6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5"/>
              </w:rPr>
              <w:t>Average</w:t>
            </w:r>
          </w:p>
        </w:tc>
      </w:tr>
      <w:tr>
        <w:trPr>
          <w:trHeight w:val="159"/>
        </w:trPr>
        <w:tc>
          <w:tcPr>
            <w:tcW w:w="440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1920" w:type="dxa"/>
            <w:vAlign w:val="bottom"/>
            <w:gridSpan w:val="2"/>
          </w:tcPr>
          <w:p>
            <w:pPr>
              <w:ind w:left="1380"/>
              <w:spacing w:after="0" w:line="159" w:lineRule="exact"/>
              <w:rPr>
                <w:sz w:val="20"/>
                <w:szCs w:val="20"/>
                <w:color w:val="auto"/>
              </w:rPr>
            </w:pPr>
            <w:r>
              <w:rPr>
                <w:rFonts w:ascii="Arial" w:cs="Arial" w:eastAsia="Arial" w:hAnsi="Arial"/>
                <w:sz w:val="14"/>
                <w:szCs w:val="14"/>
                <w:color w:val="auto"/>
              </w:rPr>
              <w:t>Balance</w:t>
            </w:r>
          </w:p>
        </w:tc>
        <w:tc>
          <w:tcPr>
            <w:tcW w:w="640" w:type="dxa"/>
            <w:vAlign w:val="bottom"/>
          </w:tcPr>
          <w:p>
            <w:pPr>
              <w:jc w:val="right"/>
              <w:ind w:right="72"/>
              <w:spacing w:after="0" w:line="159" w:lineRule="exact"/>
              <w:rPr>
                <w:sz w:val="20"/>
                <w:szCs w:val="20"/>
                <w:color w:val="auto"/>
              </w:rPr>
            </w:pPr>
            <w:r>
              <w:rPr>
                <w:rFonts w:ascii="Arial" w:cs="Arial" w:eastAsia="Arial" w:hAnsi="Arial"/>
                <w:sz w:val="14"/>
                <w:szCs w:val="14"/>
                <w:color w:val="auto"/>
              </w:rPr>
              <w:t>Interest</w:t>
            </w:r>
          </w:p>
        </w:tc>
        <w:tc>
          <w:tcPr>
            <w:tcW w:w="68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Rate</w:t>
            </w:r>
          </w:p>
        </w:tc>
        <w:tc>
          <w:tcPr>
            <w:tcW w:w="620" w:type="dxa"/>
            <w:vAlign w:val="bottom"/>
          </w:tcPr>
          <w:p>
            <w:pPr>
              <w:jc w:val="right"/>
              <w:ind w:right="72"/>
              <w:spacing w:after="0" w:line="159" w:lineRule="exact"/>
              <w:rPr>
                <w:sz w:val="20"/>
                <w:szCs w:val="20"/>
                <w:color w:val="auto"/>
              </w:rPr>
            </w:pPr>
            <w:r>
              <w:rPr>
                <w:rFonts w:ascii="Arial" w:cs="Arial" w:eastAsia="Arial" w:hAnsi="Arial"/>
                <w:sz w:val="14"/>
                <w:szCs w:val="14"/>
                <w:color w:val="auto"/>
                <w:w w:val="90"/>
              </w:rPr>
              <w:t>Balance</w:t>
            </w:r>
          </w:p>
        </w:tc>
        <w:tc>
          <w:tcPr>
            <w:tcW w:w="6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8"/>
              </w:rPr>
              <w:t>Interest</w:t>
            </w:r>
          </w:p>
        </w:tc>
        <w:tc>
          <w:tcPr>
            <w:tcW w:w="68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Rate</w:t>
            </w:r>
          </w:p>
        </w:tc>
        <w:tc>
          <w:tcPr>
            <w:tcW w:w="6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0"/>
              </w:rPr>
              <w:t>Balance</w:t>
            </w:r>
          </w:p>
        </w:tc>
        <w:tc>
          <w:tcPr>
            <w:tcW w:w="6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98"/>
              </w:rPr>
              <w:t>Interest</w:t>
            </w: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Rate</w:t>
            </w:r>
          </w:p>
        </w:tc>
      </w:tr>
      <w:tr>
        <w:trPr>
          <w:trHeight w:val="156"/>
        </w:trPr>
        <w:tc>
          <w:tcPr>
            <w:tcW w:w="3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78"/>
              </w:rPr>
              <w:t>Assets</w:t>
            </w:r>
          </w:p>
        </w:tc>
        <w:tc>
          <w:tcPr>
            <w:tcW w:w="40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Earning assets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Commercial, financial, etc.</w:t>
            </w:r>
          </w:p>
        </w:tc>
        <w:tc>
          <w:tcPr>
            <w:tcW w:w="1440" w:type="dxa"/>
            <w:vAlign w:val="bottom"/>
            <w:shd w:val="clear" w:color="auto" w:fill="CCEEFF"/>
          </w:tcPr>
          <w:p>
            <w:pPr>
              <w:ind w:left="136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16,504</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2"/>
              </w:rPr>
              <w:t>$154,840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16,104</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149,107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15,732</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145,134</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w:t>
            </w: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20" w:type="dxa"/>
            <w:vAlign w:val="bottom"/>
          </w:tcPr>
          <w:p>
            <w:pPr>
              <w:ind w:left="60"/>
              <w:spacing w:after="0" w:line="149" w:lineRule="exact"/>
              <w:rPr>
                <w:sz w:val="20"/>
                <w:szCs w:val="20"/>
                <w:color w:val="auto"/>
              </w:rPr>
            </w:pPr>
            <w:r>
              <w:rPr>
                <w:rFonts w:ascii="Arial" w:cs="Arial" w:eastAsia="Arial" w:hAnsi="Arial"/>
                <w:sz w:val="14"/>
                <w:szCs w:val="14"/>
                <w:color w:val="auto"/>
              </w:rPr>
              <w:t>Real estate - commercial</w:t>
            </w:r>
          </w:p>
        </w:tc>
        <w:tc>
          <w:tcPr>
            <w:tcW w:w="144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83"/>
              </w:rPr>
              <w:t>24,995</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288,193</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4.61</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24,737</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8"/>
              </w:rPr>
              <w:t>287,724</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4.65</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24,559</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8"/>
              </w:rPr>
              <w:t>271,539</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4.42</w:t>
            </w: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Real estate - consumer</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10,296</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110,346</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4.29</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9,216</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102,164</w:t>
            </w: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4.43</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8,286</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95,308</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4.60</w:t>
            </w:r>
          </w:p>
        </w:tc>
      </w:tr>
      <w:tr>
        <w:trPr>
          <w:trHeight w:val="156"/>
        </w:trPr>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Consumer</w:t>
            </w:r>
          </w:p>
        </w:tc>
        <w:tc>
          <w:tcPr>
            <w:tcW w:w="1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w w:val="83"/>
              </w:rPr>
              <w:t>11,660</w:t>
            </w: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139,524</w:t>
            </w: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4.76</w:t>
            </w:r>
          </w:p>
        </w:tc>
        <w:tc>
          <w:tcPr>
            <w:tcW w:w="6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11,769</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8"/>
              </w:rPr>
              <w:t>141,031</w:t>
            </w:r>
          </w:p>
        </w:tc>
        <w:tc>
          <w:tcPr>
            <w:tcW w:w="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4.82</w:t>
            </w: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11,907</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8"/>
              </w:rPr>
              <w:t>142,083</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20" w:type="dxa"/>
            <w:vAlign w:val="bottom"/>
            <w:tcBorders>
              <w:bottom w:val="single" w:sz="8" w:color="auto"/>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Total loans and leases, net</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63,455</w:t>
            </w:r>
          </w:p>
        </w:tc>
        <w:tc>
          <w:tcPr>
            <w:tcW w:w="6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692,903</w:t>
            </w:r>
          </w:p>
        </w:tc>
        <w:tc>
          <w:tcPr>
            <w:tcW w:w="6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4.34</w:t>
            </w: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61,826</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680,026</w:t>
            </w:r>
          </w:p>
        </w:tc>
        <w:tc>
          <w:tcPr>
            <w:tcW w:w="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4.42</w:t>
            </w: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60,484</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654,064</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2"/>
                <w:szCs w:val="12"/>
                <w:color w:val="auto"/>
              </w:rPr>
            </w:pPr>
          </w:p>
        </w:tc>
      </w:tr>
      <w:tr>
        <w:trPr>
          <w:trHeight w:val="156"/>
        </w:trPr>
        <w:tc>
          <w:tcPr>
            <w:tcW w:w="4400" w:type="dxa"/>
            <w:vAlign w:val="bottom"/>
            <w:gridSpan w:val="3"/>
          </w:tcPr>
          <w:p>
            <w:pPr>
              <w:spacing w:after="0" w:line="155" w:lineRule="exact"/>
              <w:rPr>
                <w:sz w:val="20"/>
                <w:szCs w:val="20"/>
                <w:color w:val="auto"/>
              </w:rPr>
            </w:pPr>
            <w:r>
              <w:rPr>
                <w:rFonts w:ascii="Arial" w:cs="Arial" w:eastAsia="Arial" w:hAnsi="Arial"/>
                <w:sz w:val="14"/>
                <w:szCs w:val="14"/>
                <w:color w:val="auto"/>
              </w:rPr>
              <w:t>Interest-bearing deposits at banks</w:t>
            </w:r>
          </w:p>
        </w:tc>
        <w:tc>
          <w:tcPr>
            <w:tcW w:w="1440" w:type="dxa"/>
            <w:vAlign w:val="bottom"/>
          </w:tcPr>
          <w:p>
            <w:pPr>
              <w:spacing w:after="0"/>
              <w:rPr>
                <w:sz w:val="13"/>
                <w:szCs w:val="13"/>
                <w:color w:val="auto"/>
              </w:rPr>
            </w:pPr>
          </w:p>
        </w:tc>
        <w:tc>
          <w:tcPr>
            <w:tcW w:w="4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298</w:t>
            </w:r>
          </w:p>
        </w:tc>
        <w:tc>
          <w:tcPr>
            <w:tcW w:w="6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139</w:t>
            </w: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color w:val="auto"/>
              </w:rPr>
              <w:t>.18</w:t>
            </w:r>
          </w:p>
        </w:tc>
        <w:tc>
          <w:tcPr>
            <w:tcW w:w="620" w:type="dxa"/>
            <w:vAlign w:val="bottom"/>
          </w:tcPr>
          <w:p>
            <w:pPr>
              <w:jc w:val="right"/>
              <w:ind w:right="52"/>
              <w:spacing w:after="0" w:line="155" w:lineRule="exact"/>
              <w:rPr>
                <w:sz w:val="20"/>
                <w:szCs w:val="20"/>
                <w:color w:val="auto"/>
              </w:rPr>
            </w:pPr>
            <w:r>
              <w:rPr>
                <w:rFonts w:ascii="Arial" w:cs="Arial" w:eastAsia="Arial" w:hAnsi="Arial"/>
                <w:sz w:val="14"/>
                <w:szCs w:val="14"/>
                <w:color w:val="auto"/>
              </w:rPr>
              <w:t>1,247</w:t>
            </w: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767</w:t>
            </w:r>
          </w:p>
        </w:tc>
        <w:tc>
          <w:tcPr>
            <w:tcW w:w="680" w:type="dxa"/>
            <w:vAlign w:val="bottom"/>
          </w:tcPr>
          <w:p>
            <w:pPr>
              <w:jc w:val="right"/>
              <w:ind w:right="92"/>
              <w:spacing w:after="0" w:line="155" w:lineRule="exact"/>
              <w:rPr>
                <w:sz w:val="20"/>
                <w:szCs w:val="20"/>
                <w:color w:val="auto"/>
              </w:rPr>
            </w:pPr>
            <w:r>
              <w:rPr>
                <w:rFonts w:ascii="Arial" w:cs="Arial" w:eastAsia="Arial" w:hAnsi="Arial"/>
                <w:sz w:val="14"/>
                <w:szCs w:val="14"/>
                <w:color w:val="auto"/>
              </w:rPr>
              <w:t>.25</w:t>
            </w:r>
          </w:p>
        </w:tc>
        <w:tc>
          <w:tcPr>
            <w:tcW w:w="6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301</w:t>
            </w: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213</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.28</w:t>
            </w: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Federal funds sold and agreements to resell securities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.55</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.56</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w:t>
            </w: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Trading account</w:t>
            </w:r>
          </w:p>
        </w:tc>
        <w:tc>
          <w:tcPr>
            <w:tcW w:w="144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94</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265</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1.13</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411</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1.64</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93</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367</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w:t>
            </w: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20" w:type="dxa"/>
            <w:vAlign w:val="bottom"/>
          </w:tcPr>
          <w:p>
            <w:pPr>
              <w:ind w:left="60"/>
              <w:spacing w:after="0" w:line="149" w:lineRule="exact"/>
              <w:rPr>
                <w:sz w:val="20"/>
                <w:szCs w:val="20"/>
                <w:color w:val="auto"/>
              </w:rPr>
            </w:pPr>
            <w:r>
              <w:rPr>
                <w:rFonts w:ascii="Arial" w:cs="Arial" w:eastAsia="Arial" w:hAnsi="Arial"/>
                <w:sz w:val="14"/>
                <w:szCs w:val="14"/>
                <w:color w:val="auto"/>
              </w:rPr>
              <w:t>U.S. Treasury and federal agencies</w:t>
            </w:r>
          </w:p>
        </w:tc>
        <w:tc>
          <w:tcPr>
            <w:tcW w:w="144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4,468</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36,412</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3.24</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4,770</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40,202</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3.39</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4,877</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41,621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w:t>
            </w: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222</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2,899</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5.20</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222</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2,979</w:t>
            </w: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5.40</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226</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3,065</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5.45</w:t>
            </w:r>
          </w:p>
        </w:tc>
      </w:tr>
      <w:tr>
        <w:trPr>
          <w:trHeight w:val="156"/>
        </w:trPr>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Other</w:t>
            </w:r>
          </w:p>
        </w:tc>
        <w:tc>
          <w:tcPr>
            <w:tcW w:w="1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2,121</w:t>
            </w: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18,761</w:t>
            </w: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3.52</w:t>
            </w:r>
          </w:p>
        </w:tc>
        <w:tc>
          <w:tcPr>
            <w:tcW w:w="6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2,279</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19,638</w:t>
            </w:r>
          </w:p>
        </w:tc>
        <w:tc>
          <w:tcPr>
            <w:tcW w:w="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3.47</w:t>
            </w: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2,404</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21,467</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3.59</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20" w:type="dxa"/>
            <w:vAlign w:val="bottom"/>
            <w:tcBorders>
              <w:bottom w:val="single" w:sz="8" w:color="auto"/>
            </w:tcBorders>
            <w:shd w:val="clear" w:color="auto" w:fill="CCEEFF"/>
          </w:tcPr>
          <w:p>
            <w:pPr>
              <w:ind w:left="500"/>
              <w:spacing w:after="0" w:line="149" w:lineRule="exact"/>
              <w:rPr>
                <w:sz w:val="20"/>
                <w:szCs w:val="20"/>
                <w:color w:val="auto"/>
              </w:rPr>
            </w:pPr>
            <w:r>
              <w:rPr>
                <w:rFonts w:ascii="Arial" w:cs="Arial" w:eastAsia="Arial" w:hAnsi="Arial"/>
                <w:sz w:val="14"/>
                <w:szCs w:val="14"/>
                <w:color w:val="auto"/>
              </w:rPr>
              <w:t>Total investment securities</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6,811</w:t>
            </w:r>
          </w:p>
        </w:tc>
        <w:tc>
          <w:tcPr>
            <w:tcW w:w="6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58,072</w:t>
            </w:r>
          </w:p>
        </w:tc>
        <w:tc>
          <w:tcPr>
            <w:tcW w:w="6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3.39</w:t>
            </w: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7,271</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62,819</w:t>
            </w:r>
          </w:p>
        </w:tc>
        <w:tc>
          <w:tcPr>
            <w:tcW w:w="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3.47</w:t>
            </w: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7,507</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66,153</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1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20" w:type="dxa"/>
            <w:vAlign w:val="bottom"/>
          </w:tcPr>
          <w:p>
            <w:pPr>
              <w:ind w:left="500"/>
              <w:spacing w:after="0" w:line="155" w:lineRule="exact"/>
              <w:rPr>
                <w:sz w:val="20"/>
                <w:szCs w:val="20"/>
                <w:color w:val="auto"/>
              </w:rPr>
            </w:pPr>
            <w:r>
              <w:rPr>
                <w:rFonts w:ascii="Arial" w:cs="Arial" w:eastAsia="Arial" w:hAnsi="Arial"/>
                <w:sz w:val="14"/>
                <w:szCs w:val="14"/>
                <w:b w:val="1"/>
                <w:bCs w:val="1"/>
                <w:color w:val="auto"/>
              </w:rPr>
              <w:t>Total earning assets</w:t>
            </w:r>
          </w:p>
        </w:tc>
        <w:tc>
          <w:tcPr>
            <w:tcW w:w="1440" w:type="dxa"/>
            <w:vAlign w:val="bottom"/>
          </w:tcPr>
          <w:p>
            <w:pPr>
              <w:spacing w:after="0"/>
              <w:rPr>
                <w:sz w:val="14"/>
                <w:szCs w:val="14"/>
                <w:color w:val="auto"/>
              </w:rPr>
            </w:pPr>
          </w:p>
        </w:tc>
        <w:tc>
          <w:tcPr>
            <w:tcW w:w="4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83"/>
              </w:rPr>
              <w:t>70,662</w:t>
            </w:r>
          </w:p>
        </w:tc>
        <w:tc>
          <w:tcPr>
            <w:tcW w:w="6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751,385</w:t>
            </w: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color w:val="auto"/>
              </w:rPr>
              <w:t>4.23</w:t>
            </w:r>
          </w:p>
        </w:tc>
        <w:tc>
          <w:tcPr>
            <w:tcW w:w="620" w:type="dxa"/>
            <w:vAlign w:val="bottom"/>
          </w:tcPr>
          <w:p>
            <w:pPr>
              <w:jc w:val="right"/>
              <w:ind w:right="52"/>
              <w:spacing w:after="0" w:line="155" w:lineRule="exact"/>
              <w:rPr>
                <w:sz w:val="20"/>
                <w:szCs w:val="20"/>
                <w:color w:val="auto"/>
              </w:rPr>
            </w:pPr>
            <w:r>
              <w:rPr>
                <w:rFonts w:ascii="Arial" w:cs="Arial" w:eastAsia="Arial" w:hAnsi="Arial"/>
                <w:sz w:val="14"/>
                <w:szCs w:val="14"/>
                <w:color w:val="auto"/>
              </w:rPr>
              <w:t>70,450</w:t>
            </w: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98"/>
              </w:rPr>
              <w:t>744,031</w:t>
            </w:r>
          </w:p>
        </w:tc>
        <w:tc>
          <w:tcPr>
            <w:tcW w:w="680" w:type="dxa"/>
            <w:vAlign w:val="bottom"/>
          </w:tcPr>
          <w:p>
            <w:pPr>
              <w:jc w:val="right"/>
              <w:ind w:right="92"/>
              <w:spacing w:after="0" w:line="155" w:lineRule="exact"/>
              <w:rPr>
                <w:sz w:val="20"/>
                <w:szCs w:val="20"/>
                <w:color w:val="auto"/>
              </w:rPr>
            </w:pPr>
            <w:r>
              <w:rPr>
                <w:rFonts w:ascii="Arial" w:cs="Arial" w:eastAsia="Arial" w:hAnsi="Arial"/>
                <w:sz w:val="14"/>
                <w:szCs w:val="14"/>
                <w:color w:val="auto"/>
              </w:rPr>
              <w:t>4.25</w:t>
            </w:r>
          </w:p>
        </w:tc>
        <w:tc>
          <w:tcPr>
            <w:tcW w:w="6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68,388</w:t>
            </w: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w w:val="98"/>
              </w:rPr>
              <w:t>720,800</w:t>
            </w:r>
          </w:p>
        </w:tc>
        <w:tc>
          <w:tcPr>
            <w:tcW w:w="6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4.24</w:t>
            </w:r>
          </w:p>
        </w:tc>
      </w:tr>
      <w:tr>
        <w:trPr>
          <w:trHeight w:val="149"/>
        </w:trPr>
        <w:tc>
          <w:tcPr>
            <w:tcW w:w="20" w:type="dxa"/>
            <w:vAlign w:val="bottom"/>
          </w:tcPr>
          <w:p>
            <w:pPr>
              <w:spacing w:after="0"/>
              <w:rPr>
                <w:sz w:val="12"/>
                <w:szCs w:val="12"/>
                <w:color w:val="auto"/>
              </w:rPr>
            </w:pPr>
          </w:p>
        </w:tc>
        <w:tc>
          <w:tcPr>
            <w:tcW w:w="438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credit losses</w:t>
            </w:r>
          </w:p>
        </w:tc>
        <w:tc>
          <w:tcPr>
            <w:tcW w:w="14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6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(918)</w:t>
            </w:r>
          </w:p>
        </w:tc>
        <w:tc>
          <w:tcPr>
            <w:tcW w:w="6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w:t>
            </w:r>
          </w:p>
        </w:tc>
        <w:tc>
          <w:tcPr>
            <w:tcW w:w="6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144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1,419</w:t>
            </w: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1,304</w:t>
            </w: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9,275</w:t>
            </w:r>
          </w:p>
        </w:tc>
        <w:tc>
          <w:tcPr>
            <w:tcW w:w="6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9,205</w:t>
            </w: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9,250</w:t>
            </w: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color w:val="auto"/>
              </w:rPr>
              <w:t>Total assets</w:t>
            </w:r>
          </w:p>
        </w:tc>
        <w:tc>
          <w:tcPr>
            <w:tcW w:w="1440" w:type="dxa"/>
            <w:vAlign w:val="bottom"/>
            <w:tcBorders>
              <w:bottom w:val="single" w:sz="8" w:color="auto"/>
            </w:tcBorders>
          </w:tcPr>
          <w:p>
            <w:pPr>
              <w:ind w:left="1360"/>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83"/>
              </w:rPr>
              <w:t>80,432</w:t>
            </w: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80,087</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78,026</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20" w:type="dxa"/>
            <w:vAlign w:val="bottom"/>
          </w:tcPr>
          <w:p>
            <w:pPr>
              <w:ind w:left="60"/>
              <w:spacing w:after="0" w:line="149" w:lineRule="exact"/>
              <w:rPr>
                <w:sz w:val="20"/>
                <w:szCs w:val="20"/>
                <w:color w:val="auto"/>
              </w:rPr>
            </w:pPr>
            <w:r>
              <w:rPr>
                <w:rFonts w:ascii="Arial" w:cs="Arial" w:eastAsia="Arial" w:hAnsi="Arial"/>
                <w:sz w:val="14"/>
                <w:szCs w:val="14"/>
                <w:color w:val="auto"/>
              </w:rPr>
              <w:t>NOW accounts</w:t>
            </w:r>
          </w:p>
        </w:tc>
        <w:tc>
          <w:tcPr>
            <w:tcW w:w="1440" w:type="dxa"/>
            <w:vAlign w:val="bottom"/>
          </w:tcPr>
          <w:p>
            <w:pPr>
              <w:ind w:left="1360"/>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875</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841</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424</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827</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283</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Savings deposits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33,298</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16,510</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.20</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33,286</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16,940</w:t>
            </w: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32,410</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18,183</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20" w:type="dxa"/>
            <w:vAlign w:val="bottom"/>
          </w:tcPr>
          <w:p>
            <w:pPr>
              <w:ind w:left="60"/>
              <w:spacing w:after="0" w:line="149" w:lineRule="exact"/>
              <w:rPr>
                <w:sz w:val="20"/>
                <w:szCs w:val="20"/>
                <w:color w:val="auto"/>
              </w:rPr>
            </w:pPr>
            <w:r>
              <w:rPr>
                <w:rFonts w:ascii="Arial" w:cs="Arial" w:eastAsia="Arial" w:hAnsi="Arial"/>
                <w:sz w:val="14"/>
                <w:szCs w:val="14"/>
                <w:color w:val="auto"/>
              </w:rPr>
              <w:t>Time deposits</w:t>
            </w:r>
          </w:p>
        </w:tc>
        <w:tc>
          <w:tcPr>
            <w:tcW w:w="1440" w:type="dxa"/>
            <w:vAlign w:val="bottom"/>
          </w:tcPr>
          <w:p>
            <w:pPr>
              <w:spacing w:after="0"/>
              <w:rPr>
                <w:sz w:val="12"/>
                <w:szCs w:val="12"/>
                <w:color w:val="auto"/>
              </w:rPr>
            </w:pPr>
          </w:p>
        </w:tc>
        <w:tc>
          <w:tcPr>
            <w:tcW w:w="4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5,164</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10,843</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w:t>
            </w: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5,545</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12,354</w:t>
            </w: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.90</w:t>
            </w: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5,960</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13,509</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r>
      <w:tr>
        <w:trPr>
          <w:trHeight w:val="149"/>
        </w:trPr>
        <w:tc>
          <w:tcPr>
            <w:tcW w:w="20" w:type="dxa"/>
            <w:vAlign w:val="bottom"/>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2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Deposits at Cayman Islands office</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702</w:t>
            </w:r>
          </w:p>
        </w:tc>
        <w:tc>
          <w:tcPr>
            <w:tcW w:w="6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336</w:t>
            </w:r>
          </w:p>
        </w:tc>
        <w:tc>
          <w:tcPr>
            <w:tcW w:w="6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w:t>
            </w: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457</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232</w:t>
            </w:r>
          </w:p>
        </w:tc>
        <w:tc>
          <w:tcPr>
            <w:tcW w:w="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w:t>
            </w: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496</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213</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color w:val="auto"/>
              </w:rPr>
              <w:t>Total interest-bearing deposits</w:t>
            </w:r>
          </w:p>
        </w:tc>
        <w:tc>
          <w:tcPr>
            <w:tcW w:w="1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83"/>
              </w:rPr>
              <w:t>40,039</w:t>
            </w:r>
          </w:p>
        </w:tc>
        <w:tc>
          <w:tcPr>
            <w:tcW w:w="6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28,016</w:t>
            </w:r>
          </w:p>
        </w:tc>
        <w:tc>
          <w:tcPr>
            <w:tcW w:w="68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.28</w:t>
            </w:r>
          </w:p>
        </w:tc>
        <w:tc>
          <w:tcPr>
            <w:tcW w:w="6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40,129</w:t>
            </w:r>
          </w:p>
        </w:tc>
        <w:tc>
          <w:tcPr>
            <w:tcW w:w="6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29,950</w:t>
            </w:r>
          </w:p>
        </w:tc>
        <w:tc>
          <w:tcPr>
            <w:tcW w:w="6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.30</w:t>
            </w:r>
          </w:p>
        </w:tc>
        <w:tc>
          <w:tcPr>
            <w:tcW w:w="6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39,693</w:t>
            </w:r>
          </w:p>
        </w:tc>
        <w:tc>
          <w:tcPr>
            <w:tcW w:w="60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32,188</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Short-term borrowings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976</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365</w:t>
            </w:r>
          </w:p>
        </w:tc>
        <w:tc>
          <w:tcPr>
            <w:tcW w:w="6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875</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348</w:t>
            </w:r>
          </w:p>
        </w:tc>
        <w:tc>
          <w:tcPr>
            <w:tcW w:w="6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.16</w:t>
            </w:r>
          </w:p>
        </w:tc>
        <w:tc>
          <w:tcPr>
            <w:tcW w:w="6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828</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303</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r>
      <w:tr>
        <w:trPr>
          <w:trHeight w:val="156"/>
        </w:trPr>
        <w:tc>
          <w:tcPr>
            <w:tcW w:w="20" w:type="dxa"/>
            <w:vAlign w:val="bottom"/>
          </w:tcPr>
          <w:p>
            <w:pPr>
              <w:spacing w:after="0"/>
              <w:rPr>
                <w:sz w:val="13"/>
                <w:szCs w:val="13"/>
                <w:color w:val="auto"/>
              </w:rPr>
            </w:pPr>
          </w:p>
        </w:tc>
        <w:tc>
          <w:tcPr>
            <w:tcW w:w="43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Long-term borrowings</w:t>
            </w:r>
          </w:p>
        </w:tc>
        <w:tc>
          <w:tcPr>
            <w:tcW w:w="1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5,006</w:t>
            </w:r>
          </w:p>
        </w:tc>
        <w:tc>
          <w:tcPr>
            <w:tcW w:w="6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53,748</w:t>
            </w: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4.27</w:t>
            </w:r>
          </w:p>
        </w:tc>
        <w:tc>
          <w:tcPr>
            <w:tcW w:w="62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6,102</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59,105</w:t>
            </w:r>
          </w:p>
        </w:tc>
        <w:tc>
          <w:tcPr>
            <w:tcW w:w="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3.90</w:t>
            </w:r>
          </w:p>
        </w:tc>
        <w:tc>
          <w:tcPr>
            <w:tcW w:w="600" w:type="dxa"/>
            <w:vAlign w:val="bottom"/>
            <w:tcBorders>
              <w:bottom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6,507</w:t>
            </w:r>
          </w:p>
        </w:tc>
        <w:tc>
          <w:tcPr>
            <w:tcW w:w="6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61,215</w:t>
            </w: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3.78</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20" w:type="dxa"/>
            <w:vAlign w:val="bottom"/>
            <w:tcBorders>
              <w:bottom w:val="single" w:sz="8" w:color="auto"/>
            </w:tcBorders>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Total interest-bearing liabilities</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83"/>
              </w:rPr>
              <w:t>46,021</w:t>
            </w:r>
          </w:p>
        </w:tc>
        <w:tc>
          <w:tcPr>
            <w:tcW w:w="6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82,129</w:t>
            </w:r>
          </w:p>
        </w:tc>
        <w:tc>
          <w:tcPr>
            <w:tcW w:w="68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.71</w:t>
            </w: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47,106</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89,403</w:t>
            </w:r>
          </w:p>
        </w:tc>
        <w:tc>
          <w:tcPr>
            <w:tcW w:w="680" w:type="dxa"/>
            <w:vAlign w:val="bottom"/>
            <w:tcBorders>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.76</w:t>
            </w: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47,028</w:t>
            </w:r>
          </w:p>
        </w:tc>
        <w:tc>
          <w:tcPr>
            <w:tcW w:w="60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93,706</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r>
      <w:tr>
        <w:trPr>
          <w:trHeight w:val="156"/>
        </w:trPr>
        <w:tc>
          <w:tcPr>
            <w:tcW w:w="4400" w:type="dxa"/>
            <w:vAlign w:val="bottom"/>
            <w:gridSpan w:val="3"/>
          </w:tcPr>
          <w:p>
            <w:pPr>
              <w:spacing w:after="0" w:line="155" w:lineRule="exact"/>
              <w:rPr>
                <w:sz w:val="20"/>
                <w:szCs w:val="20"/>
                <w:color w:val="auto"/>
              </w:rPr>
            </w:pPr>
            <w:r>
              <w:rPr>
                <w:rFonts w:ascii="Arial" w:cs="Arial" w:eastAsia="Arial" w:hAnsi="Arial"/>
                <w:sz w:val="14"/>
                <w:szCs w:val="14"/>
                <w:color w:val="auto"/>
              </w:rPr>
              <w:t>Noninterest-bearing deposits</w:t>
            </w:r>
          </w:p>
        </w:tc>
        <w:tc>
          <w:tcPr>
            <w:tcW w:w="1440" w:type="dxa"/>
            <w:vAlign w:val="bottom"/>
          </w:tcPr>
          <w:p>
            <w:pPr>
              <w:spacing w:after="0"/>
              <w:rPr>
                <w:sz w:val="13"/>
                <w:szCs w:val="13"/>
                <w:color w:val="auto"/>
              </w:rPr>
            </w:pPr>
          </w:p>
        </w:tc>
        <w:tc>
          <w:tcPr>
            <w:tcW w:w="480" w:type="dxa"/>
            <w:vAlign w:val="bottom"/>
          </w:tcPr>
          <w:p>
            <w:pPr>
              <w:jc w:val="right"/>
              <w:ind w:right="32"/>
              <w:spacing w:after="0" w:line="155" w:lineRule="exact"/>
              <w:rPr>
                <w:sz w:val="20"/>
                <w:szCs w:val="20"/>
                <w:color w:val="auto"/>
              </w:rPr>
            </w:pPr>
            <w:r>
              <w:rPr>
                <w:rFonts w:ascii="Arial" w:cs="Arial" w:eastAsia="Arial" w:hAnsi="Arial"/>
                <w:sz w:val="14"/>
                <w:szCs w:val="14"/>
                <w:color w:val="auto"/>
                <w:w w:val="83"/>
              </w:rPr>
              <w:t>22,704</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jc w:val="right"/>
              <w:ind w:right="52"/>
              <w:spacing w:after="0" w:line="155" w:lineRule="exact"/>
              <w:rPr>
                <w:sz w:val="20"/>
                <w:szCs w:val="20"/>
                <w:color w:val="auto"/>
              </w:rPr>
            </w:pPr>
            <w:r>
              <w:rPr>
                <w:rFonts w:ascii="Arial" w:cs="Arial" w:eastAsia="Arial" w:hAnsi="Arial"/>
                <w:sz w:val="14"/>
                <w:szCs w:val="14"/>
                <w:color w:val="auto"/>
              </w:rPr>
              <w:t>21,401</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right"/>
              <w:ind w:right="52"/>
              <w:spacing w:after="0" w:line="155" w:lineRule="exact"/>
              <w:rPr>
                <w:sz w:val="20"/>
                <w:szCs w:val="20"/>
                <w:color w:val="auto"/>
              </w:rPr>
            </w:pPr>
            <w:r>
              <w:rPr>
                <w:rFonts w:ascii="Arial" w:cs="Arial" w:eastAsia="Arial" w:hAnsi="Arial"/>
                <w:sz w:val="14"/>
                <w:szCs w:val="14"/>
                <w:color w:val="auto"/>
              </w:rPr>
              <w:t>19,598</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1,918</w:t>
            </w:r>
          </w:p>
        </w:tc>
        <w:tc>
          <w:tcPr>
            <w:tcW w:w="6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2,044</w:t>
            </w: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2,024</w:t>
            </w: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83"/>
              </w:rPr>
              <w:t>70,643</w:t>
            </w: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70,551</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68,650</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9,789</w:t>
            </w:r>
          </w:p>
        </w:tc>
        <w:tc>
          <w:tcPr>
            <w:tcW w:w="6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9,536</w:t>
            </w:r>
          </w:p>
        </w:tc>
        <w:tc>
          <w:tcPr>
            <w:tcW w:w="6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9,376</w:t>
            </w:r>
          </w:p>
        </w:tc>
        <w:tc>
          <w:tcPr>
            <w:tcW w:w="6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ind w:left="50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440" w:type="dxa"/>
            <w:vAlign w:val="bottom"/>
            <w:tcBorders>
              <w:bottom w:val="single" w:sz="8" w:color="auto"/>
            </w:tcBorders>
          </w:tcPr>
          <w:p>
            <w:pPr>
              <w:ind w:left="1360"/>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w w:val="83"/>
              </w:rPr>
              <w:t>80,432</w:t>
            </w: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80,087</w:t>
            </w: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78,026</w:t>
            </w: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spread</w:t>
            </w:r>
          </w:p>
        </w:tc>
        <w:tc>
          <w:tcPr>
            <w:tcW w:w="1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3.52</w:t>
            </w: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3.49</w:t>
            </w:r>
          </w:p>
        </w:tc>
        <w:tc>
          <w:tcPr>
            <w:tcW w:w="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3.44</w:t>
            </w:r>
          </w:p>
        </w:tc>
      </w:tr>
      <w:tr>
        <w:trPr>
          <w:trHeight w:val="156"/>
        </w:trPr>
        <w:tc>
          <w:tcPr>
            <w:tcW w:w="20" w:type="dxa"/>
            <w:vAlign w:val="bottom"/>
          </w:tcPr>
          <w:p>
            <w:pPr>
              <w:spacing w:after="0"/>
              <w:rPr>
                <w:sz w:val="13"/>
                <w:szCs w:val="13"/>
                <w:color w:val="auto"/>
              </w:rPr>
            </w:pPr>
          </w:p>
        </w:tc>
        <w:tc>
          <w:tcPr>
            <w:tcW w:w="43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1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.25</w:t>
            </w:r>
          </w:p>
        </w:tc>
        <w:tc>
          <w:tcPr>
            <w:tcW w:w="6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.25</w:t>
            </w:r>
          </w:p>
        </w:tc>
        <w:tc>
          <w:tcPr>
            <w:tcW w:w="6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income/margin on earning assets</w:t>
            </w:r>
          </w:p>
        </w:tc>
        <w:tc>
          <w:tcPr>
            <w:tcW w:w="1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2"/>
              </w:rPr>
              <w:t>$669,256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654,628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8"/>
              </w:rPr>
              <w:t>627,094</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3.69%</w:t>
            </w: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30"/>
        </w:trPr>
        <w:tc>
          <w:tcPr>
            <w:tcW w:w="38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Includes nonaccrual loans.</w:t>
            </w: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(continued)</w:t>
            </w:r>
          </w:p>
        </w:tc>
      </w:tr>
    </w:tbl>
    <w:p>
      <w:pPr>
        <w:ind w:left="400" w:hanging="392"/>
        <w:spacing w:after="0"/>
        <w:tabs>
          <w:tab w:leader="none" w:pos="4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- 107 -</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2011 Fourth Quarter</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87"/>
              </w:rPr>
              <w:t>2011 Third Quarter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84"/>
              </w:rPr>
              <w:t>Average</w:t>
            </w:r>
          </w:p>
        </w:tc>
        <w:tc>
          <w:tcPr>
            <w:tcW w:w="1020" w:type="dxa"/>
            <w:vAlign w:val="bottom"/>
          </w:tcPr>
          <w:p>
            <w:pPr>
              <w:spacing w:after="0"/>
              <w:rPr>
                <w:sz w:val="12"/>
                <w:szCs w:val="12"/>
                <w:color w:val="auto"/>
              </w:rPr>
            </w:pPr>
          </w:p>
        </w:tc>
        <w:tc>
          <w:tcPr>
            <w:tcW w:w="900" w:type="dxa"/>
            <w:vAlign w:val="bottom"/>
          </w:tcPr>
          <w:p>
            <w:pPr>
              <w:jc w:val="right"/>
              <w:ind w:right="314"/>
              <w:spacing w:after="0" w:line="149" w:lineRule="exact"/>
              <w:rPr>
                <w:sz w:val="20"/>
                <w:szCs w:val="20"/>
                <w:color w:val="auto"/>
              </w:rPr>
            </w:pPr>
            <w:r>
              <w:rPr>
                <w:rFonts w:ascii="Arial" w:cs="Arial" w:eastAsia="Arial" w:hAnsi="Arial"/>
                <w:sz w:val="14"/>
                <w:szCs w:val="14"/>
                <w:color w:val="auto"/>
                <w:w w:val="91"/>
              </w:rPr>
              <w:t>Average</w:t>
            </w:r>
          </w:p>
        </w:tc>
        <w:tc>
          <w:tcPr>
            <w:tcW w:w="7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Average</w:t>
            </w:r>
          </w:p>
        </w:tc>
        <w:tc>
          <w:tcPr>
            <w:tcW w:w="1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Average</w:t>
            </w: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1240" w:type="dxa"/>
            <w:vAlign w:val="bottom"/>
          </w:tcPr>
          <w:p>
            <w:pPr>
              <w:spacing w:after="0"/>
              <w:rPr>
                <w:sz w:val="13"/>
                <w:szCs w:val="13"/>
                <w:color w:val="auto"/>
              </w:rPr>
            </w:pPr>
          </w:p>
        </w:tc>
        <w:tc>
          <w:tcPr>
            <w:tcW w:w="740" w:type="dxa"/>
            <w:vAlign w:val="bottom"/>
          </w:tcPr>
          <w:p>
            <w:pPr>
              <w:jc w:val="right"/>
              <w:ind w:right="194"/>
              <w:spacing w:after="0" w:line="159" w:lineRule="exact"/>
              <w:rPr>
                <w:sz w:val="20"/>
                <w:szCs w:val="20"/>
                <w:color w:val="auto"/>
              </w:rPr>
            </w:pPr>
            <w:r>
              <w:rPr>
                <w:rFonts w:ascii="Arial" w:cs="Arial" w:eastAsia="Arial" w:hAnsi="Arial"/>
                <w:sz w:val="14"/>
                <w:szCs w:val="14"/>
                <w:color w:val="auto"/>
                <w:w w:val="86"/>
              </w:rPr>
              <w:t>Balance</w:t>
            </w:r>
          </w:p>
        </w:tc>
        <w:tc>
          <w:tcPr>
            <w:tcW w:w="1020" w:type="dxa"/>
            <w:vAlign w:val="bottom"/>
          </w:tcPr>
          <w:p>
            <w:pPr>
              <w:jc w:val="right"/>
              <w:ind w:right="313"/>
              <w:spacing w:after="0" w:line="159" w:lineRule="exact"/>
              <w:rPr>
                <w:sz w:val="20"/>
                <w:szCs w:val="20"/>
                <w:color w:val="auto"/>
              </w:rPr>
            </w:pPr>
            <w:r>
              <w:rPr>
                <w:rFonts w:ascii="Arial" w:cs="Arial" w:eastAsia="Arial" w:hAnsi="Arial"/>
                <w:sz w:val="14"/>
                <w:szCs w:val="14"/>
                <w:color w:val="auto"/>
              </w:rPr>
              <w:t>Interest</w:t>
            </w:r>
          </w:p>
        </w:tc>
        <w:tc>
          <w:tcPr>
            <w:tcW w:w="900" w:type="dxa"/>
            <w:vAlign w:val="bottom"/>
          </w:tcPr>
          <w:p>
            <w:pPr>
              <w:jc w:val="right"/>
              <w:ind w:right="414"/>
              <w:spacing w:after="0" w:line="159" w:lineRule="exact"/>
              <w:rPr>
                <w:sz w:val="20"/>
                <w:szCs w:val="20"/>
                <w:color w:val="auto"/>
              </w:rPr>
            </w:pPr>
            <w:r>
              <w:rPr>
                <w:rFonts w:ascii="Arial" w:cs="Arial" w:eastAsia="Arial" w:hAnsi="Arial"/>
                <w:sz w:val="14"/>
                <w:szCs w:val="14"/>
                <w:color w:val="auto"/>
              </w:rPr>
              <w:t>Rate</w:t>
            </w:r>
          </w:p>
        </w:tc>
        <w:tc>
          <w:tcPr>
            <w:tcW w:w="700" w:type="dxa"/>
            <w:vAlign w:val="bottom"/>
          </w:tcPr>
          <w:p>
            <w:pPr>
              <w:jc w:val="right"/>
              <w:ind w:right="33"/>
              <w:spacing w:after="0" w:line="159" w:lineRule="exact"/>
              <w:rPr>
                <w:sz w:val="20"/>
                <w:szCs w:val="20"/>
                <w:color w:val="auto"/>
              </w:rPr>
            </w:pPr>
            <w:r>
              <w:rPr>
                <w:rFonts w:ascii="Arial" w:cs="Arial" w:eastAsia="Arial" w:hAnsi="Arial"/>
                <w:sz w:val="14"/>
                <w:szCs w:val="14"/>
                <w:color w:val="auto"/>
              </w:rPr>
              <w:t>Balance</w:t>
            </w:r>
          </w:p>
        </w:tc>
        <w:tc>
          <w:tcPr>
            <w:tcW w:w="1120" w:type="dxa"/>
            <w:vAlign w:val="bottom"/>
          </w:tcPr>
          <w:p>
            <w:pPr>
              <w:jc w:val="right"/>
              <w:ind w:right="294"/>
              <w:spacing w:after="0" w:line="159" w:lineRule="exact"/>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Rate</w:t>
            </w:r>
          </w:p>
        </w:tc>
      </w:tr>
      <w:tr>
        <w:trPr>
          <w:trHeight w:val="222"/>
        </w:trPr>
        <w:tc>
          <w:tcPr>
            <w:tcW w:w="4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 assets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Loans and leases, net of unearned discount*</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etc.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15,392</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4"/>
              </w:rPr>
              <w:t>$ 146,768</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144,677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Real estate - commercial</w:t>
            </w:r>
          </w:p>
        </w:tc>
        <w:tc>
          <w:tcPr>
            <w:tcW w:w="124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24,108</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269,516</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4.47</w:t>
            </w:r>
          </w:p>
        </w:tc>
        <w:tc>
          <w:tcPr>
            <w:tcW w:w="700" w:type="dxa"/>
            <w:vAlign w:val="bottom"/>
          </w:tcPr>
          <w:p>
            <w:pPr>
              <w:jc w:val="right"/>
              <w:spacing w:after="0"/>
              <w:rPr>
                <w:sz w:val="20"/>
                <w:szCs w:val="20"/>
                <w:color w:val="auto"/>
              </w:rPr>
            </w:pPr>
            <w:r>
              <w:rPr>
                <w:rFonts w:ascii="Arial" w:cs="Arial" w:eastAsia="Arial" w:hAnsi="Arial"/>
                <w:sz w:val="18"/>
                <w:szCs w:val="18"/>
                <w:color w:val="auto"/>
              </w:rPr>
              <w:t>23,979</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277,193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 consumer</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7,480</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89,185</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4.77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86,651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Consumer</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12,097</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148,538</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4.87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152,301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loans and leases, net</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59,077</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654,007</w:t>
            </w: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4.39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58,188</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660,822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0" w:type="dxa"/>
            <w:vAlign w:val="bottom"/>
            <w:shd w:val="clear" w:color="auto" w:fill="CCEEFF"/>
          </w:tcPr>
          <w:p>
            <w:pPr>
              <w:spacing w:after="0"/>
              <w:rPr>
                <w:sz w:val="18"/>
                <w:szCs w:val="18"/>
                <w:color w:val="auto"/>
              </w:rPr>
            </w:pP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color w:val="auto"/>
              </w:rPr>
              <w:t>Interest-bearing deposits at banks</w:t>
            </w:r>
          </w:p>
        </w:tc>
        <w:tc>
          <w:tcPr>
            <w:tcW w:w="124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1,973</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1,255</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.25</w:t>
            </w:r>
          </w:p>
        </w:tc>
        <w:tc>
          <w:tcPr>
            <w:tcW w:w="700" w:type="dxa"/>
            <w:vAlign w:val="bottom"/>
          </w:tcPr>
          <w:p>
            <w:pPr>
              <w:jc w:val="right"/>
              <w:spacing w:after="0"/>
              <w:rPr>
                <w:sz w:val="20"/>
                <w:szCs w:val="20"/>
                <w:color w:val="auto"/>
              </w:rPr>
            </w:pPr>
            <w:r>
              <w:rPr>
                <w:rFonts w:ascii="Arial" w:cs="Arial" w:eastAsia="Arial" w:hAnsi="Arial"/>
                <w:sz w:val="18"/>
                <w:szCs w:val="18"/>
                <w:color w:val="auto"/>
              </w:rPr>
              <w:t>1,861</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1,164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Trading account</w:t>
            </w:r>
          </w:p>
        </w:tc>
        <w:tc>
          <w:tcPr>
            <w:tcW w:w="124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267</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1.30</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371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U.S. Treasury and federal agencies</w:t>
            </w:r>
          </w:p>
        </w:tc>
        <w:tc>
          <w:tcPr>
            <w:tcW w:w="124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4,899</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42,229</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3.42</w:t>
            </w: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37,805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226</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3,362</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3,424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2,508</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21,409</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3.39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23,284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Total investment securities</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7,633</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67,000</w:t>
            </w: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3.48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64,513</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1240" w:type="dxa"/>
            <w:vAlign w:val="bottom"/>
          </w:tcPr>
          <w:p>
            <w:pPr>
              <w:spacing w:after="0"/>
              <w:rPr>
                <w:sz w:val="20"/>
                <w:szCs w:val="20"/>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68,771</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722,535</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4.17</w:t>
            </w:r>
          </w:p>
        </w:tc>
        <w:tc>
          <w:tcPr>
            <w:tcW w:w="700" w:type="dxa"/>
            <w:vAlign w:val="bottom"/>
          </w:tcPr>
          <w:p>
            <w:pPr>
              <w:jc w:val="right"/>
              <w:spacing w:after="0"/>
              <w:rPr>
                <w:sz w:val="20"/>
                <w:szCs w:val="20"/>
                <w:color w:val="auto"/>
              </w:rPr>
            </w:pPr>
            <w:r>
              <w:rPr>
                <w:rFonts w:ascii="Arial" w:cs="Arial" w:eastAsia="Arial" w:hAnsi="Arial"/>
                <w:sz w:val="18"/>
                <w:szCs w:val="18"/>
                <w:color w:val="auto"/>
              </w:rPr>
              <w:t>67,215</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726,897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1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gridSpan w:val="2"/>
            <w:shd w:val="clear" w:color="auto" w:fill="CCEEFF"/>
          </w:tcPr>
          <w:p>
            <w:pPr>
              <w:jc w:val="right"/>
              <w:ind w:right="974"/>
              <w:spacing w:after="0"/>
              <w:rPr>
                <w:sz w:val="20"/>
                <w:szCs w:val="20"/>
                <w:color w:val="auto"/>
              </w:rPr>
            </w:pPr>
            <w:r>
              <w:rPr>
                <w:rFonts w:ascii="Arial" w:cs="Arial" w:eastAsia="Arial" w:hAnsi="Arial"/>
                <w:sz w:val="18"/>
                <w:szCs w:val="18"/>
                <w:color w:val="auto"/>
              </w:rPr>
              <w:t>(917)</w:t>
            </w: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24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1,330</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1,286</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9,211</w:t>
            </w:r>
          </w:p>
        </w:tc>
        <w:tc>
          <w:tcPr>
            <w:tcW w:w="10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78,393</w:t>
            </w: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76,908</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NOW accounts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826</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315</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.15</w:t>
            </w:r>
          </w:p>
        </w:tc>
        <w:tc>
          <w:tcPr>
            <w:tcW w:w="700" w:type="dxa"/>
            <w:vAlign w:val="bottom"/>
          </w:tcPr>
          <w:p>
            <w:pPr>
              <w:jc w:val="right"/>
              <w:spacing w:after="0"/>
              <w:rPr>
                <w:sz w:val="20"/>
                <w:szCs w:val="20"/>
                <w:color w:val="auto"/>
              </w:rPr>
            </w:pPr>
            <w:r>
              <w:rPr>
                <w:rFonts w:ascii="Arial" w:cs="Arial" w:eastAsia="Arial" w:hAnsi="Arial"/>
                <w:sz w:val="18"/>
                <w:szCs w:val="18"/>
                <w:color w:val="auto"/>
              </w:rPr>
              <w:t>814</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354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Savings deposits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32,179</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21,654</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22,664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Time deposits</w:t>
            </w:r>
          </w:p>
        </w:tc>
        <w:tc>
          <w:tcPr>
            <w:tcW w:w="124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6,379</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14,949</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.93</w:t>
            </w:r>
          </w:p>
        </w:tc>
        <w:tc>
          <w:tcPr>
            <w:tcW w:w="700" w:type="dxa"/>
            <w:vAlign w:val="bottom"/>
          </w:tcPr>
          <w:p>
            <w:pPr>
              <w:jc w:val="right"/>
              <w:spacing w:after="0"/>
              <w:rPr>
                <w:sz w:val="20"/>
                <w:szCs w:val="20"/>
                <w:color w:val="auto"/>
              </w:rPr>
            </w:pPr>
            <w:r>
              <w:rPr>
                <w:rFonts w:ascii="Arial" w:cs="Arial" w:eastAsia="Arial" w:hAnsi="Arial"/>
                <w:sz w:val="18"/>
                <w:szCs w:val="18"/>
                <w:color w:val="auto"/>
              </w:rPr>
              <w:t>7,169</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17,684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Deposits at Cayman Islands office</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512</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187</w:t>
            </w: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.15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188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interest-bearing deposits</w:t>
            </w:r>
          </w:p>
        </w:tc>
        <w:tc>
          <w:tcPr>
            <w:tcW w:w="1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39,896</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37,105</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40,251</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40,890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674</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169</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borrowings</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6,574</w:t>
            </w: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60,695</w:t>
            </w: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3.66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62,520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47,144</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97,969</w:t>
            </w:r>
          </w:p>
        </w:tc>
        <w:tc>
          <w:tcPr>
            <w:tcW w:w="9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.82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47,672</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103,632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color w:val="auto"/>
              </w:rPr>
              <w:t>Noninterest-bearing deposits</w:t>
            </w:r>
          </w:p>
        </w:tc>
        <w:tc>
          <w:tcPr>
            <w:tcW w:w="1240" w:type="dxa"/>
            <w:vAlign w:val="bottom"/>
          </w:tcPr>
          <w:p>
            <w:pPr>
              <w:spacing w:after="0"/>
              <w:rPr>
                <w:sz w:val="19"/>
                <w:szCs w:val="19"/>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20,103</w:t>
            </w: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18,222</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1,733</w:t>
            </w:r>
          </w:p>
        </w:tc>
        <w:tc>
          <w:tcPr>
            <w:tcW w:w="10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liabilities</w:t>
            </w:r>
          </w:p>
        </w:tc>
        <w:tc>
          <w:tcPr>
            <w:tcW w:w="1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68,980</w:t>
            </w: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67,584</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9,413</w:t>
            </w:r>
          </w:p>
        </w:tc>
        <w:tc>
          <w:tcPr>
            <w:tcW w:w="10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78,393</w:t>
            </w:r>
          </w:p>
        </w:tc>
        <w:tc>
          <w:tcPr>
            <w:tcW w:w="1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76,908</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3.35</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r>
      <w:tr>
        <w:trPr>
          <w:trHeight w:val="223"/>
        </w:trPr>
        <w:tc>
          <w:tcPr>
            <w:tcW w:w="2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Contribution of interest-free funds</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income/margin on earning assets</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4"/>
              </w:rPr>
              <w:t>$ 624,566</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3.60%</w:t>
            </w: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623,265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7"/>
        </w:trPr>
        <w:tc>
          <w:tcPr>
            <w:tcW w:w="20" w:type="dxa"/>
            <w:vAlign w:val="bottom"/>
          </w:tcPr>
          <w:p>
            <w:pPr>
              <w:spacing w:after="0"/>
              <w:rPr>
                <w:sz w:val="2"/>
                <w:szCs w:val="2"/>
                <w:color w:val="auto"/>
              </w:rPr>
            </w:pPr>
          </w:p>
        </w:tc>
        <w:tc>
          <w:tcPr>
            <w:tcW w:w="48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ind w:right="140" w:firstLine="464"/>
        <w:spacing w:after="0" w:line="30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September 30, 2012.</w:t>
      </w:r>
    </w:p>
    <w:p>
      <w:pPr>
        <w:spacing w:after="0" w:line="106" w:lineRule="exact"/>
        <w:rPr>
          <w:rFonts w:ascii="Arial" w:cs="Arial" w:eastAsia="Arial" w:hAnsi="Arial"/>
          <w:sz w:val="16"/>
          <w:szCs w:val="16"/>
          <w:color w:val="auto"/>
        </w:rPr>
      </w:pPr>
    </w:p>
    <w:p>
      <w:pPr>
        <w:ind w:right="20"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2012 that have materially affected, or are reasonably likely to materially affect, M&amp;T’s internal control over financial reporting.</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 Not applicable.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Issuer Purchases of Equity Securities</w:t>
      </w:r>
    </w:p>
    <w:tbl>
      <w:tblPr>
        <w:tblLayout w:type="fixed"/>
        <w:tblInd w:w="460" w:type="dxa"/>
        <w:tblCellMar>
          <w:top w:w="0" w:type="dxa"/>
          <w:left w:w="0" w:type="dxa"/>
          <w:bottom w:w="0" w:type="dxa"/>
          <w:right w:w="0" w:type="dxa"/>
        </w:tblCellMar>
      </w:tblPr>
      <w:tr>
        <w:trPr>
          <w:trHeight w:val="131"/>
        </w:trPr>
        <w:tc>
          <w:tcPr>
            <w:tcW w:w="380" w:type="dxa"/>
            <w:vAlign w:val="bottom"/>
            <w:tcBorders>
              <w:top w:val="single" w:sz="8" w:color="auto"/>
            </w:tcBorders>
          </w:tcPr>
          <w:p>
            <w:pPr>
              <w:spacing w:after="0"/>
              <w:rPr>
                <w:sz w:val="11"/>
                <w:szCs w:val="11"/>
                <w:color w:val="auto"/>
              </w:rPr>
            </w:pPr>
          </w:p>
        </w:tc>
        <w:tc>
          <w:tcPr>
            <w:tcW w:w="56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100"/>
              <w:spacing w:after="0" w:line="131" w:lineRule="exact"/>
              <w:rPr>
                <w:sz w:val="20"/>
                <w:szCs w:val="20"/>
                <w:color w:val="auto"/>
              </w:rPr>
            </w:pPr>
            <w:r>
              <w:rPr>
                <w:rFonts w:ascii="Arial" w:cs="Arial" w:eastAsia="Arial" w:hAnsi="Arial"/>
                <w:sz w:val="14"/>
                <w:szCs w:val="14"/>
                <w:color w:val="auto"/>
                <w:w w:val="92"/>
              </w:rPr>
              <w:t>(d)Maximum</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2"/>
              </w:rPr>
              <w:t>(c)Total</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Dollar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(or Units)</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3"/>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3"/>
              </w:rPr>
              <w:t>Purchased</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6"/>
              </w:rPr>
              <w:t>(a)Total</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as Part of</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8"/>
              </w:rPr>
              <w:t>Number of</w:t>
            </w:r>
          </w:p>
        </w:tc>
        <w:tc>
          <w:tcPr>
            <w:tcW w:w="54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6"/>
              </w:rPr>
              <w:t>(b)Average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Publicly</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0"/>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2"/>
              </w:rPr>
              <w:t>Shares (or</w:t>
            </w:r>
          </w:p>
        </w:tc>
        <w:tc>
          <w:tcPr>
            <w:tcW w:w="54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7"/>
              </w:rPr>
              <w:t>Price Paid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0"/>
              </w:rPr>
              <w:t>Announced</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Under the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5620" w:type="dxa"/>
            <w:vAlign w:val="bottom"/>
            <w:vMerge w:val="restart"/>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Units)</w:t>
            </w:r>
          </w:p>
        </w:tc>
        <w:tc>
          <w:tcPr>
            <w:tcW w:w="540" w:type="dxa"/>
            <w:vAlign w:val="bottom"/>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4"/>
              </w:rPr>
              <w:t>per Share</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Plans or</w:t>
            </w:r>
          </w:p>
        </w:tc>
        <w:tc>
          <w:tcPr>
            <w:tcW w:w="5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Plans or</w:t>
            </w:r>
          </w:p>
        </w:tc>
        <w:tc>
          <w:tcPr>
            <w:tcW w:w="0" w:type="dxa"/>
            <w:vAlign w:val="bottom"/>
          </w:tcPr>
          <w:p>
            <w:pPr>
              <w:spacing w:after="0"/>
              <w:rPr>
                <w:sz w:val="1"/>
                <w:szCs w:val="1"/>
                <w:color w:val="auto"/>
              </w:rPr>
            </w:pPr>
          </w:p>
        </w:tc>
      </w:tr>
      <w:tr>
        <w:trPr>
          <w:trHeight w:val="166"/>
        </w:trPr>
        <w:tc>
          <w:tcPr>
            <w:tcW w:w="38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760" w:type="dxa"/>
            <w:vAlign w:val="bottom"/>
            <w:gridSpan w:val="2"/>
          </w:tcPr>
          <w:p>
            <w:pPr>
              <w:jc w:val="center"/>
              <w:ind w:right="20"/>
              <w:spacing w:after="0" w:line="146" w:lineRule="exact"/>
              <w:rPr>
                <w:sz w:val="20"/>
                <w:szCs w:val="20"/>
                <w:color w:val="auto"/>
              </w:rPr>
            </w:pPr>
            <w:r>
              <w:rPr>
                <w:rFonts w:ascii="Arial" w:cs="Arial" w:eastAsia="Arial" w:hAnsi="Arial"/>
                <w:sz w:val="14"/>
                <w:szCs w:val="14"/>
                <w:color w:val="auto"/>
                <w:w w:val="84"/>
              </w:rPr>
              <w:t>Purchased (1)</w:t>
            </w:r>
          </w:p>
        </w:tc>
        <w:tc>
          <w:tcPr>
            <w:tcW w:w="540" w:type="dxa"/>
            <w:vAlign w:val="bottom"/>
          </w:tcPr>
          <w:p>
            <w:pPr>
              <w:spacing w:after="0"/>
              <w:rPr>
                <w:sz w:val="14"/>
                <w:szCs w:val="14"/>
                <w:color w:val="auto"/>
              </w:rPr>
            </w:pPr>
          </w:p>
        </w:tc>
        <w:tc>
          <w:tcPr>
            <w:tcW w:w="1160" w:type="dxa"/>
            <w:vAlign w:val="bottom"/>
            <w:gridSpan w:val="3"/>
          </w:tcPr>
          <w:p>
            <w:pPr>
              <w:jc w:val="center"/>
              <w:ind w:right="560"/>
              <w:spacing w:after="0" w:line="146" w:lineRule="exact"/>
              <w:rPr>
                <w:sz w:val="20"/>
                <w:szCs w:val="20"/>
                <w:color w:val="auto"/>
              </w:rPr>
            </w:pPr>
            <w:r>
              <w:rPr>
                <w:rFonts w:ascii="Arial" w:cs="Arial" w:eastAsia="Arial" w:hAnsi="Arial"/>
                <w:sz w:val="14"/>
                <w:szCs w:val="14"/>
                <w:color w:val="auto"/>
                <w:w w:val="94"/>
              </w:rPr>
              <w:t>(or Unit)</w:t>
            </w:r>
          </w:p>
        </w:tc>
        <w:tc>
          <w:tcPr>
            <w:tcW w:w="640" w:type="dxa"/>
            <w:vAlign w:val="bottom"/>
          </w:tcPr>
          <w:p>
            <w:pPr>
              <w:jc w:val="center"/>
              <w:spacing w:after="0" w:line="146" w:lineRule="exact"/>
              <w:rPr>
                <w:sz w:val="20"/>
                <w:szCs w:val="20"/>
                <w:color w:val="auto"/>
              </w:rPr>
            </w:pPr>
            <w:r>
              <w:rPr>
                <w:rFonts w:ascii="Arial" w:cs="Arial" w:eastAsia="Arial" w:hAnsi="Arial"/>
                <w:sz w:val="14"/>
                <w:szCs w:val="14"/>
                <w:color w:val="auto"/>
                <w:w w:val="85"/>
              </w:rPr>
              <w:t>Programs</w:t>
            </w:r>
          </w:p>
        </w:tc>
        <w:tc>
          <w:tcPr>
            <w:tcW w:w="540" w:type="dxa"/>
            <w:vAlign w:val="bottom"/>
          </w:tcPr>
          <w:p>
            <w:pPr>
              <w:spacing w:after="0"/>
              <w:rPr>
                <w:sz w:val="14"/>
                <w:szCs w:val="14"/>
                <w:color w:val="auto"/>
              </w:rPr>
            </w:pPr>
          </w:p>
        </w:tc>
        <w:tc>
          <w:tcPr>
            <w:tcW w:w="8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5"/>
              </w:rPr>
              <w:t>Programs (2)</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 – July 31, 2012</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86.01</w:t>
            </w: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2,181,500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August 1 - August 31, 2012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19,358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87.46</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94.19</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82,449</w:t>
            </w:r>
          </w:p>
        </w:tc>
        <w:tc>
          <w:tcPr>
            <w:tcW w:w="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ind w:left="60"/>
              <w:spacing w:after="0"/>
              <w:rPr>
                <w:sz w:val="20"/>
                <w:szCs w:val="20"/>
                <w:color w:val="auto"/>
              </w:rPr>
            </w:pPr>
            <w:r>
              <w:rPr>
                <w:rFonts w:ascii="Arial" w:cs="Arial" w:eastAsia="Arial" w:hAnsi="Arial"/>
                <w:sz w:val="18"/>
                <w:szCs w:val="18"/>
                <w:color w:val="auto"/>
              </w:rPr>
              <w:t>92.60</w:t>
            </w: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303" w:lineRule="auto"/>
        <w:tabs>
          <w:tab w:leader="none" w:pos="460" w:val="left"/>
        </w:tabs>
        <w:numPr>
          <w:ilvl w:val="0"/>
          <w:numId w:val="31"/>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200" w:hanging="452"/>
        <w:spacing w:after="0" w:line="261" w:lineRule="auto"/>
        <w:tabs>
          <w:tab w:leader="none" w:pos="4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- 110 -</w:t>
      </w:r>
    </w:p>
    <w:p>
      <w:pPr>
        <w:sectPr>
          <w:pgSz w:w="11900" w:h="16838" w:orient="portrait"/>
          <w:cols w:equalWidth="0" w:num="1">
            <w:col w:w="11000"/>
          </w:cols>
          <w:pgMar w:left="240" w:top="459" w:right="6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09" w:lineRule="exact"/>
        <w:rPr>
          <w:sz w:val="20"/>
          <w:szCs w:val="20"/>
          <w:color w:val="auto"/>
        </w:rPr>
      </w:pPr>
    </w:p>
    <w:p>
      <w:pPr>
        <w:jc w:val="center"/>
        <w:ind w:right="10640"/>
        <w:spacing w:after="0"/>
        <w:rPr>
          <w:sz w:val="20"/>
          <w:szCs w:val="20"/>
          <w:color w:val="auto"/>
        </w:rPr>
      </w:pPr>
      <w:r>
        <w:rPr>
          <w:rFonts w:ascii="Arial" w:cs="Arial" w:eastAsia="Arial" w:hAnsi="Arial"/>
          <w:sz w:val="14"/>
          <w:szCs w:val="14"/>
          <w:color w:val="auto"/>
        </w:rPr>
        <w:t>Exhibit</w:t>
      </w:r>
    </w:p>
    <w:p>
      <w:pPr>
        <w:jc w:val="center"/>
        <w:ind w:right="106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-8255</wp:posOffset>
            </wp:positionV>
            <wp:extent cx="2571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87"/>
              </w:rPr>
              <w:t>2.1</w:t>
            </w:r>
          </w:p>
        </w:tc>
        <w:tc>
          <w:tcPr>
            <w:tcW w:w="10440" w:type="dxa"/>
            <w:vAlign w:val="bottom"/>
          </w:tcPr>
          <w:p>
            <w:pPr>
              <w:ind w:left="220"/>
              <w:spacing w:after="0"/>
              <w:rPr>
                <w:sz w:val="20"/>
                <w:szCs w:val="20"/>
                <w:color w:val="auto"/>
              </w:rPr>
            </w:pPr>
            <w:r>
              <w:rPr>
                <w:rFonts w:ascii="Arial" w:cs="Arial" w:eastAsia="Arial" w:hAnsi="Arial"/>
                <w:sz w:val="18"/>
                <w:szCs w:val="18"/>
                <w:color w:val="auto"/>
                <w:w w:val="89"/>
              </w:rPr>
              <w:t>Agreement and Plan of Merger, dated as of August 27, 2012, by and among M&amp;T Bank Corporation, Hudson City Bancorp, Inc. and Wilmington</w:t>
            </w:r>
          </w:p>
        </w:tc>
      </w:tr>
      <w:tr>
        <w:trPr>
          <w:trHeight w:val="222"/>
        </w:trPr>
        <w:tc>
          <w:tcPr>
            <w:tcW w:w="960" w:type="dxa"/>
            <w:vAlign w:val="bottom"/>
          </w:tcPr>
          <w:p>
            <w:pPr>
              <w:spacing w:after="0"/>
              <w:rPr>
                <w:sz w:val="19"/>
                <w:szCs w:val="19"/>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rPr>
              <w:t>Trust Corporation. Incorporated by reference to Exhibit 2.1 to the Form 8-K dated August 31, 2012 (File No. 1-9861).</w:t>
            </w:r>
          </w:p>
        </w:tc>
      </w:tr>
      <w:tr>
        <w:trPr>
          <w:trHeight w:val="318"/>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85"/>
              </w:rPr>
              <w:t>10.1</w:t>
            </w:r>
          </w:p>
        </w:tc>
        <w:tc>
          <w:tcPr>
            <w:tcW w:w="10440" w:type="dxa"/>
            <w:vAlign w:val="bottom"/>
          </w:tcPr>
          <w:p>
            <w:pPr>
              <w:ind w:left="220"/>
              <w:spacing w:after="0"/>
              <w:rPr>
                <w:sz w:val="20"/>
                <w:szCs w:val="20"/>
                <w:color w:val="auto"/>
              </w:rPr>
            </w:pPr>
            <w:r>
              <w:rPr>
                <w:rFonts w:ascii="Arial" w:cs="Arial" w:eastAsia="Arial" w:hAnsi="Arial"/>
                <w:sz w:val="18"/>
                <w:szCs w:val="18"/>
                <w:color w:val="auto"/>
                <w:w w:val="91"/>
              </w:rPr>
              <w:t>M&amp;T Bank Corporation 2008 Directors’ Stock Plan, as amended. Incorporated by reference to Exhibit 4.1 to the Form S-8 dated October 19,</w:t>
            </w:r>
          </w:p>
        </w:tc>
      </w:tr>
      <w:tr>
        <w:trPr>
          <w:trHeight w:val="222"/>
        </w:trPr>
        <w:tc>
          <w:tcPr>
            <w:tcW w:w="960" w:type="dxa"/>
            <w:vAlign w:val="bottom"/>
          </w:tcPr>
          <w:p>
            <w:pPr>
              <w:spacing w:after="0"/>
              <w:rPr>
                <w:sz w:val="19"/>
                <w:szCs w:val="19"/>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rPr>
              <w:t>2012 (File No. 333-184504).</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85"/>
              </w:rPr>
              <w:t>31.1</w:t>
            </w:r>
          </w:p>
        </w:tc>
        <w:tc>
          <w:tcPr>
            <w:tcW w:w="104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85"/>
              </w:rPr>
              <w:t>31.2</w:t>
            </w:r>
          </w:p>
        </w:tc>
        <w:tc>
          <w:tcPr>
            <w:tcW w:w="104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85"/>
              </w:rPr>
              <w:t>32.1</w:t>
            </w:r>
          </w:p>
        </w:tc>
        <w:tc>
          <w:tcPr>
            <w:tcW w:w="10440" w:type="dxa"/>
            <w:vAlign w:val="bottom"/>
          </w:tcPr>
          <w:p>
            <w:pPr>
              <w:ind w:left="22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 herewith.</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85"/>
              </w:rPr>
              <w:t>32.2</w:t>
            </w:r>
          </w:p>
        </w:tc>
        <w:tc>
          <w:tcPr>
            <w:tcW w:w="10440" w:type="dxa"/>
            <w:vAlign w:val="bottom"/>
          </w:tcPr>
          <w:p>
            <w:pPr>
              <w:ind w:left="22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324"/>
        </w:trPr>
        <w:tc>
          <w:tcPr>
            <w:tcW w:w="960" w:type="dxa"/>
            <w:vAlign w:val="bottom"/>
          </w:tcPr>
          <w:p>
            <w:pPr>
              <w:jc w:val="center"/>
              <w:ind w:right="152"/>
              <w:spacing w:after="0"/>
              <w:rPr>
                <w:sz w:val="20"/>
                <w:szCs w:val="20"/>
                <w:color w:val="auto"/>
              </w:rPr>
            </w:pPr>
            <w:r>
              <w:rPr>
                <w:rFonts w:ascii="Arial" w:cs="Arial" w:eastAsia="Arial" w:hAnsi="Arial"/>
                <w:sz w:val="18"/>
                <w:szCs w:val="18"/>
                <w:color w:val="auto"/>
                <w:w w:val="94"/>
              </w:rPr>
              <w:t>101.INS*</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92"/>
              </w:rPr>
              <w:t>101.SCH*</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95"/>
              </w:rPr>
              <w:t>101.CAL*</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jc w:val="center"/>
              <w:ind w:right="132"/>
              <w:spacing w:after="0"/>
              <w:rPr>
                <w:sz w:val="20"/>
                <w:szCs w:val="20"/>
                <w:color w:val="auto"/>
              </w:rPr>
            </w:pPr>
            <w:r>
              <w:rPr>
                <w:rFonts w:ascii="Arial" w:cs="Arial" w:eastAsia="Arial" w:hAnsi="Arial"/>
                <w:sz w:val="18"/>
                <w:szCs w:val="18"/>
                <w:color w:val="auto"/>
                <w:w w:val="97"/>
              </w:rPr>
              <w:t>101.LAB*</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jc w:val="center"/>
              <w:ind w:right="152"/>
              <w:spacing w:after="0"/>
              <w:rPr>
                <w:sz w:val="20"/>
                <w:szCs w:val="20"/>
                <w:color w:val="auto"/>
              </w:rPr>
            </w:pPr>
            <w:r>
              <w:rPr>
                <w:rFonts w:ascii="Arial" w:cs="Arial" w:eastAsia="Arial" w:hAnsi="Arial"/>
                <w:sz w:val="18"/>
                <w:szCs w:val="18"/>
                <w:color w:val="auto"/>
                <w:w w:val="91"/>
              </w:rPr>
              <w:t>101.PRE*</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60" w:type="dxa"/>
            <w:vAlign w:val="bottom"/>
          </w:tcPr>
          <w:p>
            <w:pPr>
              <w:jc w:val="center"/>
              <w:ind w:right="152"/>
              <w:spacing w:after="0"/>
              <w:rPr>
                <w:sz w:val="20"/>
                <w:szCs w:val="20"/>
                <w:color w:val="auto"/>
              </w:rPr>
            </w:pPr>
            <w:r>
              <w:rPr>
                <w:rFonts w:ascii="Arial" w:cs="Arial" w:eastAsia="Arial" w:hAnsi="Arial"/>
                <w:sz w:val="18"/>
                <w:szCs w:val="18"/>
                <w:color w:val="auto"/>
                <w:w w:val="92"/>
              </w:rPr>
              <w:t>101.DEF*</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M&amp;T BANK CORPORATION</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November 6, 2012</w:t>
            </w:r>
          </w:p>
        </w:tc>
        <w:tc>
          <w:tcPr>
            <w:tcW w:w="7800" w:type="dxa"/>
            <w:vAlign w:val="bottom"/>
            <w:gridSpan w:val="2"/>
          </w:tcPr>
          <w:p>
            <w:pPr>
              <w:jc w:val="right"/>
              <w:ind w:right="4092"/>
              <w:spacing w:after="0"/>
              <w:rPr>
                <w:sz w:val="20"/>
                <w:szCs w:val="20"/>
                <w:color w:val="auto"/>
              </w:rPr>
            </w:pPr>
            <w:r>
              <w:rPr>
                <w:rFonts w:ascii="Arial" w:cs="Arial" w:eastAsia="Arial" w:hAnsi="Arial"/>
                <w:sz w:val="18"/>
                <w:szCs w:val="18"/>
                <w:color w:val="auto"/>
              </w:rPr>
              <w:t>By:  /s/ René F. Jones</w:t>
            </w:r>
          </w:p>
        </w:tc>
      </w:tr>
      <w:tr>
        <w:trPr>
          <w:trHeight w:val="202"/>
        </w:trPr>
        <w:tc>
          <w:tcPr>
            <w:tcW w:w="3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René F. Jones</w:t>
            </w:r>
          </w:p>
        </w:tc>
      </w:tr>
      <w:tr>
        <w:trPr>
          <w:trHeight w:val="216"/>
        </w:trPr>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222"/>
        </w:trPr>
        <w:tc>
          <w:tcPr>
            <w:tcW w:w="3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620" w:type="dxa"/>
            <w:vAlign w:val="bottom"/>
          </w:tcPr>
          <w:p>
            <w:pPr>
              <w:spacing w:after="0"/>
              <w:rPr>
                <w:sz w:val="24"/>
                <w:szCs w:val="24"/>
                <w:color w:val="auto"/>
              </w:rPr>
            </w:pPr>
          </w:p>
        </w:tc>
        <w:tc>
          <w:tcPr>
            <w:tcW w:w="7800" w:type="dxa"/>
            <w:vAlign w:val="bottom"/>
            <w:gridSpan w:val="2"/>
          </w:tcPr>
          <w:p>
            <w:pPr>
              <w:jc w:val="right"/>
              <w:ind w:right="5392"/>
              <w:spacing w:after="0"/>
              <w:rPr>
                <w:sz w:val="20"/>
                <w:szCs w:val="20"/>
                <w:color w:val="auto"/>
              </w:rPr>
            </w:pPr>
            <w:r>
              <w:rPr>
                <w:rFonts w:ascii="Arial" w:cs="Arial" w:eastAsia="Arial" w:hAnsi="Arial"/>
                <w:sz w:val="18"/>
                <w:szCs w:val="18"/>
                <w:color w:val="auto"/>
              </w:rPr>
              <w:t>- 111 -</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2"/>
        </w:trPr>
        <w:tc>
          <w:tcPr>
            <w:tcW w:w="16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Exhibit</w:t>
            </w:r>
          </w:p>
        </w:tc>
        <w:tc>
          <w:tcPr>
            <w:tcW w:w="10440" w:type="dxa"/>
            <w:vAlign w:val="bottom"/>
          </w:tcPr>
          <w:p>
            <w:pPr>
              <w:spacing w:after="0"/>
              <w:rPr>
                <w:sz w:val="24"/>
                <w:szCs w:val="24"/>
                <w:color w:val="auto"/>
              </w:rPr>
            </w:pPr>
          </w:p>
        </w:tc>
      </w:tr>
      <w:tr>
        <w:trPr>
          <w:trHeight w:val="159"/>
        </w:trPr>
        <w:tc>
          <w:tcPr>
            <w:tcW w:w="16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400" w:type="dxa"/>
            <w:vAlign w:val="bottom"/>
          </w:tcPr>
          <w:p>
            <w:pPr>
              <w:spacing w:after="0"/>
              <w:rPr>
                <w:sz w:val="13"/>
                <w:szCs w:val="13"/>
                <w:color w:val="auto"/>
              </w:rPr>
            </w:pPr>
          </w:p>
        </w:tc>
        <w:tc>
          <w:tcPr>
            <w:tcW w:w="10440" w:type="dxa"/>
            <w:vAlign w:val="bottom"/>
          </w:tcPr>
          <w:p>
            <w:pPr>
              <w:spacing w:after="0"/>
              <w:rPr>
                <w:sz w:val="13"/>
                <w:szCs w:val="13"/>
                <w:color w:val="auto"/>
              </w:rPr>
            </w:pPr>
          </w:p>
        </w:tc>
      </w:tr>
      <w:tr>
        <w:trPr>
          <w:trHeight w:val="323"/>
        </w:trPr>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2.1</w:t>
            </w:r>
          </w:p>
        </w:tc>
        <w:tc>
          <w:tcPr>
            <w:tcW w:w="40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w w:val="89"/>
              </w:rPr>
              <w:t>Agreement and Plan of Merger, dated as of August 27, 2012, by and among M&amp;T Bank Corporation, Hudson City Bancorp, Inc. and Wilmington</w:t>
            </w:r>
          </w:p>
        </w:tc>
      </w:tr>
      <w:tr>
        <w:trPr>
          <w:trHeight w:val="222"/>
        </w:trPr>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rPr>
              <w:t>Trust Corporation. Incorporated by reference to Exhibit 2.1 to the Form 8-K dated August 31, 2012 (File No. 1-9861).</w:t>
            </w:r>
          </w:p>
        </w:tc>
      </w:tr>
      <w:tr>
        <w:trPr>
          <w:trHeight w:val="318"/>
        </w:trPr>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10.1</w:t>
            </w:r>
          </w:p>
        </w:tc>
        <w:tc>
          <w:tcPr>
            <w:tcW w:w="40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w w:val="91"/>
              </w:rPr>
              <w:t>M&amp;T Bank Corporation 2008 Directors’ Stock Plan, as amended. Incorporated by reference to Exhibit 4.1 to the Form S-8 dated October 19,</w:t>
            </w:r>
          </w:p>
        </w:tc>
      </w:tr>
      <w:tr>
        <w:trPr>
          <w:trHeight w:val="222"/>
        </w:trPr>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rPr>
              <w:t>2012 (File No. 333-184504).</w:t>
            </w:r>
          </w:p>
        </w:tc>
      </w:tr>
      <w:tr>
        <w:trPr>
          <w:trHeight w:val="324"/>
        </w:trPr>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31.1</w:t>
            </w:r>
          </w:p>
        </w:tc>
        <w:tc>
          <w:tcPr>
            <w:tcW w:w="40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31.2</w:t>
            </w:r>
          </w:p>
        </w:tc>
        <w:tc>
          <w:tcPr>
            <w:tcW w:w="40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32.1</w:t>
            </w:r>
          </w:p>
        </w:tc>
        <w:tc>
          <w:tcPr>
            <w:tcW w:w="40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 herewith.</w:t>
            </w:r>
          </w:p>
        </w:tc>
      </w:tr>
      <w:tr>
        <w:trPr>
          <w:trHeight w:val="324"/>
        </w:trPr>
        <w:tc>
          <w:tcPr>
            <w:tcW w:w="56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32.2</w:t>
            </w:r>
          </w:p>
        </w:tc>
        <w:tc>
          <w:tcPr>
            <w:tcW w:w="40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Arial" w:cs="Arial" w:eastAsia="Arial" w:hAnsi="Arial"/>
                <w:sz w:val="18"/>
                <w:szCs w:val="18"/>
                <w:color w:val="auto"/>
                <w:w w:val="93"/>
              </w:rPr>
              <w:t>Certification of Chief Financial Officer under 18 U.S.C. §1350 pursuant to Section 906 of the Sarbanes-Oxley Act of 2002. Filed herewith.</w:t>
            </w:r>
          </w:p>
        </w:tc>
      </w:tr>
      <w:tr>
        <w:trPr>
          <w:trHeight w:val="324"/>
        </w:trPr>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101.INS*</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101.SCH*</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101.CAL*</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101.LAB*</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101.PRE*</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101.DEF*</w:t>
            </w:r>
          </w:p>
        </w:tc>
        <w:tc>
          <w:tcPr>
            <w:tcW w:w="1044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8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rFonts w:ascii="Arial" w:cs="Arial" w:eastAsia="Arial" w:hAnsi="Arial"/>
          <w:sz w:val="18"/>
          <w:szCs w:val="18"/>
          <w:color w:val="auto"/>
        </w:rPr>
      </w:pPr>
    </w:p>
    <w:p>
      <w:pPr>
        <w:ind w:left="5580" w:hanging="97"/>
        <w:spacing w:after="0"/>
        <w:tabs>
          <w:tab w:leader="none" w:pos="5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112 -</w:t>
      </w:r>
    </w:p>
    <w:p>
      <w:pPr>
        <w:sectPr>
          <w:pgSz w:w="11900" w:h="16838" w:orient="portrait"/>
          <w:cols w:equalWidth="0" w:num="1">
            <w:col w:w="11420"/>
          </w:cols>
          <w:pgMar w:left="240" w:top="45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51" w:lineRule="exact"/>
        <w:rPr>
          <w:sz w:val="20"/>
          <w:szCs w:val="20"/>
          <w:color w:val="auto"/>
        </w:rPr>
      </w:pPr>
    </w:p>
    <w:p>
      <w:pPr>
        <w:ind w:left="900" w:right="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2012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51" w:lineRule="exact"/>
        <w:rPr>
          <w:sz w:val="20"/>
          <w:szCs w:val="20"/>
          <w:color w:val="auto"/>
        </w:rPr>
      </w:pPr>
    </w:p>
    <w:p>
      <w:pPr>
        <w:ind w:left="900" w:right="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2012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lvl w:ilvl="1">
      <w:lvlJc w:val="left"/>
      <w:lvlText w:val="-"/>
      <w:numFmt w:val="bullet"/>
      <w:start w:val="1"/>
    </w:lvl>
  </w:abstractNum>
  <w:abstractNum w:abstractNumId="4">
    <w:nsid w:val="75A2A8D4"/>
    <w:multiLevelType w:val="hybridMultilevel"/>
    <w:lvl w:ilvl="0">
      <w:lvlJc w:val="left"/>
      <w:lvlText w:val="(%1)"/>
      <w:numFmt w:val="lowerLetter"/>
      <w:start w:val="1"/>
    </w:lvl>
    <w:lvl w:ilvl="1">
      <w:lvlJc w:val="left"/>
      <w:lvlText w:val="-"/>
      <w:numFmt w:val="bullet"/>
      <w:start w:val="1"/>
    </w:lvl>
  </w:abstractNum>
  <w:abstractNum w:abstractNumId="5">
    <w:nsid w:val="8EDBDAB"/>
    <w:multiLevelType w:val="hybridMultilevel"/>
    <w:lvl w:ilvl="0">
      <w:lvlJc w:val="left"/>
      <w:lvlText w:val="(%1)"/>
      <w:numFmt w:val="lowerLetter"/>
      <w:start w:val="1"/>
    </w:lvl>
    <w:lvl w:ilvl="1">
      <w:lvlJc w:val="left"/>
      <w:lvlText w:val="-"/>
      <w:numFmt w:val="bullet"/>
      <w:start w:val="1"/>
    </w:lvl>
  </w:abstractNum>
  <w:abstractNum w:abstractNumId="6">
    <w:nsid w:val="79838CB2"/>
    <w:multiLevelType w:val="hybridMultilevel"/>
    <w:lvl w:ilvl="0">
      <w:lvlJc w:val="left"/>
      <w:lvlText w:val="(%1)"/>
      <w:numFmt w:val="lowerLetter"/>
      <w:start w:val="1"/>
    </w:lvl>
    <w:lvl w:ilvl="1">
      <w:lvlJc w:val="left"/>
      <w:lvlText w:val="-"/>
      <w:numFmt w:val="bullet"/>
      <w:start w:val="1"/>
    </w:lvl>
  </w:abstractNum>
  <w:abstractNum w:abstractNumId="7">
    <w:nsid w:val="4353D0CD"/>
    <w:multiLevelType w:val="hybridMultilevel"/>
    <w:lvl w:ilvl="0">
      <w:lvlJc w:val="left"/>
      <w:lvlText w:val="(%1)"/>
      <w:numFmt w:val="lowerLetter"/>
      <w:start w:val="1"/>
    </w:lvl>
    <w:lvl w:ilvl="1">
      <w:lvlJc w:val="left"/>
      <w:lvlText w:val="-"/>
      <w:numFmt w:val="bullet"/>
      <w:start w:val="1"/>
    </w:lvl>
  </w:abstractNum>
  <w:abstractNum w:abstractNumId="8">
    <w:nsid w:val="B03E0C6"/>
    <w:multiLevelType w:val="hybridMultilevel"/>
    <w:lvl w:ilvl="0">
      <w:lvlJc w:val="left"/>
      <w:lvlText w:val="(%1)"/>
      <w:numFmt w:val="lowerLetter"/>
      <w:start w:val="1"/>
    </w:lvl>
    <w:lvl w:ilvl="1">
      <w:lvlJc w:val="left"/>
      <w:lvlText w:val="-"/>
      <w:numFmt w:val="bullet"/>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1"/>
    </w:lvl>
    <w:lvl w:ilvl="1">
      <w:lvlJc w:val="left"/>
      <w:lvlText w:val="-"/>
      <w:numFmt w:val="bullet"/>
      <w:start w:val="1"/>
    </w:lvl>
  </w:abstractNum>
  <w:abstractNum w:abstractNumId="12">
    <w:nsid w:val="2CA88611"/>
    <w:multiLevelType w:val="hybridMultilevel"/>
    <w:lvl w:ilvl="0">
      <w:lvlJc w:val="left"/>
      <w:lvlText w:val="(%1)"/>
      <w:numFmt w:val="lowerLetter"/>
      <w:start w:val="1"/>
    </w:lvl>
    <w:lvl w:ilvl="1">
      <w:lvlJc w:val="left"/>
      <w:lvlText w:val="-"/>
      <w:numFmt w:val="bullet"/>
      <w:start w:val="1"/>
    </w:lvl>
  </w:abstractNum>
  <w:abstractNum w:abstractNumId="13">
    <w:nsid w:val="836C40E"/>
    <w:multiLevelType w:val="hybridMultilevel"/>
    <w:lvl w:ilvl="0">
      <w:lvlJc w:val="left"/>
      <w:lvlText w:val="•"/>
      <w:numFmt w:val="bullet"/>
      <w:start w:val="1"/>
    </w:lvl>
    <w:lvl w:ilvl="1">
      <w:lvlJc w:val="left"/>
      <w:lvlText w:val="-"/>
      <w:numFmt w:val="bullet"/>
      <w:start w:val="1"/>
    </w:lvl>
  </w:abstractNum>
  <w:abstractNum w:abstractNumId="14">
    <w:nsid w:val="2901D82"/>
    <w:multiLevelType w:val="hybridMultilevel"/>
    <w:lvl w:ilvl="0">
      <w:lvlJc w:val="left"/>
      <w:lvlText w:val="%1."/>
      <w:numFmt w:val="decimal"/>
      <w:start w:val="2"/>
    </w:lvl>
  </w:abstractNum>
  <w:abstractNum w:abstractNumId="15">
    <w:nsid w:val="3A95F874"/>
    <w:multiLevelType w:val="hybridMultilevel"/>
    <w:lvl w:ilvl="0">
      <w:lvlJc w:val="left"/>
      <w:lvlText w:val="(%1)"/>
      <w:numFmt w:val="lowerLetter"/>
      <w:start w:val="1"/>
    </w:lvl>
    <w:lvl w:ilvl="1">
      <w:lvlJc w:val="left"/>
      <w:lvlText w:val="-"/>
      <w:numFmt w:val="bullet"/>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lvl w:ilvl="1">
      <w:lvlJc w:val="left"/>
      <w:lvlText w:val="-"/>
      <w:numFmt w:val="bullet"/>
      <w:start w:val="1"/>
    </w:lvl>
  </w:abstractNum>
  <w:abstractNum w:abstractNumId="18">
    <w:nsid w:val="7C3DBD3D"/>
    <w:multiLevelType w:val="hybridMultilevel"/>
    <w:lvl w:ilvl="0">
      <w:lvlJc w:val="left"/>
      <w:lvlText w:val="(%1)"/>
      <w:numFmt w:val="lowerLetter"/>
      <w:start w:val="1"/>
    </w:lvl>
    <w:lvl w:ilvl="1">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2"/>
    </w:lvl>
    <w:lvl w:ilvl="1">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2019-12-09T06:25:49Z</dcterms:created>
  <dcterms:modified xsi:type="dcterms:W3CDTF">2019-12-09T06:25:49Z</dcterms:modified>
</cp:coreProperties>
</file>