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80" w:space="180"/>
            <w:col w:w="160" w:space="80"/>
            <w:col w:w="260" w:space="180"/>
            <w:col w:w="160" w:space="100"/>
            <w:col w:w="21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April 30, 2015: 132,970,139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4"/>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80" w:type="dxa"/>
            <w:vAlign w:val="bottom"/>
            <w:gridSpan w:val="11"/>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10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8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60" w:type="dxa"/>
            <w:vAlign w:val="bottom"/>
            <w:gridSpan w:val="13"/>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CONSOLIDATED BALANCE SHEET - March 31, 2015 and December 31, 2014</w:t>
              </w:r>
            </w:hyperlink>
          </w:p>
        </w:tc>
        <w:tc>
          <w:tcPr>
            <w:tcW w:w="38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months ended March 31,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 - Three months ended March 31, 2015 and 2014</w:t>
              </w:r>
            </w:hyperlink>
          </w:p>
        </w:tc>
        <w:tc>
          <w:tcPr>
            <w:tcW w:w="12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 OF CHANGES IN SHAREHOLDERS’ EQUITY - Three months ended March 31, 2015 and</w:t>
              </w:r>
            </w:hyperlink>
          </w:p>
        </w:tc>
        <w:tc>
          <w:tcPr>
            <w:tcW w:w="2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gridSpan w:val="2"/>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2014</w:t>
              </w:r>
            </w:hyperlink>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82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Controls and Procedures.</w:t>
              </w:r>
            </w:hyperlink>
          </w:p>
        </w:tc>
        <w:tc>
          <w:tcPr>
            <w:tcW w:w="8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24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Part II. OTHER INFORMATION</w:t>
              </w:r>
            </w:hyperlink>
          </w:p>
        </w:tc>
        <w:tc>
          <w:tcPr>
            <w:tcW w:w="860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820" w:type="dxa"/>
            <w:vAlign w:val="bottom"/>
            <w:gridSpan w:val="2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4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Unregistered Sales of Equity Securities and Use of Proceeds.</w:t>
              </w:r>
            </w:hyperlink>
          </w:p>
        </w:tc>
        <w:tc>
          <w:tcPr>
            <w:tcW w:w="54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Defaults Upon Senior Securities.</w:t>
              </w:r>
            </w:hyperlink>
          </w:p>
        </w:tc>
        <w:tc>
          <w:tcPr>
            <w:tcW w:w="74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Mine Safety Disclosures.</w:t>
              </w:r>
            </w:hyperlink>
          </w:p>
        </w:tc>
        <w:tc>
          <w:tcPr>
            <w:tcW w:w="80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9820" w:type="dxa"/>
            <w:vAlign w:val="bottom"/>
            <w:gridSpan w:val="2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w:t>
              </w:r>
            </w:hyperlink>
          </w:p>
        </w:tc>
        <w:tc>
          <w:tcPr>
            <w:tcW w:w="84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700" w:type="dxa"/>
            <w:vAlign w:val="bottom"/>
            <w:gridSpan w:val="2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 INDEX</w:t>
              </w:r>
            </w:hyperlink>
          </w:p>
        </w:tc>
        <w:tc>
          <w:tcPr>
            <w:tcW w:w="97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8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17"/>
          </w:tcPr>
          <w:p>
            <w:pPr>
              <w:ind w:left="4340"/>
              <w:spacing w:after="0"/>
              <w:rPr>
                <w:sz w:val="20"/>
                <w:szCs w:val="20"/>
                <w:color w:val="auto"/>
              </w:rPr>
            </w:pPr>
            <w:r>
              <w:rPr>
                <w:rFonts w:ascii="Arial" w:cs="Arial" w:eastAsia="Arial" w:hAnsi="Arial"/>
                <w:sz w:val="18"/>
                <w:szCs w:val="18"/>
                <w:color w:val="auto"/>
              </w:rPr>
              <w:t>- 2 -</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w w:val="92"/>
              </w:rPr>
              <w:t>Dollars in thousands, except per share</w:t>
            </w:r>
          </w:p>
        </w:tc>
        <w:tc>
          <w:tcPr>
            <w:tcW w:w="69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March 31,</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auto"/>
            </w:tcBorders>
            <w:vMerge w:val="continue"/>
          </w:tcPr>
          <w:p>
            <w:pPr>
              <w:spacing w:after="0"/>
              <w:rPr>
                <w:sz w:val="13"/>
                <w:szCs w:val="13"/>
                <w:color w:val="auto"/>
              </w:rPr>
            </w:pPr>
          </w:p>
        </w:tc>
        <w:tc>
          <w:tcPr>
            <w:tcW w:w="6980" w:type="dxa"/>
            <w:vAlign w:val="bottom"/>
          </w:tcPr>
          <w:p>
            <w:pPr>
              <w:spacing w:after="0"/>
              <w:rPr>
                <w:sz w:val="13"/>
                <w:szCs w:val="13"/>
                <w:color w:val="auto"/>
              </w:rPr>
            </w:pPr>
          </w:p>
        </w:tc>
        <w:tc>
          <w:tcPr>
            <w:tcW w:w="900" w:type="dxa"/>
            <w:vAlign w:val="bottom"/>
            <w:tcBorders>
              <w:bottom w:val="single" w:sz="8" w:color="auto"/>
            </w:tcBorders>
          </w:tcPr>
          <w:p>
            <w:pPr>
              <w:jc w:val="right"/>
              <w:ind w:right="228"/>
              <w:spacing w:after="0" w:line="154"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3"/>
                <w:szCs w:val="13"/>
                <w:color w:val="auto"/>
              </w:rPr>
            </w:pPr>
          </w:p>
        </w:tc>
        <w:tc>
          <w:tcPr>
            <w:tcW w:w="880" w:type="dxa"/>
            <w:vAlign w:val="bottom"/>
            <w:tcBorders>
              <w:bottom w:val="single" w:sz="8" w:color="auto"/>
            </w:tcBorders>
          </w:tcPr>
          <w:p>
            <w:pPr>
              <w:jc w:val="right"/>
              <w:ind w:right="228"/>
              <w:spacing w:after="0" w:line="154"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hanging="179"/>
        <w:spacing w:after="0" w:line="342" w:lineRule="auto"/>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1,269,816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1,289,965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Interest-bearing deposits at banks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6,291,491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6,470,867</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Federal funds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97,037</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83,392</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Trading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363,085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308,175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w w:val="92"/>
              </w:rPr>
              <w:t>Investment securities (includes pledged securities that can be sold or repledged of $1,611,069 at March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31, 2015; $1,631,267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w w:val="99"/>
              </w:rPr>
              <w:t>Available for sale (cost: $10,425,720 at March 31, 2015; $8,919,324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10,703,500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9,156,932</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w w:val="96"/>
              </w:rPr>
              <w:t>Held to maturity (fair value: $3,411,834 at March 31, 2015; $3,538,282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3,360,812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3,507,868</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Other (fair value: $328,958 at March 31, 2015; $328,742 at 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328,958</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328,742</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Total investment securities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14,393,270</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12,993,542</w:t>
            </w:r>
          </w:p>
        </w:tc>
        <w:tc>
          <w:tcPr>
            <w:tcW w:w="60" w:type="dxa"/>
            <w:vAlign w:val="bottom"/>
          </w:tcPr>
          <w:p>
            <w:pPr>
              <w:spacing w:after="0"/>
              <w:rPr>
                <w:sz w:val="19"/>
                <w:szCs w:val="19"/>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Loans and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67,328,490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66,899,369</w:t>
            </w:r>
          </w:p>
        </w:tc>
        <w:tc>
          <w:tcPr>
            <w:tcW w:w="60" w:type="dxa"/>
            <w:vAlign w:val="bottom"/>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Unearned discount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(229,448)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(230,413)</w:t>
            </w:r>
          </w:p>
        </w:tc>
      </w:tr>
      <w:tr>
        <w:trPr>
          <w:trHeight w:val="209"/>
        </w:trPr>
        <w:tc>
          <w:tcPr>
            <w:tcW w:w="7640" w:type="dxa"/>
            <w:vAlign w:val="bottom"/>
          </w:tcPr>
          <w:p>
            <w:pPr>
              <w:ind w:left="720"/>
              <w:spacing w:after="0"/>
              <w:rPr>
                <w:sz w:val="20"/>
                <w:szCs w:val="20"/>
                <w:color w:val="auto"/>
              </w:rPr>
            </w:pPr>
            <w:r>
              <w:rPr>
                <w:rFonts w:ascii="Arial" w:cs="Arial" w:eastAsia="Arial" w:hAnsi="Arial"/>
                <w:sz w:val="18"/>
                <w:szCs w:val="18"/>
                <w:color w:val="auto"/>
              </w:rPr>
              <w:t>Loans and leases, net of unearned discount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67,099,042</w:t>
            </w:r>
          </w:p>
        </w:tc>
        <w:tc>
          <w:tcPr>
            <w:tcW w:w="3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66,668,956</w:t>
            </w:r>
          </w:p>
        </w:tc>
        <w:tc>
          <w:tcPr>
            <w:tcW w:w="60" w:type="dxa"/>
            <w:vAlign w:val="bottom"/>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(921,373)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(919,562)</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66,177,669</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65,749,394</w:t>
            </w:r>
          </w:p>
        </w:tc>
        <w:tc>
          <w:tcPr>
            <w:tcW w:w="60" w:type="dxa"/>
            <w:vAlign w:val="bottom"/>
          </w:tcPr>
          <w:p>
            <w:pPr>
              <w:spacing w:after="0"/>
              <w:rPr>
                <w:sz w:val="19"/>
                <w:szCs w:val="19"/>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602,096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612,984</w:t>
            </w: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3,524,625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3,524,625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28,234</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35,027</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Accrued interest and other 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5,630,460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5,617,564</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98,377,783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96,685,535</w:t>
            </w:r>
          </w:p>
        </w:tc>
        <w:tc>
          <w:tcPr>
            <w:tcW w:w="6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64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27,181,120</w:t>
            </w:r>
          </w:p>
        </w:tc>
        <w:tc>
          <w:tcPr>
            <w:tcW w:w="3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26,947,880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2,149,537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2,307,815</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Savings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41,138,792</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41,085,803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Time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2,946,126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3,063,973</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178,545</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176,582</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73,594,120</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73,582,053</w:t>
            </w:r>
          </w:p>
        </w:tc>
        <w:tc>
          <w:tcPr>
            <w:tcW w:w="60" w:type="dxa"/>
            <w:vAlign w:val="bottom"/>
          </w:tcPr>
          <w:p>
            <w:pPr>
              <w:spacing w:after="0"/>
              <w:rPr>
                <w:sz w:val="19"/>
                <w:szCs w:val="19"/>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193,495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192,676</w:t>
            </w: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1,552,724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1,567,951</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Long-term borrowings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10,509,143</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9,006,959</w:t>
            </w:r>
          </w:p>
        </w:tc>
      </w:tr>
      <w:tr>
        <w:trPr>
          <w:trHeight w:val="223"/>
        </w:trPr>
        <w:tc>
          <w:tcPr>
            <w:tcW w:w="76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85,849,482</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84,349,639</w:t>
            </w:r>
          </w:p>
        </w:tc>
        <w:tc>
          <w:tcPr>
            <w:tcW w:w="60" w:type="dxa"/>
            <w:vAlign w:val="bottom"/>
          </w:tcPr>
          <w:p>
            <w:pPr>
              <w:spacing w:after="0"/>
              <w:rPr>
                <w:sz w:val="19"/>
                <w:szCs w:val="19"/>
                <w:color w:val="auto"/>
              </w:rPr>
            </w:pPr>
          </w:p>
        </w:tc>
      </w:tr>
      <w:tr>
        <w:trPr>
          <w:trHeight w:val="452"/>
        </w:trPr>
        <w:tc>
          <w:tcPr>
            <w:tcW w:w="7640" w:type="dxa"/>
            <w:vAlign w:val="bottom"/>
          </w:tcPr>
          <w:p>
            <w:pPr>
              <w:spacing w:after="0"/>
              <w:rPr>
                <w:sz w:val="20"/>
                <w:szCs w:val="20"/>
                <w:color w:val="auto"/>
              </w:rPr>
            </w:pPr>
            <w:r>
              <w:rPr>
                <w:rFonts w:ascii="Arial" w:cs="Arial" w:eastAsia="Arial" w:hAnsi="Arial"/>
                <w:sz w:val="18"/>
                <w:szCs w:val="18"/>
                <w:color w:val="auto"/>
              </w:rPr>
              <w:t>Preferred stock, $1.00 par, 1,000,000 shares authorized; Issued and outstanding: Liquidation</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w w:val="98"/>
              </w:rPr>
              <w:t>preference of $1,000 per share: 731,500 shares at March 31, 2015 and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w w:val="95"/>
              </w:rPr>
              <w:t>Liquidation preference of $10,000 per share: 50,000 shares at March 31, 2015 and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1,231,500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1,231,500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w w:val="97"/>
              </w:rPr>
              <w:t>Common stock, $.50 par, 250,000,000 shares authorized, 132,909,718 shares issued at 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2015; 132,312,931 shares issued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66,455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66,157</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w w:val="98"/>
              </w:rPr>
              <w:t>Common stock issuable, 36,360 shares at March 31, 2015; 41,330 shares at December 31,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2,310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2,608</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3,445,707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3,409,506</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7,934,820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7,807,119</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(152,491)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(180,994)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-5925185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-5650865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-5376545</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-4965065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-4672965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-4381500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-4090035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-3781425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-3507105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-3215005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-2837815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-2563495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-2272030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-1980565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-1689100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-822325</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-410845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-136525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0" w:space="580"/>
            <w:col w:w="98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2300"/>
              <w:spacing w:after="0"/>
              <w:rPr>
                <w:sz w:val="20"/>
                <w:szCs w:val="20"/>
                <w:color w:val="auto"/>
              </w:rPr>
            </w:pPr>
            <w:r>
              <w:rPr>
                <w:rFonts w:ascii="Arial" w:cs="Arial" w:eastAsia="Arial" w:hAnsi="Arial"/>
                <w:sz w:val="18"/>
                <w:szCs w:val="18"/>
                <w:color w:val="auto"/>
              </w:rPr>
              <w:t>Total shareholders’ equity</w:t>
            </w:r>
          </w:p>
        </w:tc>
        <w:tc>
          <w:tcPr>
            <w:tcW w:w="38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12,528,301</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12,335,896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7"/>
              </w:rPr>
              <w:t>Total liabilities and shareholders’ equity</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98,377,783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96,685,535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840" w:type="dxa"/>
            <w:vAlign w:val="bottom"/>
            <w:vMerge w:val="restart"/>
          </w:tcPr>
          <w:p>
            <w:pPr>
              <w:jc w:val="right"/>
              <w:ind w:right="3270"/>
              <w:spacing w:after="0"/>
              <w:rPr>
                <w:sz w:val="20"/>
                <w:szCs w:val="20"/>
                <w:color w:val="auto"/>
              </w:rPr>
            </w:pPr>
            <w:r>
              <w:rPr>
                <w:rFonts w:ascii="Arial" w:cs="Arial" w:eastAsia="Arial" w:hAnsi="Arial"/>
                <w:sz w:val="18"/>
                <w:szCs w:val="18"/>
                <w:color w:val="auto"/>
              </w:rPr>
              <w:t>- 3 -</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3960" w:type="dxa"/>
            <w:vAlign w:val="bottom"/>
          </w:tcPr>
          <w:p>
            <w:pPr>
              <w:spacing w:after="0"/>
              <w:rPr>
                <w:sz w:val="14"/>
                <w:szCs w:val="14"/>
                <w:color w:val="auto"/>
              </w:rPr>
            </w:pPr>
          </w:p>
        </w:tc>
        <w:tc>
          <w:tcPr>
            <w:tcW w:w="1940" w:type="dxa"/>
            <w:vAlign w:val="bottom"/>
            <w:gridSpan w:val="5"/>
          </w:tcPr>
          <w:p>
            <w:pPr>
              <w:jc w:val="right"/>
              <w:ind w:right="140"/>
              <w:spacing w:after="0"/>
              <w:rPr>
                <w:sz w:val="20"/>
                <w:szCs w:val="20"/>
                <w:color w:val="auto"/>
              </w:rPr>
            </w:pPr>
            <w:r>
              <w:rPr>
                <w:rFonts w:ascii="Arial" w:cs="Arial" w:eastAsia="Arial" w:hAnsi="Arial"/>
                <w:sz w:val="14"/>
                <w:szCs w:val="14"/>
                <w:color w:val="auto"/>
                <w:w w:val="92"/>
              </w:rPr>
              <w:t>Three months ended March 31</w:t>
            </w:r>
          </w:p>
        </w:tc>
        <w:tc>
          <w:tcPr>
            <w:tcW w:w="0" w:type="dxa"/>
            <w:vAlign w:val="bottom"/>
          </w:tcPr>
          <w:p>
            <w:pPr>
              <w:spacing w:after="0"/>
              <w:rPr>
                <w:sz w:val="1"/>
                <w:szCs w:val="1"/>
                <w:color w:val="auto"/>
              </w:rPr>
            </w:pPr>
          </w:p>
        </w:tc>
      </w:tr>
      <w:tr>
        <w:trPr>
          <w:trHeight w:val="154"/>
        </w:trPr>
        <w:tc>
          <w:tcPr>
            <w:tcW w:w="5520" w:type="dxa"/>
            <w:vAlign w:val="bottom"/>
            <w:gridSpan w:val="4"/>
            <w:vMerge w:val="continue"/>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0"/>
              <w:spacing w:after="0" w:line="154"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3"/>
                <w:szCs w:val="13"/>
                <w:color w:val="auto"/>
              </w:rPr>
            </w:pPr>
          </w:p>
        </w:tc>
        <w:tc>
          <w:tcPr>
            <w:tcW w:w="800" w:type="dxa"/>
            <w:vAlign w:val="bottom"/>
          </w:tcPr>
          <w:p>
            <w:pPr>
              <w:jc w:val="right"/>
              <w:ind w:right="170"/>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Interest income</w:t>
            </w:r>
          </w:p>
        </w:tc>
        <w:tc>
          <w:tcPr>
            <w:tcW w:w="420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Loans and leases, including fees</w:t>
            </w:r>
          </w:p>
        </w:tc>
        <w:tc>
          <w:tcPr>
            <w:tcW w:w="3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647,179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645,222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Deposits at banks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funds sold</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Trading account</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 securities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Fully taxable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85,957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Exempt from federal taxes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Total interest income</w:t>
            </w:r>
          </w:p>
        </w:tc>
        <w:tc>
          <w:tcPr>
            <w:tcW w:w="3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738,087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expense</w:t>
            </w: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NOW accounts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Savings deposits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10,219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Deposits at Cayman Islands office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Long-term borrowings</w:t>
            </w:r>
          </w:p>
        </w:tc>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64,048</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i w:val="1"/>
                <w:iCs w:val="1"/>
                <w:color w:val="auto"/>
              </w:rPr>
              <w:t>Net interest income</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659,588</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credit losses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w w:val="99"/>
              </w:rPr>
              <w:t>Net interest income after provision for credit losses</w:t>
            </w:r>
          </w:p>
        </w:tc>
        <w:tc>
          <w:tcPr>
            <w:tcW w:w="3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621,588</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 banking revenues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101,601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Service charges on deposit accounts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102,344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Trust income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123,734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Brokerage services income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15,461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Trading account and foreign exchange gains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Loss on bank investment securities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Bayview Lending Group LLC</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Other revenues from operations</w:t>
            </w:r>
          </w:p>
        </w:tc>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95,121</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440,203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420,107</w:t>
            </w:r>
          </w:p>
        </w:tc>
        <w:tc>
          <w:tcPr>
            <w:tcW w:w="0" w:type="dxa"/>
            <w:vAlign w:val="bottom"/>
          </w:tcPr>
          <w:p>
            <w:pPr>
              <w:spacing w:after="0"/>
              <w:rPr>
                <w:sz w:val="1"/>
                <w:szCs w:val="1"/>
                <w:color w:val="auto"/>
              </w:rPr>
            </w:pPr>
          </w:p>
        </w:tc>
      </w:tr>
      <w:tr>
        <w:trPr>
          <w:trHeight w:val="223"/>
        </w:trPr>
        <w:tc>
          <w:tcPr>
            <w:tcW w:w="13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Salaries and employee benefits</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389,893</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and net occupancy</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66,470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Printing, postage and supplies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Amortization of core deposit and other intangible assets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FDIC assessments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10,660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3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686,375</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375,416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Income taxes</w:t>
            </w:r>
          </w:p>
        </w:tc>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133,803</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Net income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241,613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0" w:type="dxa"/>
            <w:vAlign w:val="bottom"/>
            <w:gridSpan w:val="2"/>
            <w:vMerge w:val="restart"/>
          </w:tcPr>
          <w:p>
            <w:pPr>
              <w:ind w:left="140"/>
              <w:spacing w:after="0"/>
              <w:rPr>
                <w:sz w:val="20"/>
                <w:szCs w:val="20"/>
                <w:color w:val="auto"/>
              </w:rPr>
            </w:pPr>
            <w:r>
              <w:rPr>
                <w:rFonts w:ascii="Arial" w:cs="Arial" w:eastAsia="Arial" w:hAnsi="Arial"/>
                <w:sz w:val="18"/>
                <w:szCs w:val="18"/>
                <w:color w:val="auto"/>
              </w:rPr>
              <w:t>Net income available to common shareholders</w:t>
            </w: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218,830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218,837</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per common share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Basic</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Cash dividends per common share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Average common shares outstanding</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ind w:left="380"/>
              <w:spacing w:after="0"/>
              <w:rPr>
                <w:sz w:val="20"/>
                <w:szCs w:val="20"/>
                <w:color w:val="auto"/>
              </w:rPr>
            </w:pPr>
            <w:r>
              <w:rPr>
                <w:rFonts w:ascii="Arial" w:cs="Arial" w:eastAsia="Arial" w:hAnsi="Arial"/>
                <w:sz w:val="18"/>
                <w:szCs w:val="18"/>
                <w:color w:val="auto"/>
              </w:rPr>
              <w:t>Basic</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132,049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132,769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131,126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960" w:type="dxa"/>
            <w:vAlign w:val="bottom"/>
          </w:tcPr>
          <w:p>
            <w:pPr>
              <w:jc w:val="right"/>
              <w:ind w:right="3530"/>
              <w:spacing w:after="0"/>
              <w:rPr>
                <w:sz w:val="20"/>
                <w:szCs w:val="20"/>
                <w:color w:val="auto"/>
              </w:rPr>
            </w:pPr>
            <w:r>
              <w:rPr>
                <w:rFonts w:ascii="Arial" w:cs="Arial" w:eastAsia="Arial" w:hAnsi="Arial"/>
                <w:sz w:val="18"/>
                <w:szCs w:val="18"/>
                <w:color w:val="auto"/>
                <w:w w:val="99"/>
              </w:rPr>
              <w:t>- 4 -</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960" w:type="dxa"/>
            <w:vAlign w:val="bottom"/>
          </w:tcPr>
          <w:p>
            <w:pPr>
              <w:spacing w:after="0"/>
              <w:rPr>
                <w:sz w:val="14"/>
                <w:szCs w:val="14"/>
                <w:color w:val="auto"/>
              </w:rPr>
            </w:pPr>
          </w:p>
        </w:tc>
        <w:tc>
          <w:tcPr>
            <w:tcW w:w="2040" w:type="dxa"/>
            <w:vAlign w:val="bottom"/>
            <w:gridSpan w:val="7"/>
          </w:tcPr>
          <w:p>
            <w:pPr>
              <w:jc w:val="right"/>
              <w:ind w:right="200"/>
              <w:spacing w:after="0"/>
              <w:rPr>
                <w:sz w:val="20"/>
                <w:szCs w:val="20"/>
                <w:color w:val="auto"/>
              </w:rPr>
            </w:pPr>
            <w:r>
              <w:rPr>
                <w:rFonts w:ascii="Arial" w:cs="Arial" w:eastAsia="Arial" w:hAnsi="Arial"/>
                <w:sz w:val="14"/>
                <w:szCs w:val="14"/>
                <w:color w:val="auto"/>
                <w:w w:val="95"/>
              </w:rPr>
              <w:t>Three months ended March 31</w:t>
            </w:r>
          </w:p>
        </w:tc>
        <w:tc>
          <w:tcPr>
            <w:tcW w:w="0" w:type="dxa"/>
            <w:vAlign w:val="bottom"/>
          </w:tcPr>
          <w:p>
            <w:pPr>
              <w:spacing w:after="0"/>
              <w:rPr>
                <w:sz w:val="1"/>
                <w:szCs w:val="1"/>
                <w:color w:val="auto"/>
              </w:rPr>
            </w:pPr>
          </w:p>
        </w:tc>
      </w:tr>
      <w:tr>
        <w:trPr>
          <w:trHeight w:val="161"/>
        </w:trPr>
        <w:tc>
          <w:tcPr>
            <w:tcW w:w="5420" w:type="dxa"/>
            <w:vAlign w:val="bottom"/>
            <w:gridSpan w:val="3"/>
            <w:vMerge w:val="continue"/>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2"/>
              <w:spacing w:after="0" w:line="154"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241,613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gains on investment securities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Cash flow hedges adjustments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Defined benefit plans liability adjustment</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Total other comprehensive income</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700"/>
              <w:spacing w:after="0"/>
              <w:rPr>
                <w:sz w:val="20"/>
                <w:szCs w:val="20"/>
                <w:color w:val="auto"/>
              </w:rPr>
            </w:pPr>
            <w:r>
              <w:rPr>
                <w:rFonts w:ascii="Arial" w:cs="Arial" w:eastAsia="Arial" w:hAnsi="Arial"/>
                <w:sz w:val="18"/>
                <w:szCs w:val="18"/>
                <w:i w:val="1"/>
                <w:iCs w:val="1"/>
                <w:color w:val="auto"/>
              </w:rPr>
              <w:t>Total comprehensive income</w:t>
            </w:r>
          </w:p>
        </w:tc>
        <w:tc>
          <w:tcPr>
            <w:tcW w:w="3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270,116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60" w:type="dxa"/>
            <w:vAlign w:val="bottom"/>
            <w:vMerge w:val="restart"/>
          </w:tcPr>
          <w:p>
            <w:pPr>
              <w:jc w:val="right"/>
              <w:ind w:right="3430"/>
              <w:spacing w:after="0"/>
              <w:rPr>
                <w:sz w:val="20"/>
                <w:szCs w:val="20"/>
                <w:color w:val="auto"/>
              </w:rPr>
            </w:pPr>
            <w:r>
              <w:rPr>
                <w:rFonts w:ascii="Arial" w:cs="Arial" w:eastAsia="Arial" w:hAnsi="Arial"/>
                <w:sz w:val="18"/>
                <w:szCs w:val="18"/>
                <w:color w:val="auto"/>
              </w:rPr>
              <w:t>- 5 -</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160"/>
              <w:spacing w:after="0"/>
              <w:rPr>
                <w:sz w:val="20"/>
                <w:szCs w:val="20"/>
                <w:color w:val="auto"/>
              </w:rPr>
            </w:pPr>
            <w:r>
              <w:rPr>
                <w:rFonts w:ascii="Arial" w:cs="Arial" w:eastAsia="Arial" w:hAnsi="Arial"/>
                <w:sz w:val="14"/>
                <w:szCs w:val="14"/>
                <w:color w:val="auto"/>
                <w:w w:val="94"/>
              </w:rPr>
              <w:t>Three months ended March 31</w:t>
            </w:r>
          </w:p>
        </w:tc>
        <w:tc>
          <w:tcPr>
            <w:tcW w:w="0" w:type="dxa"/>
            <w:vAlign w:val="bottom"/>
          </w:tcPr>
          <w:p>
            <w:pPr>
              <w:spacing w:after="0"/>
              <w:rPr>
                <w:sz w:val="1"/>
                <w:szCs w:val="1"/>
                <w:color w:val="auto"/>
              </w:rPr>
            </w:pPr>
          </w:p>
        </w:tc>
      </w:tr>
      <w:tr>
        <w:trPr>
          <w:trHeight w:val="154"/>
        </w:trPr>
        <w:tc>
          <w:tcPr>
            <w:tcW w:w="2020" w:type="dxa"/>
            <w:vAlign w:val="bottom"/>
            <w:gridSpan w:val="3"/>
            <w:vMerge w:val="continue"/>
          </w:tcPr>
          <w:p>
            <w:pPr>
              <w:spacing w:after="0"/>
              <w:rPr>
                <w:sz w:val="13"/>
                <w:szCs w:val="13"/>
                <w:color w:val="auto"/>
              </w:rPr>
            </w:pPr>
          </w:p>
        </w:tc>
        <w:tc>
          <w:tcPr>
            <w:tcW w:w="6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3"/>
                <w:szCs w:val="13"/>
                <w:color w:val="auto"/>
              </w:rPr>
            </w:pPr>
          </w:p>
        </w:tc>
        <w:tc>
          <w:tcPr>
            <w:tcW w:w="840" w:type="dxa"/>
            <w:vAlign w:val="bottom"/>
          </w:tcPr>
          <w:p>
            <w:pPr>
              <w:jc w:val="right"/>
              <w:ind w:right="190"/>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Cash flows from operating</w:t>
            </w:r>
          </w:p>
        </w:tc>
        <w:tc>
          <w:tcPr>
            <w:tcW w:w="6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241,613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Provision for credit losses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940"/>
              <w:spacing w:after="0"/>
              <w:rPr>
                <w:sz w:val="20"/>
                <w:szCs w:val="20"/>
                <w:color w:val="auto"/>
              </w:rPr>
            </w:pPr>
            <w:r>
              <w:rPr>
                <w:rFonts w:ascii="Arial" w:cs="Arial" w:eastAsia="Arial" w:hAnsi="Arial"/>
                <w:sz w:val="18"/>
                <w:szCs w:val="18"/>
                <w:color w:val="auto"/>
              </w:rPr>
              <w:t>Depreciation and amortization of premises and equipment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24,178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Amortization of capitalized servicing rights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12,199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940"/>
              <w:spacing w:after="0"/>
              <w:rPr>
                <w:sz w:val="20"/>
                <w:szCs w:val="20"/>
                <w:color w:val="auto"/>
              </w:rPr>
            </w:pPr>
            <w:r>
              <w:rPr>
                <w:rFonts w:ascii="Arial" w:cs="Arial" w:eastAsia="Arial" w:hAnsi="Arial"/>
                <w:sz w:val="18"/>
                <w:szCs w:val="18"/>
                <w:color w:val="auto"/>
              </w:rPr>
              <w:t>Amortization of core deposit and other intangible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6,793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Provision for deferred income taxes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940"/>
              <w:spacing w:after="0"/>
              <w:rPr>
                <w:sz w:val="20"/>
                <w:szCs w:val="20"/>
                <w:color w:val="auto"/>
              </w:rPr>
            </w:pPr>
            <w:r>
              <w:rPr>
                <w:rFonts w:ascii="Arial" w:cs="Arial" w:eastAsia="Arial" w:hAnsi="Arial"/>
                <w:sz w:val="18"/>
                <w:szCs w:val="18"/>
                <w:color w:val="auto"/>
              </w:rPr>
              <w:t>Asset write-downs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2,379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gain on sales of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940"/>
              <w:spacing w:after="0"/>
              <w:rPr>
                <w:sz w:val="20"/>
                <w:szCs w:val="20"/>
                <w:color w:val="auto"/>
              </w:rPr>
            </w:pPr>
            <w:r>
              <w:rPr>
                <w:rFonts w:ascii="Arial" w:cs="Arial" w:eastAsia="Arial" w:hAnsi="Arial"/>
                <w:sz w:val="18"/>
                <w:szCs w:val="18"/>
                <w:color w:val="auto"/>
              </w:rPr>
              <w:t>Net change in accrued interest receivable, payable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change in other accrued income and expense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(80,084)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940"/>
              <w:spacing w:after="0"/>
              <w:rPr>
                <w:sz w:val="20"/>
                <w:szCs w:val="20"/>
                <w:color w:val="auto"/>
              </w:rPr>
            </w:pPr>
            <w:r>
              <w:rPr>
                <w:rFonts w:ascii="Arial" w:cs="Arial" w:eastAsia="Arial" w:hAnsi="Arial"/>
                <w:sz w:val="18"/>
                <w:szCs w:val="18"/>
                <w:color w:val="auto"/>
              </w:rPr>
              <w:t>Net change in loans originated for sale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197,708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122,406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change in trading account assets and liabilities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6620" w:type="dxa"/>
            <w:vAlign w:val="bottom"/>
            <w:tcBorders>
              <w:top w:val="single" w:sz="8" w:color="CCEEFF"/>
            </w:tcBorders>
          </w:tcPr>
          <w:p>
            <w:pPr>
              <w:ind w:left="9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458,366</w:t>
            </w:r>
          </w:p>
        </w:tc>
        <w:tc>
          <w:tcPr>
            <w:tcW w:w="320" w:type="dxa"/>
            <w:vAlign w:val="bottom"/>
            <w:tcBorders>
              <w:top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561,098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Cash flows from investing</w:t>
            </w:r>
          </w:p>
        </w:tc>
        <w:tc>
          <w:tcPr>
            <w:tcW w:w="6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investment securities</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Available for sale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Proceeds from maturities of investment securities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Available for sale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369,649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Held to maturity</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148,708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Available for sale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(1,871,491)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(1,709,847)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Held to maturity</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loans and leases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(increase) decrease in interest bearing deposits at banks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179,376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(1,648,047)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(increase) decrease in loan servicing advances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76,145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Net cash used by investing activities</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(1,802,336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(3,441,038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Cash flows from financing</w:t>
            </w:r>
          </w:p>
        </w:tc>
        <w:tc>
          <w:tcPr>
            <w:tcW w:w="6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deposits</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increase (decrease) in short-term borrowings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borrowings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Payments on long-term borrowings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preferred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Dividends paid - common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(93,631)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 preferred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(46,014)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1,337,466</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1,373,357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1,366,853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Supplemental disclosure of</w:t>
            </w:r>
          </w:p>
        </w:tc>
        <w:tc>
          <w:tcPr>
            <w:tcW w:w="6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flow information</w:t>
            </w: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received during the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726,475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Interest paid during the period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75,776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 during the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88,578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color w:val="auto"/>
                <w:w w:val="96"/>
              </w:rPr>
              <w:t>Supplemental schedule of</w:t>
            </w:r>
          </w:p>
        </w:tc>
        <w:tc>
          <w:tcPr>
            <w:tcW w:w="6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3"/>
            <w:vMerge w:val="continue"/>
          </w:tcPr>
          <w:p>
            <w:pPr>
              <w:spacing w:after="0"/>
              <w:rPr>
                <w:sz w:val="17"/>
                <w:szCs w:val="17"/>
                <w:color w:val="auto"/>
              </w:rPr>
            </w:pPr>
          </w:p>
        </w:tc>
        <w:tc>
          <w:tcPr>
            <w:tcW w:w="6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noncash investing and</w:t>
            </w:r>
          </w:p>
        </w:tc>
        <w:tc>
          <w:tcPr>
            <w:tcW w:w="6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6620" w:type="dxa"/>
            <w:vAlign w:val="bottom"/>
          </w:tcPr>
          <w:p>
            <w:pPr>
              <w:ind w:left="220"/>
              <w:spacing w:after="0"/>
              <w:rPr>
                <w:sz w:val="20"/>
                <w:szCs w:val="20"/>
                <w:color w:val="auto"/>
              </w:rPr>
            </w:pPr>
            <w:r>
              <w:rPr>
                <w:rFonts w:ascii="Arial" w:cs="Arial" w:eastAsia="Arial" w:hAnsi="Arial"/>
                <w:sz w:val="18"/>
                <w:szCs w:val="18"/>
                <w:color w:val="auto"/>
              </w:rPr>
              <w:t>Securitization of residential mortgage loans allocated to</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Available-for-sale investment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20" w:type="dxa"/>
            <w:vAlign w:val="bottom"/>
          </w:tcPr>
          <w:p>
            <w:pPr>
              <w:ind w:left="580"/>
              <w:spacing w:after="0"/>
              <w:rPr>
                <w:sz w:val="20"/>
                <w:szCs w:val="20"/>
                <w:color w:val="auto"/>
              </w:rPr>
            </w:pPr>
            <w:r>
              <w:rPr>
                <w:rFonts w:ascii="Arial" w:cs="Arial" w:eastAsia="Arial" w:hAnsi="Arial"/>
                <w:sz w:val="18"/>
                <w:szCs w:val="18"/>
                <w:color w:val="auto"/>
              </w:rPr>
              <w:t>Capitalized servicing rights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acquired in settlement of loans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10,846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tcPr>
          <w:p>
            <w:pPr>
              <w:ind w:left="3540"/>
              <w:spacing w:after="0"/>
              <w:rPr>
                <w:sz w:val="20"/>
                <w:szCs w:val="20"/>
                <w:color w:val="auto"/>
              </w:rPr>
            </w:pPr>
            <w:r>
              <w:rPr>
                <w:rFonts w:ascii="Arial" w:cs="Arial" w:eastAsia="Arial" w:hAnsi="Arial"/>
                <w:sz w:val="18"/>
                <w:szCs w:val="18"/>
                <w:color w:val="auto"/>
              </w:rPr>
              <w:t>- 6 -</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Preferred</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89"/>
              </w:rPr>
              <w:t>issuable</w:t>
            </w:r>
          </w:p>
        </w:tc>
        <w:tc>
          <w:tcPr>
            <w:tcW w:w="10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4"/>
              </w:rPr>
              <w:t>(loss), net</w:t>
            </w:r>
          </w:p>
        </w:tc>
        <w:tc>
          <w:tcPr>
            <w:tcW w:w="9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1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2014</w:t>
            </w:r>
          </w:p>
        </w:tc>
        <w:tc>
          <w:tcPr>
            <w:tcW w:w="3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Balance - January 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881,500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65,258</w:t>
            </w:r>
          </w:p>
        </w:tc>
        <w:tc>
          <w:tcPr>
            <w:tcW w:w="54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3,232,014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7,188,004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(64,159)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11,305,532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229,017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38,898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(14,674)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Series E preferred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49,228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purchase plan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(92,406)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(92,406)</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 March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1,231,500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65,694</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3,302,402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7,309,912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11,886,863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Balance - January 1,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1,231,500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66,157</w:t>
            </w:r>
          </w:p>
        </w:tc>
        <w:tc>
          <w:tcPr>
            <w:tcW w:w="54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3,409,506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7,807,119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(180,994)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12,335,896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270,116</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(20,318)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Exercise of 2,315 Series A stock warrants into 904 shares of</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19,378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purchase plan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(93,569)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 March 31,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1,231,500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66,455</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3,445,707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7,934,820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12,528,301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color w:val="auto"/>
              </w:rPr>
              <w:t>- 7 -</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2014 Annual Report. Additionally, effective January 1, 2015 the Company made an accounting policy election in accordance with amended accounting guidance issued by the Financial Accounting Standards Board in January 2014 to account for investments in qualified affordable housing projects using the proportional amortization method. Under the proportional amortization method, the Company amortizes the initial cost of the investment in proportion to the tax credits and other tax benefits received and recognizes the net investment performance in the income statement as a component of income tax expense. The adoption of the amended guidance did not have a significant effect on the Company’s financial position or results of operation, but did result in the restatement of the consolidated statement of income for the three-month period ended March 31, 2014 to remove $12 million of losses associated with qualified affordable housing projects from “other costs of operations” and include the amortization of the initial cost of the investment in income tax expense. The cumulative effect adjustment associated with adopting the amended guidance was not material as of the beginning of any period presented in these consolidated financial statements. See note 11 for information regarding the Company’s investments in qualified affordable housing projects.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opinion of management, all adjustments necessary for a fair presentation have been made and, except as described above, were all of a normal recurring nature.</w:t>
      </w:r>
    </w:p>
    <w:p>
      <w:pPr>
        <w:spacing w:after="0" w:line="3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March 31, 2015 total consideration to be paid was valued at approximately $5.5 billion.</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 March 31, 2015, Hudson City had $36.1 billion of assets, including $20.9 billion of loans and $8.3 billion of investment securities, and $31.3 billion of liabilities, including $18.9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commenced a major initiative, including the hiring of outside consulting firms, intended to fully address the Federal Reserve Bank’s concerns. On April 3, 2015, M&amp;T was advised that the Federal Reserve Board intends to act on the M&amp;T and Hudson City merger application no later than September 30, 2015. As a result, M&amp;T and Hudson City extended the date after which either party may elect to terminate the merger agreement if the merger has not yet been completed from</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April 30, 2015 to October 31, 2015. Nevertheless, there can be no assurances that the merger will be completed by that date.</w:t>
      </w:r>
    </w:p>
    <w:p>
      <w:pPr>
        <w:spacing w:after="0" w:line="37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9"/>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80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161,672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7,704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10,008,191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265,739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10,265,221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29,704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19,360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138,366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79,987</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18,999</w:t>
            </w:r>
          </w:p>
        </w:tc>
        <w:tc>
          <w:tcPr>
            <w:tcW w:w="3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10,425,720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307,771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10,703,500</w:t>
            </w:r>
          </w:p>
        </w:tc>
        <w:tc>
          <w:tcPr>
            <w:tcW w:w="0" w:type="dxa"/>
            <w:vAlign w:val="bottom"/>
          </w:tcPr>
          <w:p>
            <w:pPr>
              <w:spacing w:after="0"/>
              <w:rPr>
                <w:sz w:val="1"/>
                <w:szCs w:val="1"/>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148,698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3,007,420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88,417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3,091,813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197,509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1,421</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7,185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3,360,812</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92,016</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40,994</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3,411,834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328,958</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328,958</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14,115,490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399,787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14,444,292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161,408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8,027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8,507,571</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223,889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8,731,123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30,073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21,276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138,240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73,901</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11,020</w:t>
            </w:r>
          </w:p>
        </w:tc>
        <w:tc>
          <w:tcPr>
            <w:tcW w:w="3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8,919,324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258,851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9,156,932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148,961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3,149,320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78,485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3,220,805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201,733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1,143</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44,576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7,854</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3,507,868</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82,179</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3,538,282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328,742</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328,742</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12,755,934</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341,030</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13,023,956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vMerge w:val="restart"/>
          </w:tcPr>
          <w:p>
            <w:pPr>
              <w:jc w:val="right"/>
              <w:ind w:right="670"/>
              <w:spacing w:after="0"/>
              <w:rPr>
                <w:sz w:val="20"/>
                <w:szCs w:val="20"/>
                <w:color w:val="auto"/>
              </w:rPr>
            </w:pPr>
            <w:r>
              <w:rPr>
                <w:rFonts w:ascii="Arial" w:cs="Arial" w:eastAsia="Arial" w:hAnsi="Arial"/>
                <w:sz w:val="18"/>
                <w:szCs w:val="18"/>
                <w:color w:val="auto"/>
              </w:rPr>
              <w:t>- 9 -</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1" w:lineRule="exact"/>
        <w:rPr>
          <w:rFonts w:ascii="Arial" w:cs="Arial" w:eastAsia="Arial" w:hAnsi="Arial"/>
          <w:sz w:val="18"/>
          <w:szCs w:val="18"/>
          <w:b w:val="1"/>
          <w:bCs w:val="1"/>
          <w:color w:val="auto"/>
        </w:rPr>
      </w:pPr>
    </w:p>
    <w:p>
      <w:pPr>
        <w:ind w:left="460"/>
        <w:spacing w:after="0" w:line="544" w:lineRule="auto"/>
        <w:rPr>
          <w:rFonts w:ascii="Arial" w:cs="Arial" w:eastAsia="Arial" w:hAnsi="Arial"/>
          <w:sz w:val="18"/>
          <w:szCs w:val="18"/>
          <w:b w:val="1"/>
          <w:bCs w:val="1"/>
          <w:color w:val="auto"/>
        </w:rPr>
      </w:pPr>
      <w:r>
        <w:rPr>
          <w:rFonts w:ascii="Arial" w:cs="Arial" w:eastAsia="Arial" w:hAnsi="Arial"/>
          <w:sz w:val="17"/>
          <w:szCs w:val="17"/>
          <w:color w:val="auto"/>
        </w:rPr>
        <w:t>There were no significant gross realized gains or losses from sales of investment securities for the quarters ended March 31, 2015 and 2014. At March 31, 2015, the amortized cost and estimated fair value of debt securities by contractual maturity were as follows:</w:t>
      </w: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Amortized</w:t>
            </w:r>
          </w:p>
        </w:tc>
        <w:tc>
          <w:tcPr>
            <w:tcW w:w="44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337,446</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10,008,287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10,265,316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10,345,733</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10,604,951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155,883</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3,204,929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3,360,812</w:t>
            </w: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vMerge w:val="restart"/>
          </w:tcPr>
          <w:p>
            <w:pPr>
              <w:jc w:val="right"/>
              <w:ind w:right="1770"/>
              <w:spacing w:after="0"/>
              <w:rPr>
                <w:sz w:val="20"/>
                <w:szCs w:val="20"/>
                <w:color w:val="auto"/>
              </w:rPr>
            </w:pPr>
            <w:r>
              <w:rPr>
                <w:rFonts w:ascii="Arial" w:cs="Arial" w:eastAsia="Arial" w:hAnsi="Arial"/>
                <w:sz w:val="18"/>
                <w:szCs w:val="18"/>
                <w:color w:val="auto"/>
              </w:rPr>
              <w:t>- 10 -</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March 31, 2015 and December 31, 2014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780" w:type="dxa"/>
            <w:vAlign w:val="bottom"/>
            <w:gridSpan w:val="4"/>
          </w:tcPr>
          <w:p>
            <w:pPr>
              <w:jc w:val="right"/>
              <w:ind w:right="3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8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color w:val="auto"/>
              </w:rPr>
              <w:t>value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986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1,603,068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(8,597)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6,091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(1,255)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5,220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12,689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92,304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374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1,627,889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(10,737)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103,245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35,272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16,660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266,979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131,779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51,932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400,560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1,679,821</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503,805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6,505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1,785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39,001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2,108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(696)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92,661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2,138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65,554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103,914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29,886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137,413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446,780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127,512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167,299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574,560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232,853</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678,474</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vMerge w:val="restart"/>
          </w:tcPr>
          <w:p>
            <w:pPr>
              <w:jc w:val="right"/>
              <w:ind w:right="93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owned 294 individual investment securities with aggregate gross unrealized losses of $71 million at March 31, 2015. Based on a review of each of the securities in the investment securities portfolio at March 31, 2015, the Company concluded that it expected to recover the amortized cost basis of its investment. As of March 31, 2015, the Company does not intend to sell nor is it anticipated that it would be required to sell any of its impaired investment securities at a loss. At March 31, 2015, the Company has not identified events or changes in circumstances which may have a significant adverse effect on the fair value of the $329 million of cost method investment securities.</w:t>
      </w:r>
    </w:p>
    <w:p>
      <w:pPr>
        <w:spacing w:after="0" w:line="31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Arial" w:cs="Arial" w:eastAsia="Arial" w:hAnsi="Arial"/>
                <w:sz w:val="14"/>
                <w:szCs w:val="14"/>
                <w:color w:val="auto"/>
              </w:rPr>
              <w:t>March 31,</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20" w:type="dxa"/>
            <w:vAlign w:val="bottom"/>
            <w:gridSpan w:val="2"/>
          </w:tcPr>
          <w:p>
            <w:pPr>
              <w:jc w:val="right"/>
              <w:ind w:right="202"/>
              <w:spacing w:after="0"/>
              <w:rPr>
                <w:sz w:val="20"/>
                <w:szCs w:val="20"/>
                <w:color w:val="auto"/>
              </w:rPr>
            </w:pPr>
            <w:r>
              <w:rPr>
                <w:rFonts w:ascii="Arial" w:cs="Arial" w:eastAsia="Arial" w:hAnsi="Arial"/>
                <w:sz w:val="14"/>
                <w:szCs w:val="14"/>
                <w:color w:val="auto"/>
              </w:rPr>
              <w:t>2015</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6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$2,837,256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869,700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888,985</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2,401,023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$184 million at March 31, 2015 and $198 million at December 31, 2014, representing less than 1% of the Company’s assets as of each date. A summary of changes in the accretable yield for acquired loans for the three-month periods ended March 31, 2015 and 2014 follows: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80" w:type="dxa"/>
            <w:vAlign w:val="bottom"/>
            <w:gridSpan w:val="7"/>
          </w:tcPr>
          <w:p>
            <w:pPr>
              <w:jc w:val="right"/>
              <w:ind w:right="380"/>
              <w:spacing w:after="0"/>
              <w:rPr>
                <w:sz w:val="20"/>
                <w:szCs w:val="20"/>
                <w:color w:val="auto"/>
              </w:rPr>
            </w:pPr>
            <w:r>
              <w:rPr>
                <w:rFonts w:ascii="Arial" w:cs="Arial" w:eastAsia="Arial" w:hAnsi="Arial"/>
                <w:sz w:val="14"/>
                <w:szCs w:val="14"/>
                <w:color w:val="auto"/>
              </w:rPr>
              <w:t>Three months ended March 31, 2015</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00"/>
              <w:spacing w:after="0" w:line="123" w:lineRule="exact"/>
              <w:rPr>
                <w:sz w:val="20"/>
                <w:szCs w:val="20"/>
                <w:color w:val="auto"/>
              </w:rPr>
            </w:pPr>
            <w:r>
              <w:rPr>
                <w:rFonts w:ascii="Arial" w:cs="Arial" w:eastAsia="Arial" w:hAnsi="Arial"/>
                <w:sz w:val="14"/>
                <w:szCs w:val="14"/>
                <w:color w:val="auto"/>
                <w:w w:val="86"/>
              </w:rPr>
              <w:t>Purchased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23" w:lineRule="exact"/>
              <w:rPr>
                <w:sz w:val="20"/>
                <w:szCs w:val="20"/>
                <w:color w:val="auto"/>
              </w:rPr>
            </w:pPr>
            <w:r>
              <w:rPr>
                <w:rFonts w:ascii="Arial" w:cs="Arial" w:eastAsia="Arial" w:hAnsi="Arial"/>
                <w:sz w:val="14"/>
                <w:szCs w:val="14"/>
                <w:color w:val="auto"/>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impaired</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$76,518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397,379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473,897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3520" w:type="dxa"/>
            <w:vAlign w:val="bottom"/>
            <w:gridSpan w:val="3"/>
          </w:tcPr>
          <w:p>
            <w:pPr>
              <w:jc w:val="right"/>
              <w:ind w:right="140"/>
              <w:spacing w:after="0"/>
              <w:rPr>
                <w:sz w:val="20"/>
                <w:szCs w:val="20"/>
                <w:color w:val="auto"/>
              </w:rPr>
            </w:pPr>
            <w:r>
              <w:rPr>
                <w:rFonts w:ascii="Arial" w:cs="Arial" w:eastAsia="Arial" w:hAnsi="Arial"/>
                <w:sz w:val="18"/>
                <w:szCs w:val="18"/>
                <w:color w:val="auto"/>
              </w:rPr>
              <w:t>(5,206)</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(41,277)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(46,483)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Other (a)</w:t>
            </w:r>
          </w:p>
        </w:tc>
        <w:tc>
          <w:tcPr>
            <w:tcW w:w="2720" w:type="dxa"/>
            <w:vAlign w:val="bottom"/>
          </w:tcPr>
          <w:p>
            <w:pPr>
              <w:spacing w:after="0"/>
              <w:rPr>
                <w:sz w:val="19"/>
                <w:szCs w:val="19"/>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71,422</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357,895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429,317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20" w:type="dxa"/>
            <w:vAlign w:val="bottom"/>
            <w:vMerge w:val="restart"/>
          </w:tcPr>
          <w:p>
            <w:pPr>
              <w:jc w:val="right"/>
              <w:ind w:right="1730"/>
              <w:spacing w:after="0"/>
              <w:rPr>
                <w:sz w:val="20"/>
                <w:szCs w:val="20"/>
                <w:color w:val="auto"/>
              </w:rPr>
            </w:pPr>
            <w:r>
              <w:rPr>
                <w:rFonts w:ascii="Arial" w:cs="Arial" w:eastAsia="Arial" w:hAnsi="Arial"/>
                <w:sz w:val="18"/>
                <w:szCs w:val="18"/>
                <w:color w:val="auto"/>
              </w:rPr>
              <w:t>- 12 -</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00" w:type="dxa"/>
            <w:vAlign w:val="bottom"/>
          </w:tcPr>
          <w:p>
            <w:pPr>
              <w:spacing w:after="0"/>
              <w:rPr>
                <w:sz w:val="14"/>
                <w:szCs w:val="14"/>
                <w:color w:val="auto"/>
              </w:rPr>
            </w:pPr>
          </w:p>
        </w:tc>
        <w:tc>
          <w:tcPr>
            <w:tcW w:w="2780" w:type="dxa"/>
            <w:vAlign w:val="bottom"/>
            <w:gridSpan w:val="7"/>
          </w:tcPr>
          <w:p>
            <w:pPr>
              <w:jc w:val="right"/>
              <w:ind w:right="380"/>
              <w:spacing w:after="0"/>
              <w:rPr>
                <w:sz w:val="20"/>
                <w:szCs w:val="20"/>
                <w:color w:val="auto"/>
              </w:rPr>
            </w:pPr>
            <w:r>
              <w:rPr>
                <w:rFonts w:ascii="Arial" w:cs="Arial" w:eastAsia="Arial" w:hAnsi="Arial"/>
                <w:sz w:val="14"/>
                <w:szCs w:val="14"/>
                <w:color w:val="auto"/>
              </w:rPr>
              <w:t>Three months ended March 31, 2014</w:t>
            </w:r>
          </w:p>
        </w:tc>
      </w:tr>
      <w:tr>
        <w:trPr>
          <w:trHeight w:val="123"/>
        </w:trPr>
        <w:tc>
          <w:tcPr>
            <w:tcW w:w="680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00"/>
              <w:spacing w:after="0" w:line="123" w:lineRule="exact"/>
              <w:rPr>
                <w:sz w:val="20"/>
                <w:szCs w:val="20"/>
                <w:color w:val="auto"/>
              </w:rPr>
            </w:pPr>
            <w:r>
              <w:rPr>
                <w:rFonts w:ascii="Arial" w:cs="Arial" w:eastAsia="Arial" w:hAnsi="Arial"/>
                <w:sz w:val="14"/>
                <w:szCs w:val="14"/>
                <w:color w:val="auto"/>
                <w:w w:val="86"/>
              </w:rPr>
              <w:t>Purchased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23" w:lineRule="exact"/>
              <w:rPr>
                <w:sz w:val="20"/>
                <w:szCs w:val="20"/>
                <w:color w:val="auto"/>
              </w:rPr>
            </w:pPr>
            <w:r>
              <w:rPr>
                <w:rFonts w:ascii="Arial" w:cs="Arial" w:eastAsia="Arial" w:hAnsi="Arial"/>
                <w:sz w:val="14"/>
                <w:szCs w:val="14"/>
                <w:color w:val="auto"/>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8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impaired</w:t>
            </w: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76"/>
        </w:trPr>
        <w:tc>
          <w:tcPr>
            <w:tcW w:w="68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74"/>
        </w:trPr>
        <w:tc>
          <w:tcPr>
            <w:tcW w:w="6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$37,230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538,633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575,863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(6,328)</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(52,633)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(58,961)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Other (a)</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30,939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485,162</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516,101</w:t>
            </w:r>
          </w:p>
        </w:tc>
        <w:tc>
          <w:tcPr>
            <w:tcW w:w="100" w:type="dxa"/>
            <w:vAlign w:val="bottom"/>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March 31, 2015 and December 31,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color w:val="auto"/>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87"/>
              </w:rPr>
              <w:t>Days</w:t>
            </w:r>
          </w:p>
        </w:tc>
        <w:tc>
          <w:tcPr>
            <w:tcW w:w="86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4"/>
                <w:szCs w:val="14"/>
                <w:color w:val="auto"/>
              </w:rPr>
              <w:t>Non-</w:t>
            </w: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$19,519,566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43,213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4,265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9,724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195,403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19,775,494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22,225,088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116,465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27,261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17,187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45,752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142,007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22,573,760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1,460,981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3,575,578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18,244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3,864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1,721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17,061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24,280</w:t>
            </w:r>
          </w:p>
        </w:tc>
        <w:tc>
          <w:tcPr>
            <w:tcW w:w="860" w:type="dxa"/>
            <w:vAlign w:val="bottom"/>
          </w:tcPr>
          <w:p>
            <w:pPr>
              <w:jc w:val="right"/>
              <w:spacing w:after="0"/>
              <w:rPr>
                <w:sz w:val="20"/>
                <w:szCs w:val="20"/>
                <w:color w:val="auto"/>
              </w:rPr>
            </w:pPr>
            <w:r>
              <w:rPr>
                <w:rFonts w:ascii="Arial" w:cs="Arial" w:eastAsia="Arial" w:hAnsi="Arial"/>
                <w:sz w:val="18"/>
                <w:szCs w:val="18"/>
                <w:color w:val="auto"/>
              </w:rPr>
              <w:t>3,640,748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7,580,514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189,901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197,299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20,058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241,467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11,831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74,270</w:t>
            </w:r>
          </w:p>
        </w:tc>
        <w:tc>
          <w:tcPr>
            <w:tcW w:w="860" w:type="dxa"/>
            <w:vAlign w:val="bottom"/>
          </w:tcPr>
          <w:p>
            <w:pPr>
              <w:jc w:val="right"/>
              <w:spacing w:after="0"/>
              <w:rPr>
                <w:sz w:val="20"/>
                <w:szCs w:val="20"/>
                <w:color w:val="auto"/>
              </w:rPr>
            </w:pPr>
            <w:r>
              <w:rPr>
                <w:rFonts w:ascii="Arial" w:cs="Arial" w:eastAsia="Arial" w:hAnsi="Arial"/>
                <w:sz w:val="18"/>
                <w:szCs w:val="18"/>
                <w:color w:val="auto"/>
              </w:rPr>
              <w:t>327,568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5,783,865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35,478</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87,985</w:t>
            </w:r>
          </w:p>
        </w:tc>
        <w:tc>
          <w:tcPr>
            <w:tcW w:w="860" w:type="dxa"/>
            <w:vAlign w:val="bottom"/>
          </w:tcPr>
          <w:p>
            <w:pPr>
              <w:jc w:val="right"/>
              <w:spacing w:after="0"/>
              <w:rPr>
                <w:sz w:val="20"/>
                <w:szCs w:val="20"/>
                <w:color w:val="auto"/>
              </w:rPr>
            </w:pPr>
            <w:r>
              <w:rPr>
                <w:rFonts w:ascii="Arial" w:cs="Arial" w:eastAsia="Arial" w:hAnsi="Arial"/>
                <w:sz w:val="18"/>
                <w:szCs w:val="18"/>
                <w:color w:val="auto"/>
              </w:rPr>
              <w:t>5,922,985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2,024,526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25,322</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2,921,142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28,407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3,932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17,570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15,735</w:t>
            </w:r>
          </w:p>
        </w:tc>
        <w:tc>
          <w:tcPr>
            <w:tcW w:w="860" w:type="dxa"/>
            <w:vAlign w:val="bottom"/>
          </w:tcPr>
          <w:p>
            <w:pPr>
              <w:jc w:val="right"/>
              <w:spacing w:after="0"/>
              <w:rPr>
                <w:sz w:val="20"/>
                <w:szCs w:val="20"/>
                <w:color w:val="auto"/>
              </w:rPr>
            </w:pPr>
            <w:r>
              <w:rPr>
                <w:rFonts w:ascii="Arial" w:cs="Arial" w:eastAsia="Arial" w:hAnsi="Arial"/>
                <w:sz w:val="18"/>
                <w:szCs w:val="18"/>
                <w:color w:val="auto"/>
              </w:rPr>
              <w:t>2,986,786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65,332,727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474,980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236,621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80,110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184,018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790,586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67,099,042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00" w:type="dxa"/>
            <w:vAlign w:val="bottom"/>
            <w:gridSpan w:val="2"/>
          </w:tcPr>
          <w:p>
            <w:pPr>
              <w:jc w:val="right"/>
              <w:ind w:right="96"/>
              <w:spacing w:after="0"/>
              <w:rPr>
                <w:sz w:val="20"/>
                <w:szCs w:val="20"/>
                <w:color w:val="auto"/>
              </w:rPr>
            </w:pPr>
            <w:r>
              <w:rPr>
                <w:rFonts w:ascii="Arial" w:cs="Arial" w:eastAsia="Arial" w:hAnsi="Arial"/>
                <w:sz w:val="18"/>
                <w:szCs w:val="18"/>
                <w:color w:val="auto"/>
              </w:rPr>
              <w:t>- 13 -</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3"/>
              </w:rPr>
              <w:t>Days</w:t>
            </w:r>
          </w:p>
        </w:tc>
        <w:tc>
          <w:tcPr>
            <w:tcW w:w="86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4"/>
                <w:szCs w:val="14"/>
                <w:color w:val="auto"/>
              </w:rPr>
              <w:t>Non-</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acquired</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260" w:type="dxa"/>
            <w:vAlign w:val="bottom"/>
            <w:gridSpan w:val="3"/>
          </w:tcPr>
          <w:p>
            <w:pPr>
              <w:jc w:val="right"/>
              <w:ind w:right="200"/>
              <w:spacing w:after="0"/>
              <w:rPr>
                <w:sz w:val="20"/>
                <w:szCs w:val="20"/>
                <w:color w:val="auto"/>
              </w:rPr>
            </w:pPr>
            <w:r>
              <w:rPr>
                <w:rFonts w:ascii="Arial" w:cs="Arial" w:eastAsia="Arial" w:hAnsi="Arial"/>
                <w:sz w:val="18"/>
                <w:szCs w:val="18"/>
                <w:color w:val="auto"/>
              </w:rPr>
              <w:t>$19,228,265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37,246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1,805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10,300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177,445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19,461,292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260" w:type="dxa"/>
            <w:vAlign w:val="bottom"/>
            <w:gridSpan w:val="3"/>
          </w:tcPr>
          <w:p>
            <w:pPr>
              <w:jc w:val="right"/>
              <w:ind w:right="200"/>
              <w:spacing w:after="0"/>
              <w:rPr>
                <w:sz w:val="20"/>
                <w:szCs w:val="20"/>
                <w:color w:val="auto"/>
              </w:rPr>
            </w:pPr>
            <w:r>
              <w:rPr>
                <w:rFonts w:ascii="Arial" w:cs="Arial" w:eastAsia="Arial" w:hAnsi="Arial"/>
                <w:sz w:val="18"/>
                <w:szCs w:val="18"/>
                <w:color w:val="auto"/>
              </w:rPr>
              <w:t>22,208,491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118,704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22,170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14,662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51,312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141,600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22,556,939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1,273,607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98,347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3,484,932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17,678</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17,181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25,699</w:t>
            </w:r>
          </w:p>
        </w:tc>
        <w:tc>
          <w:tcPr>
            <w:tcW w:w="860" w:type="dxa"/>
            <w:vAlign w:val="bottom"/>
          </w:tcPr>
          <w:p>
            <w:pPr>
              <w:jc w:val="right"/>
              <w:spacing w:after="0"/>
              <w:rPr>
                <w:sz w:val="20"/>
                <w:szCs w:val="20"/>
                <w:color w:val="auto"/>
              </w:rPr>
            </w:pPr>
            <w:r>
              <w:rPr>
                <w:rFonts w:ascii="Arial" w:cs="Arial" w:eastAsia="Arial" w:hAnsi="Arial"/>
                <w:sz w:val="18"/>
                <w:szCs w:val="18"/>
                <w:color w:val="auto"/>
              </w:rPr>
              <w:t>3,545,490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7,640,368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226,932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216,489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180,275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2260" w:type="dxa"/>
            <w:vAlign w:val="bottom"/>
            <w:gridSpan w:val="3"/>
          </w:tcPr>
          <w:p>
            <w:pPr>
              <w:jc w:val="right"/>
              <w:ind w:right="200"/>
              <w:spacing w:after="0"/>
              <w:rPr>
                <w:sz w:val="20"/>
                <w:szCs w:val="20"/>
                <w:color w:val="auto"/>
              </w:rPr>
            </w:pPr>
            <w:r>
              <w:rPr>
                <w:rFonts w:ascii="Arial" w:cs="Arial" w:eastAsia="Arial" w:hAnsi="Arial"/>
                <w:sz w:val="18"/>
                <w:szCs w:val="18"/>
                <w:color w:val="auto"/>
              </w:rPr>
              <w:t>249,810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11,774</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77,704</w:t>
            </w:r>
          </w:p>
        </w:tc>
        <w:tc>
          <w:tcPr>
            <w:tcW w:w="860" w:type="dxa"/>
            <w:vAlign w:val="bottom"/>
          </w:tcPr>
          <w:p>
            <w:pPr>
              <w:jc w:val="right"/>
              <w:spacing w:after="0"/>
              <w:rPr>
                <w:sz w:val="20"/>
                <w:szCs w:val="20"/>
                <w:color w:val="auto"/>
              </w:rPr>
            </w:pPr>
            <w:r>
              <w:rPr>
                <w:rFonts w:ascii="Arial" w:cs="Arial" w:eastAsia="Arial" w:hAnsi="Arial"/>
                <w:sz w:val="18"/>
                <w:szCs w:val="18"/>
                <w:color w:val="auto"/>
              </w:rPr>
              <w:t>339,288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5,859,378</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42,945</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27,896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2,374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89,291</w:t>
            </w:r>
          </w:p>
        </w:tc>
        <w:tc>
          <w:tcPr>
            <w:tcW w:w="860" w:type="dxa"/>
            <w:vAlign w:val="bottom"/>
          </w:tcPr>
          <w:p>
            <w:pPr>
              <w:jc w:val="right"/>
              <w:spacing w:after="0"/>
              <w:rPr>
                <w:sz w:val="20"/>
                <w:szCs w:val="20"/>
                <w:color w:val="auto"/>
              </w:rPr>
            </w:pPr>
            <w:r>
              <w:rPr>
                <w:rFonts w:ascii="Arial" w:cs="Arial" w:eastAsia="Arial" w:hAnsi="Arial"/>
                <w:sz w:val="18"/>
                <w:szCs w:val="18"/>
                <w:color w:val="auto"/>
              </w:rPr>
              <w:t>6,021,884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1,931,138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30,500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2,909,791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33,295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16,369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18,042</w:t>
            </w:r>
          </w:p>
        </w:tc>
        <w:tc>
          <w:tcPr>
            <w:tcW w:w="860" w:type="dxa"/>
            <w:vAlign w:val="bottom"/>
          </w:tcPr>
          <w:p>
            <w:pPr>
              <w:jc w:val="right"/>
              <w:spacing w:after="0"/>
              <w:rPr>
                <w:sz w:val="20"/>
                <w:szCs w:val="20"/>
                <w:color w:val="auto"/>
              </w:rPr>
            </w:pPr>
            <w:r>
              <w:rPr>
                <w:rFonts w:ascii="Arial" w:cs="Arial" w:eastAsia="Arial" w:hAnsi="Arial"/>
                <w:sz w:val="18"/>
                <w:szCs w:val="18"/>
                <w:color w:val="auto"/>
              </w:rPr>
              <w:t>2,981,561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64,785,780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530,901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245,020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110,367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197,737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799,151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66,668,956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58"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880" w:firstLine="456"/>
        <w:spacing w:after="0" w:line="308" w:lineRule="auto"/>
        <w:rPr>
          <w:sz w:val="20"/>
          <w:szCs w:val="20"/>
          <w:color w:val="auto"/>
        </w:rPr>
      </w:pPr>
      <w:r>
        <w:rPr>
          <w:rFonts w:ascii="Arial" w:cs="Arial" w:eastAsia="Arial" w:hAnsi="Arial"/>
          <w:sz w:val="17"/>
          <w:szCs w:val="17"/>
          <w:color w:val="auto"/>
        </w:rPr>
        <w:t>One-to-four family residential mortgage loans held for sale were $423 million and $435 million at March 31, 2015 and December 31, 2014, respectively. Commercial mortgage loans held for sale were $117 million at March 31, 2015 and $308 million at December 31,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March 31,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$ 288,038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307,927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186,033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20" w:type="dxa"/>
            <w:vAlign w:val="bottom"/>
            <w:gridSpan w:val="3"/>
          </w:tcPr>
          <w:p>
            <w:pPr>
              <w:jc w:val="right"/>
              <w:ind w:right="320"/>
              <w:spacing w:after="0"/>
              <w:rPr>
                <w:sz w:val="20"/>
                <w:szCs w:val="20"/>
                <w:color w:val="auto"/>
              </w:rPr>
            </w:pPr>
            <w:r>
              <w:rPr>
                <w:rFonts w:ascii="Arial" w:cs="Arial" w:eastAsia="Arial" w:hAnsi="Arial"/>
                <w:sz w:val="18"/>
                <w:szCs w:val="18"/>
                <w:color w:val="auto"/>
              </w:rPr>
              <w:t>1,442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15,542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960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19,574</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(12,350)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(6,679)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(3,118)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(25,329)</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3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3,939</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5,774</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(19,555)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$ 281,069</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317,375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60,741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186,052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00" w:type="dxa"/>
            <w:vAlign w:val="bottom"/>
            <w:gridSpan w:val="2"/>
          </w:tcPr>
          <w:p>
            <w:pPr>
              <w:jc w:val="right"/>
              <w:ind w:right="424"/>
              <w:spacing w:after="0"/>
              <w:rPr>
                <w:sz w:val="20"/>
                <w:szCs w:val="20"/>
                <w:color w:val="auto"/>
              </w:rPr>
            </w:pPr>
            <w:r>
              <w:rPr>
                <w:rFonts w:ascii="Arial" w:cs="Arial" w:eastAsia="Arial" w:hAnsi="Arial"/>
                <w:sz w:val="18"/>
                <w:szCs w:val="18"/>
                <w:color w:val="auto"/>
              </w:rPr>
              <w:t>- 14 -</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March 31,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1980" w:type="dxa"/>
            <w:vAlign w:val="bottom"/>
            <w:gridSpan w:val="4"/>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Financial,</w:t>
            </w:r>
          </w:p>
        </w:tc>
        <w:tc>
          <w:tcPr>
            <w:tcW w:w="198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Residential</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7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$ 273,383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324,978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78,656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164,644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320"/>
              <w:spacing w:after="0"/>
              <w:rPr>
                <w:sz w:val="20"/>
                <w:szCs w:val="20"/>
                <w:color w:val="auto"/>
              </w:rPr>
            </w:pPr>
            <w:r>
              <w:rPr>
                <w:rFonts w:ascii="Arial" w:cs="Arial" w:eastAsia="Arial" w:hAnsi="Arial"/>
                <w:sz w:val="18"/>
                <w:szCs w:val="18"/>
                <w:color w:val="auto"/>
              </w:rPr>
              <w:t>12,598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4,228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14,141</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(14,809)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(3,486)</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(7,453)</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(21,691)</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5,663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(16,651)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$ 276,835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324,805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77,062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162,134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75,932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916,768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Despite the above allocation, the allowance for credit losses is general in nature and is available to absorb losses from any loan or lease type.</w:t>
      </w:r>
    </w:p>
    <w:p>
      <w:pPr>
        <w:spacing w:after="0" w:line="2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March 31, 2015 and December 31, 2014 and for the three month periods ended March 31,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w w:val="94"/>
              </w:rPr>
              <w:t>March 31, 2015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center"/>
              <w:ind w:right="80"/>
              <w:spacing w:after="0"/>
              <w:rPr>
                <w:sz w:val="20"/>
                <w:szCs w:val="20"/>
                <w:color w:val="auto"/>
              </w:rPr>
            </w:pPr>
            <w:r>
              <w:rPr>
                <w:rFonts w:ascii="Arial" w:cs="Arial" w:eastAsia="Arial" w:hAnsi="Arial"/>
                <w:sz w:val="14"/>
                <w:szCs w:val="14"/>
                <w:color w:val="auto"/>
                <w:w w:val="91"/>
              </w:rPr>
              <w:t>December 31,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8"/>
              </w:rPr>
              <w:t>Recorded</w:t>
            </w:r>
          </w:p>
        </w:tc>
        <w:tc>
          <w:tcPr>
            <w:tcW w:w="1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Principal</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Related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Principal</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Balance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Allowance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Investment</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Balance</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$108,870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130,029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19,335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132,340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165,146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99,729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122,098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15,836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83,955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96,209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6,512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5,116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6,084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6,484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86,691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104,630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88,970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107,343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97,984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110,835</w:t>
            </w: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101,137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114,565</w:t>
            </w: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19,701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20,794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19,771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20,806</w:t>
            </w:r>
          </w:p>
        </w:tc>
        <w:tc>
          <w:tcPr>
            <w:tcW w:w="620" w:type="dxa"/>
            <w:vAlign w:val="bottom"/>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27,122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18,814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5,297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18,973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18,973</w:t>
            </w:r>
          </w:p>
        </w:tc>
        <w:tc>
          <w:tcPr>
            <w:tcW w:w="62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549,137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70,582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498,575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581,887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20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116,325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135,534</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81,493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51,734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59,235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66,777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78,943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62,611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101,964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58,820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96,722</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19,657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40,072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17,203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27,886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16,815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26,750</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24,785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43,635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46,964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408,326</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263,880</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371,907</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225,195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265,563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19,335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206,318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246,639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151,463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181,333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15,836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150,732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175,152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69,123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110,695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76,452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118,766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24,773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46,156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26,218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47,519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103,894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132,516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105,785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134,093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122,769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154,470</w:t>
            </w: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127,889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161,529</w:t>
            </w: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780" w:type="dxa"/>
            <w:vAlign w:val="bottom"/>
            <w:gridSpan w:val="3"/>
          </w:tcPr>
          <w:p>
            <w:pPr>
              <w:jc w:val="right"/>
              <w:ind w:right="20"/>
              <w:spacing w:after="0"/>
              <w:rPr>
                <w:sz w:val="20"/>
                <w:szCs w:val="20"/>
                <w:color w:val="auto"/>
              </w:rPr>
            </w:pPr>
            <w:r>
              <w:rPr>
                <w:rFonts w:ascii="Arial" w:cs="Arial" w:eastAsia="Arial" w:hAnsi="Arial"/>
                <w:sz w:val="18"/>
                <w:szCs w:val="18"/>
                <w:color w:val="auto"/>
              </w:rPr>
              <w:t>19,701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20,794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19,771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20,806</w:t>
            </w:r>
          </w:p>
        </w:tc>
        <w:tc>
          <w:tcPr>
            <w:tcW w:w="620" w:type="dxa"/>
            <w:vAlign w:val="bottom"/>
          </w:tcPr>
          <w:p>
            <w:pPr>
              <w:jc w:val="right"/>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27,122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18,814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5,297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18,973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18,973</w:t>
            </w:r>
          </w:p>
        </w:tc>
        <w:tc>
          <w:tcPr>
            <w:tcW w:w="62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762,854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957,463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70,582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762,455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953,794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vMerge w:val="restart"/>
          </w:tcPr>
          <w:p>
            <w:pPr>
              <w:jc w:val="right"/>
              <w:ind w:right="410"/>
              <w:spacing w:after="0"/>
              <w:rPr>
                <w:sz w:val="20"/>
                <w:szCs w:val="20"/>
                <w:color w:val="auto"/>
              </w:rPr>
            </w:pPr>
            <w:r>
              <w:rPr>
                <w:rFonts w:ascii="Arial" w:cs="Arial" w:eastAsia="Arial" w:hAnsi="Arial"/>
                <w:sz w:val="18"/>
                <w:szCs w:val="18"/>
                <w:color w:val="auto"/>
              </w:rPr>
              <w:t>- 16 -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6"/>
          </w:tcPr>
          <w:p>
            <w:pPr>
              <w:jc w:val="center"/>
              <w:ind w:left="325"/>
              <w:spacing w:after="0"/>
              <w:rPr>
                <w:sz w:val="20"/>
                <w:szCs w:val="20"/>
                <w:color w:val="auto"/>
              </w:rPr>
            </w:pPr>
            <w:r>
              <w:rPr>
                <w:rFonts w:ascii="Arial" w:cs="Arial" w:eastAsia="Arial" w:hAnsi="Arial"/>
                <w:sz w:val="14"/>
                <w:szCs w:val="14"/>
                <w:color w:val="auto"/>
                <w:w w:val="91"/>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6"/>
          </w:tcPr>
          <w:p>
            <w:pPr>
              <w:jc w:val="center"/>
              <w:ind w:left="305"/>
              <w:spacing w:after="0"/>
              <w:rPr>
                <w:sz w:val="20"/>
                <w:szCs w:val="20"/>
                <w:color w:val="auto"/>
              </w:rPr>
            </w:pPr>
            <w:r>
              <w:rPr>
                <w:rFonts w:ascii="Arial" w:cs="Arial" w:eastAsia="Arial" w:hAnsi="Arial"/>
                <w:sz w:val="14"/>
                <w:szCs w:val="14"/>
                <w:color w:val="auto"/>
                <w:w w:val="94"/>
              </w:rPr>
              <w:t>March 31, 2015</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March 31, 2014</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Interest income</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right"/>
              <w:ind w:right="13"/>
              <w:spacing w:after="0" w:line="123"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1"/>
              </w:rPr>
              <w:t>Average</w:t>
            </w: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color w:val="auto"/>
                <w:w w:val="90"/>
              </w:rPr>
              <w:t>recognized</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1"/>
              </w:rPr>
              <w:t>Average</w:t>
            </w: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10"/>
        </w:trPr>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recorded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investment</w:t>
            </w:r>
          </w:p>
        </w:tc>
        <w:tc>
          <w:tcPr>
            <w:tcW w:w="700" w:type="dxa"/>
            <w:vAlign w:val="bottom"/>
            <w:gridSpan w:val="3"/>
          </w:tcPr>
          <w:p>
            <w:pPr>
              <w:ind w:left="80"/>
              <w:spacing w:after="0"/>
              <w:rPr>
                <w:sz w:val="20"/>
                <w:szCs w:val="20"/>
                <w:color w:val="auto"/>
              </w:rPr>
            </w:pPr>
            <w:r>
              <w:rPr>
                <w:rFonts w:ascii="Arial" w:cs="Arial" w:eastAsia="Arial" w:hAnsi="Arial"/>
                <w:sz w:val="14"/>
                <w:szCs w:val="14"/>
                <w:color w:val="auto"/>
              </w:rPr>
              <w:t>Total</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investment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color w:val="auto"/>
                <w:w w:val="99"/>
              </w:rPr>
              <w:t>(in thousands)</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$214,618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134,306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153,070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1,102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185,425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73,151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101,253</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25,540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87,292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104,490</w:t>
            </w: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1,446</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174,168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125,654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1,610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139,651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1,626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19,683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29,013</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39,383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18,861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764,080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5,705</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3,516</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894,854</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6,581</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$18,880,311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21,755,661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1,522,471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3,466,705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699,780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676,092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43,421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195,403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142,007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65,310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19,775,494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22,573,760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1,631,202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3,640,748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$18,695,440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21,837,022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1,347,778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3,347,522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588,407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578,317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45,845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177,445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19,461,292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22,556,939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1,465,140</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3,545,490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$62 million and $20 million, respectively, at March 31, 2015 and $63 million and $18 million, respectively, at December 31, 2014. Residential real estate loans and home equity loans and lines of credit that were more than 150 days past due but did not require a partial charge-off because the net realizable value of the collateral exceeded the outstanding customer balance totaled $24 million and $29 million, respectively, at March 31, 2015 and $27 million and $28 million, respectively, at December 31, 2014.</w:t>
      </w:r>
    </w:p>
    <w:p>
      <w:pPr>
        <w:spacing w:after="0" w:line="17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w w:val="90"/>
              </w:rPr>
              <w:t>Financial,</w:t>
            </w:r>
          </w:p>
        </w:tc>
        <w:tc>
          <w:tcPr>
            <w:tcW w:w="198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2"/>
              </w:rPr>
              <w:t>Consumer</w:t>
            </w: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19,335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16,921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14,811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258,028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299,262</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43,547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166,296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767,133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3,706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2,383</w:t>
            </w: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281,069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317,375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60,741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186,052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845,237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76,136</w:t>
            </w: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8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14,703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251,607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291,244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45,061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165,140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753,052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288,038</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61,910</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186,033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843,908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w:t>
            </w:r>
          </w:p>
        </w:tc>
        <w:tc>
          <w:tcPr>
            <w:tcW w:w="0" w:type="dxa"/>
            <w:vAlign w:val="bottom"/>
          </w:tcPr>
          <w:p>
            <w:pPr>
              <w:spacing w:after="0"/>
              <w:rPr>
                <w:sz w:val="1"/>
                <w:szCs w:val="1"/>
                <w:color w:val="auto"/>
              </w:rPr>
            </w:pPr>
          </w:p>
        </w:tc>
      </w:tr>
      <w:tr>
        <w:trPr>
          <w:trHeight w:val="331"/>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919,562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2060" w:type="dxa"/>
            <w:vAlign w:val="bottom"/>
            <w:gridSpan w:val="5"/>
            <w:vMerge w:val="restart"/>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6"/>
              </w:rPr>
              <w:t>Financial,</w:t>
            </w:r>
          </w:p>
        </w:tc>
        <w:tc>
          <w:tcPr>
            <w:tcW w:w="2060" w:type="dxa"/>
            <w:vAlign w:val="bottom"/>
            <w:gridSpan w:val="5"/>
            <w:vMerge w:val="continue"/>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Leasing, etc.</w:t>
            </w: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Commercial</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225,195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244,340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225,364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760,536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19,540,575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27,446,718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8,261,472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10,905,723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66,154,488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Purchased impaired</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9,724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154,652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17,283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19,775,494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27,845,710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8,504,119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10,973,719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67,099,042</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December 31, 2014</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206,318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252,347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232,398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19,244,674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27,148,382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8,406,680</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10,911,359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65,711,095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166,840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18,223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19,461,292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27,567,569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8,657,301</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10,982,794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66,668,956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color w:val="auto"/>
              </w:rPr>
              <w:t>- 19 -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color w:val="auto"/>
              </w:rPr>
              <w:t>Recorded investment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5"/>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0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March 31, 2015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Post-</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00" w:type="dxa"/>
            <w:vAlign w:val="bottom"/>
            <w:gridSpan w:val="3"/>
            <w:vMerge w:val="continue"/>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92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right"/>
              <w:ind w:right="820"/>
              <w:spacing w:after="0" w:line="142" w:lineRule="exact"/>
              <w:rPr>
                <w:sz w:val="20"/>
                <w:szCs w:val="20"/>
                <w:color w:val="auto"/>
              </w:rPr>
            </w:pPr>
            <w:r>
              <w:rPr>
                <w:rFonts w:ascii="Arial" w:cs="Arial" w:eastAsia="Arial" w:hAnsi="Arial"/>
                <w:sz w:val="14"/>
                <w:szCs w:val="14"/>
                <w:color w:val="auto"/>
                <w:w w:val="92"/>
              </w:rPr>
              <w:t>(dollars in thousands)</w:t>
            </w: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1,572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1,557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(2,166)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(2,130)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320"/>
              <w:spacing w:after="0" w:line="123" w:lineRule="exact"/>
              <w:rPr>
                <w:sz w:val="20"/>
                <w:szCs w:val="20"/>
                <w:color w:val="auto"/>
              </w:rPr>
            </w:pPr>
            <w:r>
              <w:rPr>
                <w:rFonts w:ascii="Arial" w:cs="Arial" w:eastAsia="Arial" w:hAnsi="Arial"/>
                <w:sz w:val="14"/>
                <w:szCs w:val="14"/>
                <w:color w:val="auto"/>
                <w:w w:val="88"/>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March 31, 2014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2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14,954</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7,044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7,002</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2,188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32,530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32,500</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(30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(869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2015 and 2014 and for which there was a subsequent payment default during the three-month periods ended March 31, 2015 and 2014, respectively, were not material.</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Effective January 1, 2015, the Company adopted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estate property to the creditor to satisfy that loan through completion of a deed in lieu of foreclosure or through a similar legal agreement. The adoption resulted in an insignificant increase in other real estate owned. The amount of foreclosed residential real estate property held by the Company was $42 million and $44 million at March 31, 2015 and December 31, 2014, respectively. At March 31, 2015, there were $158 million in loans secured by residential real estate that were in the process of foreclosure.</w:t>
      </w:r>
    </w:p>
    <w:p>
      <w:pPr>
        <w:spacing w:after="0" w:line="33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February 2015, M&amp;T Bank issued $1.5 billion of fixed rate senior notes pursuant to a Bank Note Program, of which $750 million have a 2.10% interest rate and mature in 2020 and $750 million have a 2.90% interest rate and mature in 2025.</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M&amp;T had $836 million of fixed and floating rate junior subordinated deferrable interest debentures (“Junior Subordinated Debentures”) outstanding at March 31, 2015 that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15, 2015, M&amp;T redeemed all of the issued and outstanding Capital Securities issued by M&amp;T Capital Trust I, M&amp;T Capital Trust II and M&amp;T Capital Trust III, and the related Junior Subordinated Debentures held by those respective trusts. In the aggregate, $323 million of Junior Subordinated Debentures were redeemed. In February 2014, M&amp;T redeemed all of the issued and outstanding 8.5% $350 million Capital Securities issued by M&amp;T Capital Trust IV and the related Junior Subordinated Debentures held by M&amp;T Capital Trust IV.</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Also included in long-term borrowings are agreements to repurchase securities of $1.4 billion at each of March 31, 2015 and December 31, 2014. The agreements reflect various repurchase dates in 2016 and 2017 and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$1.5 billion at each of March 31, 2015 and December 31, 2014.</w:t>
      </w:r>
    </w:p>
    <w:p>
      <w:pPr>
        <w:spacing w:after="0" w:line="31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as of March 31, 2015 and December 31, 2014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8"/>
              </w:rPr>
              <w:t>issued and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60" w:type="dxa"/>
            <w:vAlign w:val="bottom"/>
            <w:gridSpan w:val="2"/>
          </w:tcPr>
          <w:p>
            <w:pPr>
              <w:jc w:val="center"/>
              <w:ind w:left="14"/>
              <w:spacing w:after="0"/>
              <w:rPr>
                <w:sz w:val="20"/>
                <w:szCs w:val="20"/>
                <w:color w:val="auto"/>
              </w:rPr>
            </w:pPr>
            <w:r>
              <w:rPr>
                <w:rFonts w:ascii="Arial" w:cs="Arial" w:eastAsia="Arial" w:hAnsi="Arial"/>
                <w:sz w:val="14"/>
                <w:szCs w:val="14"/>
                <w:color w:val="auto"/>
                <w:w w:val="91"/>
              </w:rPr>
              <w:t>outstanding</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Carrying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Borders>
              <w:top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Fixed Rate Cumulative Perpetual Preferred Stock, Series A, $1,000 liquidation</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230,000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Fixed Rate Cumulative Perpetual Preferred Stock, Series C, $1,000 liquidation</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151,500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 Series D, $10,000</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liquidation 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9"/>
              </w:rPr>
              <w:t>Fixed-to-Floating Rate Non-cumulative Perpetual Preferred Stock, Series 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$1,000 liquidation preference per share</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350,000</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40" w:hanging="452"/>
        <w:spacing w:after="0" w:line="258"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$73.86 per share issued in connection with the Series A preferred stock expire in 2018 and totaled 719,175 at March 31, 2015 and 721,490 at December 31, 2014.</w:t>
      </w:r>
    </w:p>
    <w:p>
      <w:pPr>
        <w:spacing w:after="0" w:line="1" w:lineRule="exact"/>
        <w:rPr>
          <w:rFonts w:ascii="Arial" w:cs="Arial" w:eastAsia="Arial" w:hAnsi="Arial"/>
          <w:sz w:val="18"/>
          <w:szCs w:val="18"/>
          <w:i w:val="1"/>
          <w:iCs w:val="1"/>
          <w:color w:val="auto"/>
        </w:rPr>
      </w:pPr>
    </w:p>
    <w:p>
      <w:pPr>
        <w:jc w:val="both"/>
        <w:ind w:left="460" w:right="220" w:hanging="452"/>
        <w:spacing w:after="0" w:line="255" w:lineRule="auto"/>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6.875% per year. The shares are redeemable in whole or in part on or after June 15, 2016. Notwithstanding M&amp;T’s option to redeem the shares, if an event occurs such that the shares no longer qualify as Tier 1 regulatory capital, M&amp;T may redeem all of the shares within 90 days following that occurrence.</w:t>
      </w:r>
    </w:p>
    <w:p>
      <w:pPr>
        <w:spacing w:after="0" w:line="122"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2" w:lineRule="exact"/>
        <w:rPr>
          <w:sz w:val="20"/>
          <w:szCs w:val="20"/>
          <w:color w:val="auto"/>
        </w:rPr>
      </w:pPr>
    </w:p>
    <w:p>
      <w:pPr>
        <w:ind w:left="460" w:hanging="452"/>
        <w:spacing w:after="0" w:line="279" w:lineRule="auto"/>
        <w:tabs>
          <w:tab w:leader="none" w:pos="46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semi-annually at a rate of 6.45% through February 14, 2024 and thereafter will be paid quarterly at a rate of the three-month London Interbank Offered Rate (“LIBOR”) plus 361 basis points (hundredths of one percent). The shares are redeemable in whole or in part on or after February 15, 2024. Notwithstanding M&amp;T’s option to redeem the shares, if an event occurs such that the shares no longer qualify as Tier 1 regulatory capital, M&amp;T may redeem all of the shares within 90 days following that occurrence.</w:t>
      </w:r>
    </w:p>
    <w:p>
      <w:pPr>
        <w:spacing w:after="0" w:line="171"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In addition to the Series A warrants mentioned in (a) above, a warrant to purchase 95,383 shares of M&amp;T common stock at $518.96 per share was outstanding at March 31, 2015 and December 31, 2014. The obligation under that warrant was assumed by M&amp;T in an acquisition.</w:t>
      </w:r>
    </w:p>
    <w:p>
      <w:pPr>
        <w:spacing w:after="0" w:line="29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center"/>
              <w:ind w:left="237"/>
              <w:spacing w:after="0"/>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benefits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benefits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gridSpan w:val="6"/>
          </w:tcPr>
          <w:p>
            <w:pPr>
              <w:jc w:val="right"/>
              <w:ind w:right="260"/>
              <w:spacing w:after="0" w:line="123" w:lineRule="exact"/>
              <w:rPr>
                <w:sz w:val="20"/>
                <w:szCs w:val="20"/>
                <w:color w:val="auto"/>
              </w:rPr>
            </w:pPr>
            <w:r>
              <w:rPr>
                <w:rFonts w:ascii="Arial" w:cs="Arial" w:eastAsia="Arial" w:hAnsi="Arial"/>
                <w:sz w:val="14"/>
                <w:szCs w:val="14"/>
                <w:color w:val="auto"/>
              </w:rPr>
              <w:t>Three months ended March 31</w:t>
            </w: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2015</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(in thousands)</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5,100</w:t>
            </w:r>
          </w:p>
        </w:tc>
        <w:tc>
          <w:tcPr>
            <w:tcW w:w="7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17,775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17,250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(23,575)</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(22,925)</w:t>
            </w:r>
          </w:p>
        </w:tc>
        <w:tc>
          <w:tcPr>
            <w:tcW w:w="7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(1,525)</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(1,650)</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(350)</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w w:val="99"/>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11,175</w:t>
            </w:r>
          </w:p>
        </w:tc>
        <w:tc>
          <w:tcPr>
            <w:tcW w:w="3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0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9,850</w:t>
            </w:r>
          </w:p>
        </w:tc>
        <w:tc>
          <w:tcPr>
            <w:tcW w:w="36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1,125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$16,750,000 and $15,732,000 for the three months ended March 31, 2015 and 2014,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left="416"/>
              <w:spacing w:after="0" w:line="149" w:lineRule="exact"/>
              <w:rPr>
                <w:sz w:val="20"/>
                <w:szCs w:val="20"/>
                <w:color w:val="auto"/>
              </w:rPr>
            </w:pPr>
            <w:r>
              <w:rPr>
                <w:rFonts w:ascii="Arial" w:cs="Arial" w:eastAsia="Arial" w:hAnsi="Arial"/>
                <w:sz w:val="14"/>
                <w:szCs w:val="14"/>
                <w:color w:val="auto"/>
                <w:w w:val="92"/>
              </w:rPr>
              <w:t>March 31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tcPr>
          <w:p>
            <w:pPr>
              <w:jc w:val="center"/>
              <w:ind w:right="12"/>
              <w:spacing w:after="0" w:line="123" w:lineRule="exact"/>
              <w:rPr>
                <w:sz w:val="20"/>
                <w:szCs w:val="20"/>
                <w:color w:val="auto"/>
              </w:rPr>
            </w:pPr>
            <w:r>
              <w:rPr>
                <w:rFonts w:ascii="Arial" w:cs="Arial" w:eastAsia="Arial" w:hAnsi="Arial"/>
                <w:sz w:val="14"/>
                <w:szCs w:val="14"/>
                <w:color w:val="auto"/>
                <w:w w:val="93"/>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241,613</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(20,318)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221,295</w:t>
            </w: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214,343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2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218,830</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211,720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w w:val="92"/>
              </w:rPr>
              <w:t>Common shares outstanding (including common stock issuable) and unvested stock-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based compensation awards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133,542</w:t>
            </w:r>
          </w:p>
        </w:tc>
        <w:tc>
          <w:tcPr>
            <w:tcW w:w="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131,800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331"/>
        </w:trPr>
        <w:tc>
          <w:tcPr>
            <w:tcW w:w="66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132,049</w:t>
            </w:r>
          </w:p>
        </w:tc>
        <w:tc>
          <w:tcPr>
            <w:tcW w:w="48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130,212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8"/>
          <w:szCs w:val="18"/>
          <w:b w:val="1"/>
          <w:bCs w:val="1"/>
          <w:color w:val="auto"/>
        </w:rPr>
        <w:t>Earnings per common share,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417"/>
              <w:spacing w:after="0" w:line="149" w:lineRule="exact"/>
              <w:rPr>
                <w:sz w:val="20"/>
                <w:szCs w:val="20"/>
                <w:color w:val="auto"/>
              </w:rPr>
            </w:pPr>
            <w:r>
              <w:rPr>
                <w:rFonts w:ascii="Arial" w:cs="Arial" w:eastAsia="Arial" w:hAnsi="Arial"/>
                <w:sz w:val="14"/>
                <w:szCs w:val="14"/>
                <w:color w:val="auto"/>
                <w:w w:val="92"/>
              </w:rPr>
              <w:t>March 31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2"/>
              <w:spacing w:after="0" w:line="123" w:lineRule="exact"/>
              <w:rPr>
                <w:sz w:val="20"/>
                <w:szCs w:val="20"/>
                <w:color w:val="auto"/>
              </w:rPr>
            </w:pPr>
            <w:r>
              <w:rPr>
                <w:rFonts w:ascii="Arial" w:cs="Arial" w:eastAsia="Arial" w:hAnsi="Arial"/>
                <w:sz w:val="14"/>
                <w:szCs w:val="14"/>
                <w:color w:val="auto"/>
                <w:w w:val="93"/>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221,295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(2,458)</w:t>
            </w:r>
          </w:p>
        </w:tc>
        <w:tc>
          <w:tcPr>
            <w:tcW w:w="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218,837</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unvested stock-based compensation awards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133,542</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(1,493)</w:t>
            </w:r>
          </w:p>
        </w:tc>
        <w:tc>
          <w:tcPr>
            <w:tcW w:w="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Plus: Incremental shares from assumed conversion of stock-based compensation</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awards</w:t>
            </w: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4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4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132,769</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131,126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2.7 million and 3.0 million common shares during the three-month periods ended March 31, 2015 and 2014, respectively, were not included in the computations of diluted earnings per common share because the effect on those periods would have been antidilutive.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color w:val="auto"/>
              </w:rPr>
              <w:t>Investment Securities</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6"/>
              </w:rPr>
              <w:t>Total</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With</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amount</w:t>
            </w:r>
          </w:p>
        </w:tc>
        <w:tc>
          <w:tcPr>
            <w:tcW w:w="4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OTTI (a)</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plans</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before tax</w:t>
            </w:r>
          </w:p>
        </w:tc>
        <w:tc>
          <w:tcPr>
            <w:tcW w:w="4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5"/>
          </w:tcPr>
          <w:p>
            <w:pPr>
              <w:jc w:val="right"/>
              <w:ind w:right="600"/>
              <w:spacing w:after="0"/>
              <w:rPr>
                <w:sz w:val="20"/>
                <w:szCs w:val="20"/>
                <w:color w:val="auto"/>
              </w:rPr>
            </w:pPr>
            <w:r>
              <w:rPr>
                <w:rFonts w:ascii="Arial" w:cs="Arial" w:eastAsia="Arial" w:hAnsi="Arial"/>
                <w:sz w:val="14"/>
                <w:szCs w:val="14"/>
                <w:color w:val="auto"/>
                <w:w w:val="99"/>
              </w:rPr>
              <w:t>(in thousands)</w:t>
            </w: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7,438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201,828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(503,027)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(4,082)</w:t>
            </w:r>
          </w:p>
        </w:tc>
        <w:tc>
          <w:tcPr>
            <w:tcW w:w="130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color w:val="auto"/>
                <w:w w:val="98"/>
              </w:rPr>
              <w:t>$(297,843)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116,849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$(180,994)</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40,074</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(3,732)</w:t>
            </w:r>
          </w:p>
        </w:tc>
        <w:tc>
          <w:tcPr>
            <w:tcW w:w="1300" w:type="dxa"/>
            <w:vAlign w:val="bottom"/>
            <w:gridSpan w:val="4"/>
          </w:tcPr>
          <w:p>
            <w:pPr>
              <w:jc w:val="right"/>
              <w:ind w:right="330"/>
              <w:spacing w:after="0"/>
              <w:rPr>
                <w:sz w:val="20"/>
                <w:szCs w:val="20"/>
                <w:color w:val="auto"/>
              </w:rPr>
            </w:pPr>
            <w:r>
              <w:rPr>
                <w:rFonts w:ascii="Arial" w:cs="Arial" w:eastAsia="Arial" w:hAnsi="Arial"/>
                <w:sz w:val="18"/>
                <w:szCs w:val="18"/>
                <w:color w:val="auto"/>
              </w:rPr>
              <w:t>(3,732)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1,348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cash flow hedges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8,011</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(2,279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(increase) decrease net income: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Accretion of unrealized holding losses on held-to-maturity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(“HTM”) securities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739</w:t>
            </w:r>
          </w:p>
        </w:tc>
        <w:tc>
          <w:tcPr>
            <w:tcW w:w="460" w:type="dxa"/>
            <w:vAlign w:val="bottom"/>
          </w:tcPr>
          <w:p>
            <w:pPr>
              <w:ind w:left="40"/>
              <w:spacing w:after="0"/>
              <w:rPr>
                <w:sz w:val="20"/>
                <w:szCs w:val="20"/>
                <w:color w:val="auto"/>
              </w:rPr>
            </w:pPr>
            <w:r>
              <w:rPr>
                <w:rFonts w:ascii="Arial" w:cs="Arial" w:eastAsia="Arial" w:hAnsi="Arial"/>
                <w:sz w:val="18"/>
                <w:szCs w:val="18"/>
                <w:color w:val="auto"/>
              </w:rPr>
              <w:t>(b)</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realized in net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98 (c)</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Accretion of gain on terminated cash flow hedges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8"/>
                <w:szCs w:val="18"/>
                <w:color w:val="auto"/>
              </w:rPr>
              <w:t>(24) (d)</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(1,875) (e)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11,200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11,200</w:t>
            </w:r>
          </w:p>
        </w:tc>
        <w:tc>
          <w:tcPr>
            <w:tcW w:w="2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(5,582)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10,138</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00" w:type="dxa"/>
            <w:vAlign w:val="bottom"/>
            <w:gridSpan w:val="2"/>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8,011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32,900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(2,303)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47,933</w:t>
            </w:r>
          </w:p>
        </w:tc>
        <w:tc>
          <w:tcPr>
            <w:tcW w:w="4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(19,430)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15,449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234,728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(493,702)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(6,385)</w:t>
            </w:r>
          </w:p>
        </w:tc>
        <w:tc>
          <w:tcPr>
            <w:tcW w:w="130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(249,910)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(152,491)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- 27 -</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53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color w:val="auto"/>
              </w:rPr>
              <w:t>Investment Securities</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Defined</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Total</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With</w:t>
            </w: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All</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benefit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amount</w:t>
            </w:r>
          </w:p>
        </w:tc>
        <w:tc>
          <w:tcPr>
            <w:tcW w:w="44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OTTI (a)</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other</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plans</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before tax</w:t>
            </w:r>
          </w:p>
        </w:tc>
        <w:tc>
          <w:tcPr>
            <w:tcW w:w="44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tax</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5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$37,255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18,450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(161,617)</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w w:val="90"/>
              </w:rPr>
              <w:t>(105,797)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$(64,159)</w:t>
            </w:r>
          </w:p>
        </w:tc>
        <w:tc>
          <w:tcPr>
            <w:tcW w:w="0" w:type="dxa"/>
            <w:vAlign w:val="bottom"/>
          </w:tcPr>
          <w:p>
            <w:pPr>
              <w:spacing w:after="0"/>
              <w:rPr>
                <w:sz w:val="1"/>
                <w:szCs w:val="1"/>
                <w:color w:val="auto"/>
              </w:rPr>
            </w:pPr>
          </w:p>
        </w:tc>
      </w:tr>
      <w:tr>
        <w:trPr>
          <w:trHeight w:val="324"/>
        </w:trPr>
        <w:tc>
          <w:tcPr>
            <w:tcW w:w="554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net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19,968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42,119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62,087</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(24,374)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310"/>
              <w:spacing w:after="0"/>
              <w:rPr>
                <w:sz w:val="20"/>
                <w:szCs w:val="20"/>
                <w:color w:val="auto"/>
              </w:rPr>
            </w:pPr>
            <w:r>
              <w:rPr>
                <w:rFonts w:ascii="Arial" w:cs="Arial" w:eastAsia="Arial" w:hAnsi="Arial"/>
                <w:sz w:val="18"/>
                <w:szCs w:val="18"/>
                <w:color w:val="auto"/>
              </w:rPr>
              <w:t>(234)</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42,119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61,853</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(24,276)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317"/>
        </w:trPr>
        <w:tc>
          <w:tcPr>
            <w:tcW w:w="5540" w:type="dxa"/>
            <w:vAlign w:val="bottom"/>
            <w:gridSpan w:val="3"/>
          </w:tcPr>
          <w:p>
            <w:pPr>
              <w:spacing w:after="0"/>
              <w:rPr>
                <w:sz w:val="20"/>
                <w:szCs w:val="20"/>
                <w:color w:val="auto"/>
              </w:rPr>
            </w:pPr>
            <w:r>
              <w:rPr>
                <w:rFonts w:ascii="Arial" w:cs="Arial" w:eastAsia="Arial" w:hAnsi="Arial"/>
                <w:sz w:val="18"/>
                <w:szCs w:val="18"/>
                <w:color w:val="auto"/>
                <w:w w:val="94"/>
              </w:rPr>
              <w:t>Amounts reclassified from accumulated other comprehensive income that</w:t>
            </w: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(increase) decrease net income:</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unrealized holding losses on HTM securities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(2,000) (e)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actuarial losses</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42,942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64,028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(25,130)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0"/>
        </w:trPr>
        <w:tc>
          <w:tcPr>
            <w:tcW w:w="5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540" w:type="dxa"/>
            <w:vAlign w:val="bottom"/>
            <w:gridSpan w:val="3"/>
          </w:tcPr>
          <w:p>
            <w:pPr>
              <w:spacing w:after="0"/>
              <w:rPr>
                <w:sz w:val="20"/>
                <w:szCs w:val="20"/>
                <w:color w:val="auto"/>
              </w:rPr>
            </w:pPr>
            <w:r>
              <w:rPr>
                <w:rFonts w:ascii="Arial" w:cs="Arial" w:eastAsia="Arial" w:hAnsi="Arial"/>
                <w:sz w:val="18"/>
                <w:szCs w:val="18"/>
                <w:color w:val="auto"/>
              </w:rPr>
              <w:t>Balance – March 31, 2014</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57,225</w:t>
            </w:r>
          </w:p>
        </w:tc>
        <w:tc>
          <w:tcPr>
            <w:tcW w:w="1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61,392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(160,267)</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10"/>
              <w:spacing w:after="0"/>
              <w:rPr>
                <w:sz w:val="20"/>
                <w:szCs w:val="20"/>
                <w:color w:val="auto"/>
              </w:rPr>
            </w:pPr>
            <w:r>
              <w:rPr>
                <w:rFonts w:ascii="Arial" w:cs="Arial" w:eastAsia="Arial" w:hAnsi="Arial"/>
                <w:sz w:val="18"/>
                <w:szCs w:val="18"/>
                <w:color w:val="auto"/>
              </w:rPr>
              <w:t>(41,769)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16,508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Included in salaries and employee benefits</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Defined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w w:val="92"/>
              </w:rPr>
              <w:t>Investment securities</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rPr>
              <w:t>With OTTI</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5"/>
              </w:rPr>
              <w:t>plans</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2"/>
              </w:rPr>
              <w:t>(in thousands)</w:t>
            </w: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122,683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(305,589)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$(180,994)</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4,898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20,441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4,677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(1,513)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143,124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(300,912)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(152,491)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40" w:type="dxa"/>
            <w:vAlign w:val="bottom"/>
            <w:vMerge w:val="restart"/>
          </w:tcPr>
          <w:p>
            <w:pPr>
              <w:jc w:val="right"/>
              <w:ind w:right="1210"/>
              <w:spacing w:after="0"/>
              <w:rPr>
                <w:sz w:val="20"/>
                <w:szCs w:val="20"/>
                <w:color w:val="auto"/>
              </w:rPr>
            </w:pPr>
            <w:r>
              <w:rPr>
                <w:rFonts w:ascii="Arial" w:cs="Arial" w:eastAsia="Arial" w:hAnsi="Arial"/>
                <w:sz w:val="18"/>
                <w:szCs w:val="18"/>
                <w:color w:val="auto"/>
              </w:rPr>
              <w:t>- 28 -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March 31, 2015.</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net effect of interest rate swap agreements was to increase net interest income by $11 million for each of the three-month periods ended March 31, 2015 and 2014.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80" w:type="dxa"/>
            <w:vAlign w:val="bottom"/>
            <w:gridSpan w:val="3"/>
          </w:tcPr>
          <w:p>
            <w:pPr>
              <w:jc w:val="center"/>
              <w:ind w:right="48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use of cash flow hedges to manage the variability of cash flows associated with the then-forecasted issuance of long-term debt did not have a significant impact on the Company’s consolidated financial position or results of operations.</w:t>
      </w:r>
    </w:p>
    <w:p>
      <w:pPr>
        <w:spacing w:after="0" w:line="17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$17.1 billion and $17.6 billion at March 31, 2015 and December 31, 2014, respectively. The notional amounts of foreign currency and other option and futures contracts entered into for trading account purposes aggregated $1.4 billion and $1.3 billion at March 31, 2015 and December 31, 2014,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617"/>
              <w:spacing w:after="0" w:line="142" w:lineRule="exact"/>
              <w:rPr>
                <w:sz w:val="20"/>
                <w:szCs w:val="20"/>
                <w:color w:val="auto"/>
              </w:rPr>
            </w:pPr>
            <w:r>
              <w:rPr>
                <w:rFonts w:ascii="Arial" w:cs="Arial" w:eastAsia="Arial" w:hAnsi="Arial"/>
                <w:sz w:val="14"/>
                <w:szCs w:val="14"/>
                <w:color w:val="auto"/>
                <w:w w:val="91"/>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March 31,</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March 31,</w:t>
            </w:r>
          </w:p>
        </w:tc>
        <w:tc>
          <w:tcPr>
            <w:tcW w:w="48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5"/>
          </w:tcPr>
          <w:p>
            <w:pPr>
              <w:jc w:val="right"/>
              <w:ind w:right="433"/>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72,855</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73,251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w:t>
            </w:r>
          </w:p>
        </w:tc>
        <w:tc>
          <w:tcPr>
            <w:tcW w:w="4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1,571</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8,552</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246,819</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215,614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204,484</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312,642</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248,785</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386,159</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338,855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252,314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color w:val="auto"/>
                <w:w w:val="97"/>
              </w:rPr>
              <w:t>Amount of unrealized gain (loss) recognized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gridSpan w:val="5"/>
          </w:tcPr>
          <w:p>
            <w:pPr>
              <w:jc w:val="center"/>
              <w:ind w:right="700"/>
              <w:spacing w:after="0" w:line="123" w:lineRule="exact"/>
              <w:rPr>
                <w:sz w:val="20"/>
                <w:szCs w:val="20"/>
                <w:color w:val="auto"/>
              </w:rPr>
            </w:pPr>
            <w:r>
              <w:rPr>
                <w:rFonts w:ascii="Arial" w:cs="Arial" w:eastAsia="Arial" w:hAnsi="Arial"/>
                <w:sz w:val="14"/>
                <w:szCs w:val="14"/>
                <w:color w:val="auto"/>
                <w:w w:val="91"/>
              </w:rPr>
              <w:t>Three months ended</w:t>
            </w:r>
          </w:p>
        </w:tc>
        <w:tc>
          <w:tcPr>
            <w:tcW w:w="120" w:type="dxa"/>
            <w:vAlign w:val="bottom"/>
          </w:tcPr>
          <w:p>
            <w:pPr>
              <w:spacing w:after="0"/>
              <w:rPr>
                <w:sz w:val="10"/>
                <w:szCs w:val="10"/>
                <w:color w:val="auto"/>
              </w:rPr>
            </w:pPr>
          </w:p>
        </w:tc>
        <w:tc>
          <w:tcPr>
            <w:tcW w:w="1760" w:type="dxa"/>
            <w:vAlign w:val="bottom"/>
            <w:gridSpan w:val="3"/>
          </w:tcPr>
          <w:p>
            <w:pPr>
              <w:jc w:val="right"/>
              <w:ind w:right="279"/>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center"/>
              <w:ind w:right="720"/>
              <w:spacing w:after="0"/>
              <w:rPr>
                <w:sz w:val="20"/>
                <w:szCs w:val="20"/>
                <w:color w:val="auto"/>
              </w:rPr>
            </w:pPr>
            <w:r>
              <w:rPr>
                <w:rFonts w:ascii="Arial" w:cs="Arial" w:eastAsia="Arial" w:hAnsi="Arial"/>
                <w:sz w:val="14"/>
                <w:szCs w:val="14"/>
                <w:color w:val="auto"/>
                <w:w w:val="94"/>
              </w:rPr>
              <w:t>March 31, 2015</w:t>
            </w:r>
          </w:p>
        </w:tc>
        <w:tc>
          <w:tcPr>
            <w:tcW w:w="12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color w:val="auto"/>
              </w:rPr>
              <w:t>March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0"/>
              </w:rPr>
              <w:t>Hedged item</w:t>
            </w:r>
          </w:p>
        </w:tc>
        <w:tc>
          <w:tcPr>
            <w:tcW w:w="5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gridSpan w:val="5"/>
          </w:tcPr>
          <w:p>
            <w:pPr>
              <w:jc w:val="right"/>
              <w:ind w:right="1000"/>
              <w:spacing w:after="0" w:line="142"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rate long-term borrowings (a)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(8,160)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(302)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(5,030)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(5,332)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at $31 million and $28 million March 31, 2015 and December 31, 2014, respectively. Changes in unrealized gains and losses are included in mortgage banking revenues and, in general, are realized in subsequent periods as the related loans are sold and commitments satisfied.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aggregate fair value of derivative financial instruments in a liability position, which are subject to enforceable master netting arrangements, was $174 million and $161 million at March 31, 2015 and December 31, 2014, respectively. After consideration of such netting arrangements, the net liability positions with counterparties aggregated $114 million and $103 million at March 31, 2015 and December 31, 2014, respectively. The Company was required to post collateral relating to those positions of $102 million and $90 million, at March 31, 2015 and December 31, 2014, respectively. Certain of the Company’s derivative financial instruments contain provisions that require the Company to maintain specific credit ratings from credit rating agencies to avoid higher collateral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2015 was $22 million, for which the Company had posted collateral of $15 million in the normal course of business. If the credit risk-related contingent features had been triggered on March 31, 2015, the maximum amount of additional collateral the Company would have been required to post with counterparties was $7 million.</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$106 million and $104 million at March 31, 2015 and December 31, 2014, respectively. After consideration of such netting arrangements, the net asset positions with counterparties aggregated $46 million at each of March 31, 2015 and December 31, 2014. Counterparties posted collateral relating to those positions of $47 million and $46 million at March 31, 2015 and December 31, 2014, respectively. Trading account interest rate swap agreements entered into with customers are subject to the Company’s credit risk standards and often contain collateral provisions.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instruments cleared through clearinghouses at March 31, 2015 was a net liability position of $65 million and at December 31, 2014 was a net liability position of $35 million. Collateral posted with clearinghouses was $97 million and $61 million at March 31, 2015 and December 31, 2014, respectively.</w:t>
      </w:r>
    </w:p>
    <w:p>
      <w:pPr>
        <w:spacing w:after="0" w:line="33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first quarter of 2015, the Company securitized approximately $13 million of one-to-four family residential real estate loans that had been originated for sale in guaranteed mortgage securitizations with the Government National Mortgage Association (“Ginnie Mae”) and retained the resulting securities in its investment securities portfolio. In similar transactions for the three months ended March 31, 2014, the Company securitized $29 million of one-to-four family residential real estate loans. Gains associated with those transactions were not significant.</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March 31, 2015 and December 31, 2014, the carrying values of the loans in the securitization trust were $93 million and $98 million, respectively. The outstanding principal amount of mortgage-backed securities issued by the qualified special purpose trust that was held by parties unrelated to M&amp;T at March 31, 2015 and December 31, 2014 was $14 million and $15 million, respectively. Because the transaction was non-recourse, the Company’s maximum exposure to loss as a result of its association with the trust at March 31, 2015 is limited to realizing the carrying value of the loans less the amount of the mortgage-backed securities held by third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2"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2015 and December 31, 2014,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Capital Securities described in note 5.</w:t>
      </w:r>
    </w:p>
    <w:p>
      <w:pPr>
        <w:spacing w:after="0" w:line="17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$1.2 billion at March 31, 2015 and December 31, 2014.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on its investments in such partnerships was $303 million, including $88 million of unfunded commitments, at March 31, 2015 and $243 million, including $56 million of unfunded commitments, at December 31, 2014. Contingent commitments to provide additional capital contributions to these partnerships were not material at</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March 31, 2015. The Company has not provided financial or other support to the partnerships that was not contractually required. Management currently estimates that no material losses are probable as a result of the Company’s involvement with such entities. The Company, in its position as a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As described in note 1, effective January 1, 2015 the Company retrospectively adopted for all periods presented amended accounting guidance on the accounting for investments in qualified affordable housing projects whereby the Company’s investment cost is amortized to income taxes in the consolidated statement of income as tax credits and other tax benefits resulting from deductible losses associated with the projects are received. The Company amortized $10 million and $12 million of its investments in qualified affordable housing projects to income tax expense during the three-month periods ended March 31, 2015 and 2014, respectively, and recognized $14 million and $17 million of tax credits and other tax benefits during those respective periods.</w:t>
      </w:r>
    </w:p>
    <w:p>
      <w:pPr>
        <w:spacing w:after="0" w:line="31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2015.</w:t>
      </w:r>
    </w:p>
    <w:p>
      <w:pPr>
        <w:spacing w:after="0" w:line="170"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could not obtain pricing indications for many of these securities from its two primary independent pricing sources. The Company, therefore, performed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internal modeling to estimate the cash flows and fair value of its portfolio of securities backed by trust preferred securities at March 31, 2015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modeling techniques included estimating cash flows using bond-specific assumptions about future collateral defaults and related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severities. The resulting cash flows were then discounted by reference to market yields observed in the single-name trust preferred securities market.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determining a market yield applicable to the estimated cash flows, a margin over LIBOR ranging from 5% to 10%, with a weighted-average of 8%, was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unobservable inputs used in the determination of estimated fair value of collateralized debt obligations are included in the accompanying table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significant unobservable inputs to Level 3 measurements. At March 31, 2015, the total amortized cost and fair value of securities backed by trust preferred securities issued by financial institutions and other entities were $30 million and $47 million, respectively, and at December 31, 2014 were $30 million and $50 million, respectively. Securities backed by trust preferred securities issued by financial institutions and other entities constituted substantially all of the available-for-sale investment securities classified as Level 3 valuations.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Level 3 fair value measurements. Internal pricing models used for significant valuation measurements have generally been subjected to validation procedures including review of mathematical constructs,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assets and liabilities at March 31, 2015 and December 31, 2014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8"/>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6"/>
              </w:rPr>
              <w:t>March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4"/>
          </w:tcPr>
          <w:p>
            <w:pPr>
              <w:jc w:val="right"/>
              <w:ind w:right="116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363,085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48,978</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314,107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163,234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163,234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7,850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7,850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10,265,221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10,265,221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47,278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121,273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121,273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98,549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71,804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26,745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10,703,500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71,804</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10,584,323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47,373</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540,546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540,546</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101,383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75,088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11,708,514</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120,782</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11,514,064</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240,168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240,168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liabilities (b)</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12,146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12,081</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252,314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252,249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vMerge w:val="restart"/>
          </w:tcPr>
          <w:p>
            <w:pPr>
              <w:jc w:val="right"/>
              <w:ind w:right="670"/>
              <w:spacing w:after="0"/>
              <w:rPr>
                <w:sz w:val="20"/>
                <w:szCs w:val="20"/>
                <w:color w:val="auto"/>
              </w:rPr>
            </w:pPr>
            <w:r>
              <w:rPr>
                <w:rFonts w:ascii="Arial" w:cs="Arial" w:eastAsia="Arial" w:hAnsi="Arial"/>
                <w:sz w:val="18"/>
                <w:szCs w:val="18"/>
                <w:color w:val="auto"/>
              </w:rPr>
              <w:t>- 36 -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Fair value</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measurements at</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3"/>
              </w:rPr>
              <w:t>December 31,</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color w:val="auto"/>
                <w:w w:val="96"/>
              </w:rPr>
              <w:t>2014</w:t>
            </w:r>
          </w:p>
        </w:tc>
        <w:tc>
          <w:tcPr>
            <w:tcW w:w="4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Level 1 (a)</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4"/>
          </w:tcPr>
          <w:p>
            <w:pPr>
              <w:jc w:val="right"/>
              <w:ind w:right="114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308,175</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256,759</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161,947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161,947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8,198</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8,198</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8,731,123</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8,731,123</w:t>
            </w:r>
          </w:p>
        </w:tc>
        <w:tc>
          <w:tcPr>
            <w:tcW w:w="4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50,316</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121,488</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121,488</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83,757</w:t>
            </w:r>
          </w:p>
        </w:tc>
        <w:tc>
          <w:tcPr>
            <w:tcW w:w="4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64,841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18,916</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9,156,932</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64,841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9,041,672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50,419</w:t>
            </w: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0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742,249</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742,249</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92,129</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74,733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10,299,485</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116,257</w:t>
            </w: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10,115,413</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203,464</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203,464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8,596</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8,547</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212,060</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2015 and the year ended December 31, 2014.</w:t>
      </w:r>
    </w:p>
    <w:p>
      <w:pPr>
        <w:spacing w:after="0" w:line="1" w:lineRule="exact"/>
        <w:rPr>
          <w:rFonts w:ascii="Arial" w:cs="Arial" w:eastAsia="Arial" w:hAnsi="Arial"/>
          <w:sz w:val="18"/>
          <w:szCs w:val="18"/>
          <w:i w:val="1"/>
          <w:iCs w:val="1"/>
          <w:color w:val="auto"/>
        </w:rPr>
      </w:pPr>
    </w:p>
    <w:p>
      <w:pPr>
        <w:ind w:left="460" w:right="380" w:hanging="452"/>
        <w:spacing w:after="0" w:line="261" w:lineRule="auto"/>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2015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7"/>
          </w:tcPr>
          <w:p>
            <w:pPr>
              <w:spacing w:after="0"/>
              <w:rPr>
                <w:sz w:val="20"/>
                <w:szCs w:val="20"/>
                <w:color w:val="auto"/>
              </w:rPr>
            </w:pPr>
            <w:r>
              <w:rPr>
                <w:rFonts w:ascii="Arial" w:cs="Arial" w:eastAsia="Arial" w:hAnsi="Arial"/>
                <w:sz w:val="14"/>
                <w:szCs w:val="14"/>
                <w:color w:val="auto"/>
              </w:rPr>
              <w:t>Investment securities available for sale</w:t>
            </w:r>
          </w:p>
        </w:tc>
        <w:tc>
          <w:tcPr>
            <w:tcW w:w="106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w w:val="93"/>
              </w:rPr>
              <w:t>Privately issued</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mortgage-backed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7"/>
              </w:rPr>
              <w:t>debt</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color w:val="auto"/>
                <w:w w:val="95"/>
              </w:rPr>
              <w:t>obligations</w:t>
            </w: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6"/>
              </w:rPr>
              <w:t>(in thousands)</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29,770 (a)</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(2,004) (d)</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Transfers in and/or out of Level 3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94"/>
              </w:rPr>
              <w:t>(20,887) (c)</w:t>
            </w: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95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w w:val="91"/>
              </w:rPr>
              <w:t>Changes in unrealized gains included in earnings related to assets still held at</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March 31, 2015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9"/>
              </w:rPr>
              <w:t>22,636 (a)</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600"/>
              <w:spacing w:after="0"/>
              <w:rPr>
                <w:sz w:val="20"/>
                <w:szCs w:val="20"/>
                <w:color w:val="auto"/>
              </w:rPr>
            </w:pPr>
            <w:r>
              <w:rPr>
                <w:rFonts w:ascii="Arial" w:cs="Arial" w:eastAsia="Arial" w:hAnsi="Arial"/>
                <w:sz w:val="18"/>
                <w:szCs w:val="18"/>
                <w:color w:val="auto"/>
              </w:rPr>
              <w:t>- 38 -</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06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860" w:type="dxa"/>
            <w:vAlign w:val="bottom"/>
          </w:tcPr>
          <w:p>
            <w:pPr>
              <w:spacing w:after="0"/>
              <w:rPr>
                <w:sz w:val="10"/>
                <w:szCs w:val="10"/>
                <w:color w:val="auto"/>
              </w:rPr>
            </w:pPr>
          </w:p>
        </w:tc>
        <w:tc>
          <w:tcPr>
            <w:tcW w:w="1420" w:type="dxa"/>
            <w:vAlign w:val="bottom"/>
            <w:tcBorders>
              <w:top w:val="single" w:sz="8" w:color="auto"/>
            </w:tcBorders>
            <w:gridSpan w:val="3"/>
          </w:tcPr>
          <w:p>
            <w:pPr>
              <w:jc w:val="center"/>
              <w:ind w:right="308"/>
              <w:spacing w:after="0" w:line="123" w:lineRule="exact"/>
              <w:rPr>
                <w:sz w:val="20"/>
                <w:szCs w:val="20"/>
                <w:color w:val="auto"/>
              </w:rPr>
            </w:pPr>
            <w:r>
              <w:rPr>
                <w:rFonts w:ascii="Arial" w:cs="Arial" w:eastAsia="Arial" w:hAnsi="Arial"/>
                <w:sz w:val="14"/>
                <w:szCs w:val="14"/>
                <w:color w:val="auto"/>
                <w:w w:val="93"/>
              </w:rPr>
              <w:t>Privately issued</w:t>
            </w:r>
          </w:p>
        </w:tc>
        <w:tc>
          <w:tcPr>
            <w:tcW w:w="8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6"/>
              </w:rPr>
              <w:t>Collateralized</w:t>
            </w:r>
          </w:p>
        </w:tc>
        <w:tc>
          <w:tcPr>
            <w:tcW w:w="3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10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debt</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8"/>
              <w:spacing w:after="0"/>
              <w:rPr>
                <w:sz w:val="20"/>
                <w:szCs w:val="20"/>
                <w:color w:val="auto"/>
              </w:rPr>
            </w:pPr>
            <w:r>
              <w:rPr>
                <w:rFonts w:ascii="Arial" w:cs="Arial" w:eastAsia="Arial" w:hAnsi="Arial"/>
                <w:sz w:val="14"/>
                <w:szCs w:val="14"/>
                <w:color w:val="auto"/>
                <w:w w:val="94"/>
              </w:rPr>
              <w:t>securities</w:t>
            </w:r>
          </w:p>
        </w:tc>
        <w:tc>
          <w:tcPr>
            <w:tcW w:w="1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w w:val="95"/>
              </w:rPr>
              <w:t>obligations</w:t>
            </w: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324"/>
        </w:trPr>
        <w:tc>
          <w:tcPr>
            <w:tcW w:w="58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22,383 (a)</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80" w:type="dxa"/>
            <w:vAlign w:val="bottom"/>
          </w:tcPr>
          <w:p>
            <w:pPr>
              <w:spacing w:after="0"/>
              <w:rPr>
                <w:sz w:val="18"/>
                <w:szCs w:val="18"/>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67 (d)</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4,646 (d)</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Transfers in and/or out of Level 3 (b)</w:t>
            </w:r>
          </w:p>
        </w:tc>
        <w:tc>
          <w:tcPr>
            <w:tcW w:w="18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2"/>
              </w:rPr>
              <w:t>(13,735) (c)</w:t>
            </w:r>
          </w:p>
        </w:tc>
        <w:tc>
          <w:tcPr>
            <w:tcW w:w="0" w:type="dxa"/>
            <w:vAlign w:val="bottom"/>
          </w:tcPr>
          <w:p>
            <w:pPr>
              <w:spacing w:after="0"/>
              <w:rPr>
                <w:sz w:val="1"/>
                <w:szCs w:val="1"/>
                <w:color w:val="auto"/>
              </w:rPr>
            </w:pPr>
          </w:p>
        </w:tc>
      </w:tr>
      <w:tr>
        <w:trPr>
          <w:trHeight w:val="115"/>
        </w:trPr>
        <w:tc>
          <w:tcPr>
            <w:tcW w:w="58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w w:val="94"/>
              </w:rPr>
              <w:t>Changes in unrealized gains included in earnings related to assets still held at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March 31, 2014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15,050 (a)</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46" w:lineRule="exact"/>
        <w:rPr>
          <w:rFonts w:ascii="Arial" w:cs="Arial" w:eastAsia="Arial" w:hAnsi="Arial"/>
          <w:sz w:val="16"/>
          <w:szCs w:val="16"/>
          <w:i w:val="1"/>
          <w:iCs w:val="1"/>
          <w:color w:val="auto"/>
        </w:rPr>
      </w:pPr>
    </w:p>
    <w:p>
      <w:pPr>
        <w:ind w:left="460" w:right="80" w:hanging="452"/>
        <w:spacing w:after="0" w:line="250"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280"/>
          </w:cols>
          <w:pgMar w:left="24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80% at March 31, 2015. As these discounts are not readily observable and are considered significant, the valuations have been classified as Level 3. Loans subject to nonrecurring fair value measurement were $101 million at March 31, 2015 ($67 million and $34 million of which were classified as Level 2 and Level 3, respectively), $173 million at December 31, 2014 ($94 million and $79 million of which were classified as Level 2 and Level 3, respectively) and $161 million at March 31, 2014 ($100 million and $61 million of which were classified as Level 2 and Level 3, respectively). Changes in fair value recognized for partial charge-offs of loans and loan impairment reserves on loans held by the Company on March 31, 2015 and 2014 were decreases of $8 million and $15 million for the three-month periods ended March 31, 2015 and 2014,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$11 million at each of March 31, 2015 and March 31, 2014. Changes in fair value recognized for those foreclosed assets held by the Company were not material during the three-month periods ended March 31, 2015 and 2014.</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March 31, 2015 and December 31, 2014:</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3"/>
              </w:rPr>
              <w:t>Fair value at</w:t>
            </w:r>
          </w:p>
        </w:tc>
        <w:tc>
          <w:tcPr>
            <w:tcW w:w="300" w:type="dxa"/>
            <w:vAlign w:val="bottom"/>
          </w:tcPr>
          <w:p>
            <w:pPr>
              <w:spacing w:after="0"/>
              <w:rPr>
                <w:sz w:val="13"/>
                <w:szCs w:val="13"/>
                <w:color w:val="auto"/>
              </w:rPr>
            </w:pPr>
          </w:p>
        </w:tc>
        <w:tc>
          <w:tcPr>
            <w:tcW w:w="140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Valuation</w:t>
            </w:r>
          </w:p>
        </w:tc>
        <w:tc>
          <w:tcPr>
            <w:tcW w:w="164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92"/>
              </w:rPr>
              <w:t>Unobservable</w:t>
            </w:r>
          </w:p>
        </w:tc>
        <w:tc>
          <w:tcPr>
            <w:tcW w:w="1340" w:type="dxa"/>
            <w:vAlign w:val="bottom"/>
          </w:tcPr>
          <w:p>
            <w:pPr>
              <w:jc w:val="center"/>
              <w:spacing w:after="0" w:line="154"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March 31, 2015</w:t>
            </w:r>
          </w:p>
        </w:tc>
        <w:tc>
          <w:tcPr>
            <w:tcW w:w="30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input/assumptions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1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70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Two</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independent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pricing</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quotes</w:t>
            </w: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4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47,278</w:t>
            </w:r>
          </w:p>
        </w:tc>
        <w:tc>
          <w:tcPr>
            <w:tcW w:w="1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of default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12%-57% (45%)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Loss severity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Commitment</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26,230</w:t>
            </w:r>
          </w:p>
        </w:tc>
        <w:tc>
          <w:tcPr>
            <w:tcW w:w="1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expirations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0%-96% (19%)</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Fair value at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December 31,</w:t>
            </w:r>
          </w:p>
        </w:tc>
        <w:tc>
          <w:tcPr>
            <w:tcW w:w="300" w:type="dxa"/>
            <w:vAlign w:val="bottom"/>
          </w:tcPr>
          <w:p>
            <w:pPr>
              <w:spacing w:after="0"/>
              <w:rPr>
                <w:sz w:val="12"/>
                <w:szCs w:val="12"/>
                <w:color w:val="auto"/>
              </w:rPr>
            </w:pPr>
          </w:p>
        </w:tc>
        <w:tc>
          <w:tcPr>
            <w:tcW w:w="14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Valuation</w:t>
            </w: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Unobservable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Arial" w:cs="Arial" w:eastAsia="Arial" w:hAnsi="Arial"/>
                <w:sz w:val="14"/>
                <w:szCs w:val="14"/>
                <w:color w:val="auto"/>
                <w:w w:val="96"/>
              </w:rPr>
              <w:t>2014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input/assumptions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1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70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Two</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independent</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pricing</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700" w:type="dxa"/>
            <w:vAlign w:val="bottom"/>
            <w:gridSpan w:val="3"/>
          </w:tcPr>
          <w:p>
            <w:pPr>
              <w:ind w:left="300"/>
              <w:spacing w:after="0"/>
              <w:rPr>
                <w:sz w:val="20"/>
                <w:szCs w:val="20"/>
                <w:color w:val="auto"/>
              </w:rPr>
            </w:pPr>
            <w:r>
              <w:rPr>
                <w:rFonts w:ascii="Arial" w:cs="Arial" w:eastAsia="Arial" w:hAnsi="Arial"/>
                <w:sz w:val="18"/>
                <w:szCs w:val="18"/>
                <w:color w:val="auto"/>
              </w:rPr>
              <w:t>quotes</w:t>
            </w: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4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Probability</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50,316</w:t>
            </w:r>
          </w:p>
        </w:tc>
        <w:tc>
          <w:tcPr>
            <w:tcW w:w="1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of default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12%-57% (36%)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Loss severity</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Discounted</w:t>
            </w:r>
          </w:p>
        </w:tc>
        <w:tc>
          <w:tcPr>
            <w:tcW w:w="16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Commitment</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17,347</w:t>
            </w:r>
          </w:p>
        </w:tc>
        <w:tc>
          <w:tcPr>
            <w:tcW w:w="1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expirations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0%-96% (17%)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March 31, 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Carrying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Estimated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1,366,853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1,366,853</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1,311,917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54,936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363,085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48,978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314,107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14,393,270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14,444,292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14,162,805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19,775,494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19,484,920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19,484,920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27,845,710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27,746,166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117,366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27,628,800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8,504,119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8,609,248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5,119,739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3,489,509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10,973,719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10,880,895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10,880,895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(921,373)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66,177,669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66,721,229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61,484,124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244,079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(27,181,120)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(27,181,120)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(27,181,120)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(43,288,329)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(43,288,329)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(43,288,329)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(2,946,126)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(2,967,329)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(2,967,329)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(178,545)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(178,545)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(178,545)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(10,509,143)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(10,641,367)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(10,641,367)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(240,168)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(240,168)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(240,168)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26,230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26,230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(112,511)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72,855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20" w:type="dxa"/>
            <w:vAlign w:val="bottom"/>
            <w:gridSpan w:val="3"/>
          </w:tcPr>
          <w:p>
            <w:pPr>
              <w:jc w:val="right"/>
              <w:ind w:right="431"/>
              <w:spacing w:after="0"/>
              <w:rPr>
                <w:sz w:val="20"/>
                <w:szCs w:val="20"/>
                <w:color w:val="auto"/>
              </w:rPr>
            </w:pPr>
            <w:r>
              <w:rPr>
                <w:rFonts w:ascii="Arial" w:cs="Arial" w:eastAsia="Arial" w:hAnsi="Arial"/>
                <w:sz w:val="18"/>
                <w:szCs w:val="18"/>
                <w:color w:val="auto"/>
              </w:rPr>
              <w:t>- 42 -</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2"/>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9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1,373,357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1,373,357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1,296,923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76,434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6,470,867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6,470,867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308,175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308,175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256,759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12,993,542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13,023,956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12,750,396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19,461,292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19,188,574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19,188,574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27,567,569</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27,487,818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307,667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27,180,151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8,657,301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8,729,056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3,539,970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10,982,794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10,909,623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10,909,623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(919,562)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65,749,394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66,315,071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5,496,753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60,818,318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227,348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(26,947,880)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(26,947,880)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(26,947,880)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(43,393,618)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(43,393,618)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(43,393,618)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(3,063,973)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(3,086,126)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(3,086,126)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(176,582)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(176,582)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(9,006,959)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(9,139,789)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(9,139,789)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(203,464)</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(203,464)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(203,464)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17,347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(119,079)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(119,079)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(119,079)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73,251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73,251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real estate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and calculations were used in determining the estimated fair value of financial instruments not measured at fair value in the consolidated financial statements.</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9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2015</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$ 6,219,783</w:t>
            </w:r>
          </w:p>
        </w:tc>
        <w:tc>
          <w:tcPr>
            <w:tcW w:w="1080" w:type="dxa"/>
            <w:vAlign w:val="bottom"/>
          </w:tcPr>
          <w:p>
            <w:pPr>
              <w:jc w:val="right"/>
              <w:spacing w:after="0"/>
              <w:rPr>
                <w:sz w:val="20"/>
                <w:szCs w:val="20"/>
                <w:color w:val="auto"/>
              </w:rPr>
            </w:pPr>
            <w:r>
              <w:rPr>
                <w:rFonts w:ascii="Arial" w:cs="Arial" w:eastAsia="Arial" w:hAnsi="Arial"/>
                <w:sz w:val="18"/>
                <w:szCs w:val="18"/>
                <w:color w:val="auto"/>
              </w:rPr>
              <w:t>6,194,516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346,664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commercial real estate and construction</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5,161,878</w:t>
            </w:r>
          </w:p>
        </w:tc>
        <w:tc>
          <w:tcPr>
            <w:tcW w:w="1080" w:type="dxa"/>
            <w:vAlign w:val="bottom"/>
          </w:tcPr>
          <w:p>
            <w:pPr>
              <w:jc w:val="right"/>
              <w:spacing w:after="0"/>
              <w:rPr>
                <w:sz w:val="20"/>
                <w:szCs w:val="20"/>
                <w:color w:val="auto"/>
              </w:rPr>
            </w:pPr>
            <w:r>
              <w:rPr>
                <w:rFonts w:ascii="Arial" w:cs="Arial" w:eastAsia="Arial" w:hAnsi="Arial"/>
                <w:sz w:val="18"/>
                <w:szCs w:val="18"/>
                <w:color w:val="auto"/>
              </w:rPr>
              <w:t>4,834,699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661,132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581,384</w:t>
            </w:r>
          </w:p>
        </w:tc>
        <w:tc>
          <w:tcPr>
            <w:tcW w:w="1080" w:type="dxa"/>
            <w:vAlign w:val="bottom"/>
          </w:tcPr>
          <w:p>
            <w:pPr>
              <w:jc w:val="right"/>
              <w:spacing w:after="0"/>
              <w:rPr>
                <w:sz w:val="20"/>
                <w:szCs w:val="20"/>
                <w:color w:val="auto"/>
              </w:rPr>
            </w:pPr>
            <w:r>
              <w:rPr>
                <w:rFonts w:ascii="Arial" w:cs="Arial" w:eastAsia="Arial" w:hAnsi="Arial"/>
                <w:sz w:val="18"/>
                <w:szCs w:val="18"/>
                <w:color w:val="auto"/>
              </w:rPr>
              <w:t>524,399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11,493,613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3,648,095</w:t>
            </w:r>
          </w:p>
        </w:tc>
        <w:tc>
          <w:tcPr>
            <w:tcW w:w="1080" w:type="dxa"/>
            <w:vAlign w:val="bottom"/>
          </w:tcPr>
          <w:p>
            <w:pPr>
              <w:jc w:val="right"/>
              <w:spacing w:after="0"/>
              <w:rPr>
                <w:sz w:val="20"/>
                <w:szCs w:val="20"/>
                <w:color w:val="auto"/>
              </w:rPr>
            </w:pPr>
            <w:r>
              <w:rPr>
                <w:rFonts w:ascii="Arial" w:cs="Arial" w:eastAsia="Arial" w:hAnsi="Arial"/>
                <w:sz w:val="18"/>
                <w:szCs w:val="18"/>
                <w:color w:val="auto"/>
              </w:rPr>
              <w:t>3,706,888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42,291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2,535,609</w:t>
            </w:r>
          </w:p>
        </w:tc>
        <w:tc>
          <w:tcPr>
            <w:tcW w:w="1080" w:type="dxa"/>
            <w:vAlign w:val="bottom"/>
          </w:tcPr>
          <w:p>
            <w:pPr>
              <w:jc w:val="right"/>
              <w:spacing w:after="0"/>
              <w:rPr>
                <w:sz w:val="20"/>
                <w:szCs w:val="20"/>
                <w:color w:val="auto"/>
              </w:rPr>
            </w:pPr>
            <w:r>
              <w:rPr>
                <w:rFonts w:ascii="Arial" w:cs="Arial" w:eastAsia="Arial" w:hAnsi="Arial"/>
                <w:sz w:val="18"/>
                <w:szCs w:val="18"/>
                <w:color w:val="auto"/>
              </w:rPr>
              <w:t>2,490,050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1,322,998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$2.4 billion at each of March 31, 2015 and December 31, 2014.</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2015, management believes that any further liability arising out of the Company’s obligation to loan purchasers is not material to the Company’s consolidated financial position.</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further losses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financial information of the Company’s segments was compiled utilizing the accounting policies described in note 22 to the Company’s consolidated financial statements as of and for the year ended December 31, 2014.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Effective January 1, 2015, the Company made certain changes to its methodology for measuring segment profit and loss. Those changes in the measurement of segment profitability were largely the result of updated funds transfer pricing and various cost allocation reviews. The most significant changes to the funds transfer pricing resulted from ascribing a longer duration to non-maturity deposits, which significantly benefitted the Retail Banking segment. The cost allocation review having the largest impact related to a branch cost study. That study consisted of transaction reviews and time studies which resulted in a higher cost allocation from the Retail Banking segment to the Business Banking segment. As a result of the changes, prior period financial information has been restated to provide segment information on a comparable basis, as noted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gridSpan w:val="7"/>
          </w:tcPr>
          <w:p>
            <w:pPr>
              <w:jc w:val="right"/>
              <w:ind w:right="1120"/>
              <w:spacing w:after="0"/>
              <w:rPr>
                <w:sz w:val="20"/>
                <w:szCs w:val="20"/>
                <w:color w:val="auto"/>
              </w:rPr>
            </w:pPr>
            <w:r>
              <w:rPr>
                <w:rFonts w:ascii="Arial" w:cs="Arial" w:eastAsia="Arial" w:hAnsi="Arial"/>
                <w:sz w:val="14"/>
                <w:szCs w:val="14"/>
                <w:color w:val="auto"/>
              </w:rPr>
              <w:t>Three months ended March 31, 2014</w:t>
            </w:r>
          </w:p>
        </w:tc>
      </w:tr>
      <w:tr>
        <w:trPr>
          <w:trHeight w:val="123"/>
        </w:trPr>
        <w:tc>
          <w:tcPr>
            <w:tcW w:w="532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Net income (loss) as</w:t>
            </w:r>
          </w:p>
        </w:tc>
        <w:tc>
          <w:tcPr>
            <w:tcW w:w="3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680"/>
              <w:spacing w:after="0" w:line="123" w:lineRule="exact"/>
              <w:rPr>
                <w:sz w:val="20"/>
                <w:szCs w:val="20"/>
                <w:color w:val="auto"/>
              </w:rPr>
            </w:pPr>
            <w:r>
              <w:rPr>
                <w:rFonts w:ascii="Arial" w:cs="Arial" w:eastAsia="Arial" w:hAnsi="Arial"/>
                <w:sz w:val="14"/>
                <w:szCs w:val="14"/>
                <w:color w:val="auto"/>
              </w:rPr>
              <w:t>Impact of</w:t>
            </w: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3"/>
              </w:rPr>
              <w:t>Net income (loss)</w:t>
            </w:r>
          </w:p>
        </w:tc>
        <w:tc>
          <w:tcPr>
            <w:tcW w:w="100" w:type="dxa"/>
            <w:vAlign w:val="bottom"/>
          </w:tcPr>
          <w:p>
            <w:pPr>
              <w:spacing w:after="0"/>
              <w:rPr>
                <w:sz w:val="10"/>
                <w:szCs w:val="10"/>
                <w:color w:val="auto"/>
              </w:rPr>
            </w:pPr>
          </w:p>
        </w:tc>
      </w:tr>
      <w:tr>
        <w:trPr>
          <w:trHeight w:val="167"/>
        </w:trPr>
        <w:tc>
          <w:tcPr>
            <w:tcW w:w="5320" w:type="dxa"/>
            <w:vAlign w:val="bottom"/>
          </w:tcPr>
          <w:p>
            <w:pPr>
              <w:spacing w:after="0"/>
              <w:rPr>
                <w:sz w:val="14"/>
                <w:szCs w:val="1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4"/>
                <w:szCs w:val="14"/>
                <w:color w:val="auto"/>
                <w:w w:val="94"/>
              </w:rPr>
              <w:t>previously reported</w:t>
            </w:r>
          </w:p>
        </w:tc>
        <w:tc>
          <w:tcPr>
            <w:tcW w:w="38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color w:val="auto"/>
                <w:w w:val="98"/>
              </w:rPr>
              <w:t>changes</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as restated</w:t>
            </w:r>
          </w:p>
        </w:tc>
      </w:tr>
      <w:tr>
        <w:trPr>
          <w:trHeight w:val="176"/>
        </w:trPr>
        <w:tc>
          <w:tcPr>
            <w:tcW w:w="5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(in thousands)</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74"/>
        </w:trPr>
        <w:tc>
          <w:tcPr>
            <w:tcW w:w="5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28,598</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24,973</w:t>
            </w: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Commercial Banking</w:t>
            </w:r>
          </w:p>
        </w:tc>
        <w:tc>
          <w:tcPr>
            <w:tcW w:w="3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99,765</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(924)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98,841</w:t>
            </w:r>
          </w:p>
        </w:tc>
      </w:tr>
      <w:tr>
        <w:trPr>
          <w:trHeight w:val="108"/>
        </w:trPr>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74,561</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(2,009)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72,552</w:t>
            </w: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11,279</w:t>
            </w: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r>
      <w:tr>
        <w:trPr>
          <w:trHeight w:val="108"/>
        </w:trPr>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(831)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18,580</w:t>
            </w: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Retail Banking</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29,711</w:t>
            </w:r>
          </w:p>
        </w:tc>
        <w:tc>
          <w:tcPr>
            <w:tcW w:w="280" w:type="dxa"/>
            <w:vAlign w:val="bottom"/>
          </w:tcPr>
          <w:p>
            <w:pPr>
              <w:spacing w:after="0"/>
              <w:rPr>
                <w:sz w:val="24"/>
                <w:szCs w:val="24"/>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39,323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69,034</w:t>
            </w:r>
          </w:p>
        </w:tc>
      </w:tr>
      <w:tr>
        <w:trPr>
          <w:trHeight w:val="108"/>
        </w:trPr>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(34,308)</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(32,015)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(66,323)</w:t>
            </w:r>
          </w:p>
        </w:tc>
      </w:tr>
      <w:tr>
        <w:trPr>
          <w:trHeight w:val="331"/>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229,017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229,017</w:t>
            </w:r>
          </w:p>
        </w:tc>
        <w:tc>
          <w:tcPr>
            <w:tcW w:w="100" w:type="dxa"/>
            <w:vAlign w:val="bottom"/>
          </w:tcPr>
          <w:p>
            <w:pPr>
              <w:spacing w:after="0"/>
              <w:rPr>
                <w:sz w:val="24"/>
                <w:szCs w:val="24"/>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also described in note 22 to the Company’s 2014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1"/>
              </w:rPr>
              <w:t>Three months ended March 31</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w w:val="96"/>
              </w:rPr>
              <w:t>2015</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Inter-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7"/>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segment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76"/>
              <w:spacing w:after="0" w:line="149" w:lineRule="exact"/>
              <w:rPr>
                <w:sz w:val="20"/>
                <w:szCs w:val="20"/>
                <w:color w:val="auto"/>
              </w:rPr>
            </w:pPr>
            <w:r>
              <w:rPr>
                <w:rFonts w:ascii="Arial" w:cs="Arial" w:eastAsia="Arial" w:hAnsi="Arial"/>
                <w:sz w:val="14"/>
                <w:szCs w:val="14"/>
                <w:color w:val="auto"/>
                <w:w w:val="97"/>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revenues (a)</w:t>
            </w:r>
          </w:p>
        </w:tc>
        <w:tc>
          <w:tcPr>
            <w:tcW w:w="680" w:type="dxa"/>
            <w:vAlign w:val="bottom"/>
            <w:gridSpan w:val="4"/>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76"/>
              <w:spacing w:after="0"/>
              <w:rPr>
                <w:sz w:val="20"/>
                <w:szCs w:val="20"/>
                <w:color w:val="auto"/>
              </w:rPr>
            </w:pPr>
            <w:r>
              <w:rPr>
                <w:rFonts w:ascii="Arial" w:cs="Arial" w:eastAsia="Arial" w:hAnsi="Arial"/>
                <w:sz w:val="14"/>
                <w:szCs w:val="14"/>
                <w:color w:val="auto"/>
                <w:w w:val="93"/>
              </w:rPr>
              <w:t>(loss)</w:t>
            </w:r>
          </w:p>
        </w:tc>
        <w:tc>
          <w:tcPr>
            <w:tcW w:w="14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revenues (a)</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6"/>
          </w:tcPr>
          <w:p>
            <w:pPr>
              <w:jc w:val="right"/>
              <w:ind w:right="5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108,560</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24,811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111,770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324"/>
        </w:trPr>
        <w:tc>
          <w:tcPr>
            <w:tcW w:w="6080" w:type="dxa"/>
            <w:vAlign w:val="bottom"/>
            <w:gridSpan w:val="3"/>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246,581</w:t>
            </w:r>
          </w:p>
        </w:tc>
        <w:tc>
          <w:tcPr>
            <w:tcW w:w="220" w:type="dxa"/>
            <w:vAlign w:val="bottom"/>
          </w:tcPr>
          <w:p>
            <w:pPr>
              <w:spacing w:after="0"/>
              <w:rPr>
                <w:sz w:val="24"/>
                <w:szCs w:val="2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96,423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249,349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80,086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157,323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72,552</w:t>
            </w:r>
          </w:p>
        </w:tc>
        <w:tc>
          <w:tcPr>
            <w:tcW w:w="0" w:type="dxa"/>
            <w:vAlign w:val="bottom"/>
          </w:tcPr>
          <w:p>
            <w:pPr>
              <w:spacing w:after="0"/>
              <w:rPr>
                <w:sz w:val="1"/>
                <w:szCs w:val="1"/>
                <w:color w:val="auto"/>
              </w:rPr>
            </w:pPr>
          </w:p>
        </w:tc>
      </w:tr>
      <w:tr>
        <w:trPr>
          <w:trHeight w:val="324"/>
        </w:trPr>
        <w:tc>
          <w:tcPr>
            <w:tcW w:w="6080" w:type="dxa"/>
            <w:vAlign w:val="bottom"/>
            <w:gridSpan w:val="3"/>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15,474</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(5,443)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24,657</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(5,039)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111,458</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31,965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93,765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324"/>
        </w:trPr>
        <w:tc>
          <w:tcPr>
            <w:tcW w:w="6080" w:type="dxa"/>
            <w:vAlign w:val="bottom"/>
            <w:gridSpan w:val="3"/>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300,391</w:t>
            </w:r>
          </w:p>
        </w:tc>
        <w:tc>
          <w:tcPr>
            <w:tcW w:w="220" w:type="dxa"/>
            <w:vAlign w:val="bottom"/>
          </w:tcPr>
          <w:p>
            <w:pPr>
              <w:spacing w:after="0"/>
              <w:rPr>
                <w:sz w:val="24"/>
                <w:szCs w:val="2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68,888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306,780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69,034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154,007</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132,896</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(66,323)</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1,099,791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jc w:val="right"/>
              <w:ind w:right="1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241,613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1,076,540</w:t>
            </w:r>
          </w:p>
        </w:tc>
        <w:tc>
          <w:tcPr>
            <w:tcW w:w="20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229,017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color w:val="auto"/>
              </w:rPr>
              <w:t>Average total assets</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8"/>
          </w:tcPr>
          <w:p>
            <w:pPr>
              <w:jc w:val="center"/>
              <w:ind w:left="13"/>
              <w:spacing w:after="0" w:line="123" w:lineRule="exact"/>
              <w:rPr>
                <w:sz w:val="20"/>
                <w:szCs w:val="20"/>
                <w:color w:val="auto"/>
              </w:rPr>
            </w:pPr>
            <w:r>
              <w:rPr>
                <w:rFonts w:ascii="Arial" w:cs="Arial" w:eastAsia="Arial" w:hAnsi="Arial"/>
                <w:sz w:val="14"/>
                <w:szCs w:val="14"/>
                <w:color w:val="auto"/>
                <w:w w:val="89"/>
              </w:rPr>
              <w:t>Three months ended</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2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2"/>
              </w:rPr>
              <w:t>December 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5"/>
          </w:tcPr>
          <w:p>
            <w:pPr>
              <w:jc w:val="right"/>
              <w:ind w:right="340"/>
              <w:spacing w:after="0"/>
              <w:rPr>
                <w:sz w:val="20"/>
                <w:szCs w:val="20"/>
                <w:color w:val="auto"/>
              </w:rPr>
            </w:pPr>
            <w:r>
              <w:rPr>
                <w:rFonts w:ascii="Arial" w:cs="Arial" w:eastAsia="Arial" w:hAnsi="Arial"/>
                <w:sz w:val="14"/>
                <w:szCs w:val="14"/>
                <w:color w:val="auto"/>
                <w:w w:val="96"/>
              </w:rPr>
              <w:t>(in millions)</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4"/>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gridSpan w:val="3"/>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3"/>
              </w:rPr>
              <w:t>5,242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23,683</w:t>
            </w:r>
          </w:p>
        </w:tc>
        <w:tc>
          <w:tcPr>
            <w:tcW w:w="1600" w:type="dxa"/>
            <w:vAlign w:val="bottom"/>
            <w:gridSpan w:val="6"/>
          </w:tcPr>
          <w:p>
            <w:pPr>
              <w:jc w:val="right"/>
              <w:ind w:right="520"/>
              <w:spacing w:after="0"/>
              <w:rPr>
                <w:sz w:val="20"/>
                <w:szCs w:val="20"/>
                <w:color w:val="auto"/>
              </w:rPr>
            </w:pPr>
            <w:r>
              <w:rPr>
                <w:rFonts w:ascii="Arial" w:cs="Arial" w:eastAsia="Arial" w:hAnsi="Arial"/>
                <w:sz w:val="18"/>
                <w:szCs w:val="18"/>
                <w:color w:val="auto"/>
              </w:rPr>
              <w:t>22,523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4"/>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18,019</w:t>
            </w:r>
          </w:p>
        </w:tc>
        <w:tc>
          <w:tcPr>
            <w:tcW w:w="160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16,937</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17,113</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22,714</w:t>
            </w:r>
          </w:p>
        </w:tc>
        <w:tc>
          <w:tcPr>
            <w:tcW w:w="1600" w:type="dxa"/>
            <w:vAlign w:val="bottom"/>
            <w:gridSpan w:val="6"/>
          </w:tcPr>
          <w:p>
            <w:pPr>
              <w:jc w:val="right"/>
              <w:ind w:right="520"/>
              <w:spacing w:after="0"/>
              <w:rPr>
                <w:sz w:val="20"/>
                <w:szCs w:val="20"/>
                <w:color w:val="auto"/>
              </w:rPr>
            </w:pPr>
            <w:r>
              <w:rPr>
                <w:rFonts w:ascii="Arial" w:cs="Arial" w:eastAsia="Arial" w:hAnsi="Arial"/>
                <w:sz w:val="18"/>
                <w:szCs w:val="18"/>
                <w:color w:val="auto"/>
              </w:rPr>
              <w:t>18,581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4"/>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3"/>
              </w:rPr>
              <w:t>3,157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10,788</w:t>
            </w:r>
          </w:p>
        </w:tc>
        <w:tc>
          <w:tcPr>
            <w:tcW w:w="1600" w:type="dxa"/>
            <w:vAlign w:val="bottom"/>
            <w:gridSpan w:val="6"/>
          </w:tcPr>
          <w:p>
            <w:pPr>
              <w:jc w:val="right"/>
              <w:ind w:right="520"/>
              <w:spacing w:after="0"/>
              <w:rPr>
                <w:sz w:val="20"/>
                <w:szCs w:val="20"/>
                <w:color w:val="auto"/>
              </w:rPr>
            </w:pPr>
            <w:r>
              <w:rPr>
                <w:rFonts w:ascii="Arial" w:cs="Arial" w:eastAsia="Arial" w:hAnsi="Arial"/>
                <w:sz w:val="18"/>
                <w:szCs w:val="18"/>
                <w:color w:val="auto"/>
              </w:rPr>
              <w:t>10,155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4"/>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11,876</w:t>
            </w:r>
          </w:p>
        </w:tc>
        <w:tc>
          <w:tcPr>
            <w:tcW w:w="5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10,070</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95,892</w:t>
            </w:r>
          </w:p>
        </w:tc>
        <w:tc>
          <w:tcPr>
            <w:tcW w:w="56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86,665</w:t>
            </w:r>
          </w:p>
        </w:tc>
        <w:tc>
          <w:tcPr>
            <w:tcW w:w="5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92,143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140" w:hanging="452"/>
        <w:spacing w:after="0" w:line="312" w:lineRule="auto"/>
        <w:tabs>
          <w:tab w:leader="none" w:pos="46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79" w:lineRule="exact"/>
        <w:rPr>
          <w:rFonts w:ascii="Arial" w:cs="Arial" w:eastAsia="Arial" w:hAnsi="Arial"/>
          <w:sz w:val="16"/>
          <w:szCs w:val="16"/>
          <w:i w:val="1"/>
          <w:iCs w:val="1"/>
          <w:color w:val="auto"/>
        </w:rPr>
      </w:pPr>
    </w:p>
    <w:p>
      <w:pPr>
        <w:ind w:left="5620" w:hanging="101"/>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(e.g. deposits). The taxable-equivalent adjustment aggregated $5,838,000 and $5,945,000 for the three-month periods ended March 31, 2015 and 2014,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$43 million at March 31, 2015.</w:t>
      </w:r>
    </w:p>
    <w:p>
      <w:pPr>
        <w:spacing w:after="0" w:line="1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$4.6 billion and $4.8 billion at March 31, 2015 and December 31, 2014, respectively. Revenues from those servicing rights were $6 million and $7 million during the three-month periods ended March 31, 2015 and 2014, respectively. The Company sub-services residential mortgage loans for Bayview Financial having outstanding principal balances totaling $39.5 billion and $41.3 billion at March 31, 2015 and December 31, 2014, respectively. Revenues earned for sub-servicing loans for Bayview Financial were $35 million and $26 million for the three-month periods ended March 31, 2015 and 2014, respectively. In addition, the Company held $198 million and $202 million of mortgage-backed securities in its held-to-maturity portfolio at March 31, 2015 and December 31, 2014, respectively, that were securitized by Bayview Financial.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Bank Corporation (“M&amp;T”) recorded net income in the first quarter of 2015 of $242 million or $1.65 of diluted earnings per common share, compared with $229 million or $1.61 of diluted earnings per common share in the initial 2014 quarter. During the fourth quarter of 2014, net income totaled $278 million or $1.92 of diluted earnings per common share. Basic earnings per common share were $1.66 in the recent quarter, compared with $1.63 and $1.93 in the first and fourth quarters of 2014, respectively. The annualized rate of return on average total assets for M&amp;T and its consolidated subsidiaries (“the Company”) in the initial 2015 quarter was 1.02%, compared with 1.07% in the year-earlier quarter and 1.12% in the fourth quarter of 2014. The annualized rate of return on average common shareholders’ equity was 7.99% in the first three months of 2015, compared with 8.22% and 9.10% in the first and fourth quarters of 2014, respectively.</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March 12, 2015, M&amp;T announced that the Federal Reserve did not object to M&amp;T’s proposed 2015 Capital Plan. Accordingly, M&amp;T may maintain a quarterly common stock dividend of $.70 per share; pay dividends and interest on other equity and debt instruments included in regulatory capital, including preferred stock, trust preferred securities and subordinated debt that were outstanding at December 31, 2014, consistent with the contractual terms of those instruments; repurchase up to $200 million of common shares during the first half of 2016; and redeem or repurchase up to $310 million of trust preferred securities. Common and preferred dividends are subject to approval by M&amp;T’s Board of Directors in the ordinary course of business. On April 15, 2015, M&amp;T redeemed $310 million of trust preferred securities in accordance with the 2015 Capital Plan.</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$127.00 on March 31, 2015 was $5.5 billion.</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At March 31, 2015, Hudson City reported $36.1 billion of assets, including $20.9 billion of loans (predominantly residential real estate loans) and $8.3 billion of investment securities, and $31.3 billion of liabilities, including $18.9 billion of deposits. The merger has received the approval of the common shareholders of M&amp;T and Hudson City. However, the merger is subject to a number of conditions, including regulatory approvals.</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17, 2013, M&amp;T and M&amp;T Bank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On April 3, 2015, M&amp;T was advised by the Federal Reserve that the Federal Reserve Board intends to act on the M&amp;T and Hudson City merger application no later than September 30, 2015. As a result, M&amp;T and Hudson City extended the date after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which either party may elect to terminate the merger agreement if the merger has not yet been completed from April 30, 2015 to October 31, 2015. Nevertheless, M&amp;T’s pending acquisition of Hudson City still remains subject to regulatory approval, including approval by the Federal Reserve, and certain other closing conditions and, as a result, there can be no assurances that the merger will be completed by that date.</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January 1, 2015, the Company elected to account for its investments in qualified affordable housing projects using the proportional amortization method as allowed by the Financial Accounting Standards Board (“FASB”). Under the proportional amortization method, an entity amortizes the initial cost of the investment in proportion to the tax credits and other tax benefits received and recognizes the net investment performance in the income statement as a component of income tax expense. The adoption is required to be applied retrospectively. As a result, financial statements for periods prior to 2015 have been restated. The adoption did not have a significant effect on the Company’s financial position or results of operations, but the restatement of the consolidated statement of income for the three-month period ended March 31, 2014 resulted in the removal of $12 million of losses associated with qualified affordable housing projects from “other costs of operations” and added the amortization of the initial cost of the investment of a similar amount to income tax expense. The similar restatement for the second, third and fourth quarters of 2014 each reflected approximately $14 million of amortization.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in M&amp;T’s Form 10-K for the year ended December 31, 2014,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Not all of the rules required or expected to be implemented under the Dodd-Frank Act have been proposed or adopted, and certain of the rules that have been proposed or adopted under the Dodd-Frank Act are subject to phase-in or transitional periods. The implications of the Dodd-Frank Act for the Company’s businesses continue to depend to a large extent on the implementation of the legislation by the Federal Reserve and other agencies.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discussion of the provisions of the Dodd-Frank Act is included in Part I, Item 1 of M&amp;T’s Form 10-K for the year ended December 31, 2014.</w:t>
      </w:r>
    </w:p>
    <w:p>
      <w:pPr>
        <w:spacing w:after="0" w:line="2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July 2013, the Federal Reserve, the Office of the Comptroller of the Currency and the Federal Deposit Insurance Corporation approved final rules (the “New Capital Rules”) establishing a new comprehensive capital framework for U.S. banking organizations. These rules went into effect as to M&amp;T on January 1, 2015. The New Capital Rules generally implement the Basel Committee on Banking Supervision’s (the “Basel Committee”) December 2010 final capital framework for strengthening international capital standards (referred to as “Basel III”) and are intended to ensure that banking organizations have adequate capital levels given the risk levels of assets and off-balance sheet obligations. The New Capital Rules substantially revise the risk-based capital requirements applicable to bank holding companies and their depository institution subsidiaries, including M&amp;T and M&amp;T Bank, as compared to the U.S. general risk-based capital rules that were applicable to M&amp;T and M&amp;T Bank through December 31, 2014.</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are includable in Tier 1 capital, and in 2016 and thereafter,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redeemed $350 million of 8.50% junior subordinated debentures associated with the trust preferred capital securities of M&amp;T Capital Trust IV and issued a like amount of 6.45% preferred stock that qualifies as Tier 1 regulatory capital. On April 15, 2015, in accordance with its 2015 Capital Plan M&amp;T redeemed the junior subordinated debentures associated with $310 million of trust preferred securities of M&amp;T Capital Trust I, II and III. A detailed discussion of the New Capital Rules is included in Part I, Item 1 of the Company’s Form 10-K for the year ended December 31, 2014 under the heading “Capital Requirements.” A further discussion of the Company’s regulatory capital ratios is presented herein under the heading “Capital.”</w:t>
      </w:r>
    </w:p>
    <w:p>
      <w:pPr>
        <w:spacing w:after="0" w:line="18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December 10, 2013, the Federal Reserve, the Office of the Comptroller of the Currency, the Federal Deposit Insurance Corporation and the Securities and Exchange Commission adopted the final version of the Volcker Rule, which was mandated under the Dodd-Frank Act. Pursuant to the Volcker Rule, banking entities are generally prohibited from engaging in proprietary trading. Under the rule, the Company was required to be in compliance with the prohibition on proprietary trading and the requirement to develop an extensive compliance program by July 2015; however, in December 2014, the Federal Reserve extended the compliance period to July 2016 for investments in and relationships with covered funds that were in place prior to December 31, 2013. The Federal Reserve has indicated that it intends to further extend the compliance period to July 2017.</w:t>
      </w:r>
    </w:p>
    <w:p>
      <w:pPr>
        <w:spacing w:after="0" w:line="17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material effect on the Company’s financial condition or its results of operations. Nevertheless, the Company may be required to divest certain investments subject to the Volcker Rule.</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September 3, 2014, the Federal Reserve and other banking regulators adopted final rules (“Final LCR Rule”) implementing a U.S. version of the Basel Committee’s Liquidity Coverage Ratio requirement (“LCR”) including the modified version applicable to bank holding companies, such as M&amp;T, with $50 billion in total consolidated assets that are not “advanced approaches” institutions. The LCR is intended to ensure that banks hold a sufficient amount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Once fully phased-in, a subject institution must maintain an LCR equal to at least 100% in order to satisfy this regulatory requirement. Only specific classes of assets, including U.S. Treasury securities, other U.S. government obligations and agency mortgage-backed securities, qualify under the rule as HQLA, with classes of assets deemed relatively less liquid and/or subject to greater degree of credit risk subject to certain haircuts and caps for purposes of calculating the numerator under the Final LCR Rule.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initial compliance date for the modified LCR is January 2016, with the requirement fully phased-in by January 2017. The Company intends to comply with the LCR when it becomes effective. A detailed discussion of the LCR and its requirements is included in Part I, Item 1 of M&amp;T’s Form 10-K for the year ended December 31, 2014 under the heading “Liquidity Ratios under Basel III.”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As a result of business combinations and other acquisitions, the Company had intangible assets consisting of goodwill and core deposit and other intangible assets totaling $3.6 billion at each of March 31, 2015, March 31, 2014 and December 31, 2014. Included in such intangible assets was goodwill of $3.5 billion at each of those dates. Amortization of core deposit and other intangible assets, after tax effect, was $4 million during each of the quarters ended March 31, 2015 and December 31, 2014 ($.03 per diluted common share), compared with $6 million ($.05 per diluted common share) during the first quarter of 2014. There were no merger-related gains or expenses in the first quarters of 2015 and 2014 or in the final quarter of 2014. Although “net operating income” as defined by M&amp;T is not a GAAP measure, M&amp;T’s management believes that this information helps investors understand the effect of acquisition activity in reported results.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operating income aggregated $246 million in the initial quarter of 2015, compared with $235 million in the first quarter of 2014. Diluted net operating earnings per common share for the recent quarter were $1.68, compared with $1.66 in the year-earlier quarter. Net operating income and diluted net operating earnings per common share were $282 million and $1.95, respectively, in the final 2014 quarter.</w:t>
      </w:r>
    </w:p>
    <w:p>
      <w:pPr>
        <w:spacing w:after="0" w:line="18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Net operating income in the first quarter of 2015 expressed as an annualized rate of return on average tangible assets was 1.08%, compared with 1.15% and 1.18% in the first and fourth quarters of 2014, respectively. Net operating income represented an annualized return on average tangible common equity of 11.90% in the recent quarter, compared with 12.76% in the year-earlier quarter and 13.55% in the fourth quarter of 2014.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Taxable-equivalent net interest income was $665 million in the first quarter of 2015, up from $662 million in the year-earlier period. The impact of higher average earning assets, which rose $8.9 billion, or 12%, to $85.2 billion from $76.3 billion in the first quarter of 2014, was largely offset by a 35 basis point (hundredths of one percent) narrowing of the Company’s net interest margin, or taxable-equivalent net interest income expressed as an annualized percentage of average earning assets. The higher level of average earning assets reflected a $4.1 billion rise in average balances of investment securities, a $2.8 billion increase in average loans and leases and a $2.0 billion increase in lower-yielding average interest-bearing deposits at the Federal Reserve Bank of New York. The increase in investment securities resulted from purchases of Ginnie Mae and Fannie Mae mortgage-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backed securities. Taxable-equivalent net interest income in the recent quarter was below the $688 million recorded in the fourth quarter of 2014, reflecting two less days in the recent quarter, lower average balances of interest-bearing deposits at banks and the net impact of actions taken in response to liquidity requirements that take effect in 2016.</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Average loans and leases rose $2.8 billion or 4% to $66.6 billion in the initial 2015 quarter from $63.8 billion in the first quarter of 2014. Commercial loans and leases averaged $19.5 billion in the recent quarter, up $1.0 billion or 5% from $18.5 billion in the year-earlier quarter. Average commercial real estate loans rose $1.5 billion or 6% to $27.6 billion in the first quarter of 2015 from $26.1 billion in the corresponding quarter of 2014. Average residential real estate loans outstanding decreased $272 million to $8.6 billion in the first quarter of 2015 from $8.8 billion in the similar 2014 quarter. Included in that portfolio were loans held for sale, which averaged $387 million in the recent quarter, compared with $329 million in the year-earlier quarter. Average consumer loans and leases totaled $11.0 billion in the initial quarter of 2015, $662 million or 6% higher than $10.3 billion in the first quarter of 2014. The predominant factor for the higher consumer loans was a 41% increase in average automobile loans that is reflective of consumer demand, higher industry sales and generally favorable interest rates.</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Average loan balances in the first quarter of 2015 increased $820 million from the fourth quarter of 2014. Average outstanding commercial loan and lease balances rose $340 million, or 2%, average balances of commercial real estate loans increased $532 million, or 2%, average residential real estate loan balances were down $82 million and average outstanding consumer loans increased $29 million from the final 2014 quarter. The accompanying table summarizes quarterly changes in the major components of the loan and lease portfolio.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4"/>
                <w:szCs w:val="14"/>
                <w:color w:val="auto"/>
              </w:rPr>
              <w:t>Percent increase</w:t>
            </w:r>
          </w:p>
        </w:tc>
      </w:tr>
      <w:tr>
        <w:trPr>
          <w:trHeight w:val="149"/>
        </w:trPr>
        <w:tc>
          <w:tcPr>
            <w:tcW w:w="6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678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1st Qtr.</w:t>
            </w:r>
          </w:p>
        </w:tc>
        <w:tc>
          <w:tcPr>
            <w:tcW w:w="10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87"/>
              </w:rPr>
              <w:t>1st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4th Qtr.</w:t>
            </w:r>
          </w:p>
        </w:tc>
      </w:tr>
      <w:tr>
        <w:trPr>
          <w:trHeight w:val="167"/>
        </w:trPr>
        <w:tc>
          <w:tcPr>
            <w:tcW w:w="6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27,596</w:t>
            </w:r>
          </w:p>
        </w:tc>
        <w:tc>
          <w:tcPr>
            <w:tcW w:w="5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Consumer</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5,704</w:t>
            </w:r>
          </w:p>
        </w:tc>
        <w:tc>
          <w:tcPr>
            <w:tcW w:w="5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780" w:type="dxa"/>
            <w:vAlign w:val="bottom"/>
          </w:tcPr>
          <w:p>
            <w:pPr>
              <w:ind w:left="108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66,587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6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securities portfolio averaged $13.4 billion in the recent quarter, up $4.1 billion or 44% from $9.3 billion in the initial quarter of 2014 and $397 million above the $13.0 billion averaged in the fourth quarter of 2014. The increase from the year-earlier quarter reflects the net effect of purchases, partially offset by maturities and paydowns of mortgage-backed securities. The Company purchased approximately $4.6 billion of Fannie Mae securities and $602 million of Ginnie Mae securities that were added to the investment securities portfolio during 2014, and another $1.4 billion of Fannie Mae securities and $470 million of Ginnie Mae securities were purchased during the first quarter of 2015. Those purchases reflect increased holdings of investment securities to satisfy the requirements of the LCR that will become effective in January 2016.</w:t>
      </w:r>
    </w:p>
    <w:p>
      <w:pPr>
        <w:spacing w:after="0" w:line="17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investment securities portfolio is largely comprised of residential mortgage-backed securities, debt securities issued by municipalities, trust preferred securities issued by certain financial institutions, and shorter-term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 Treasury and federal agency notes. When purchasing investment securities, the Company also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There were no other-than-temporary impairment charges recognized in either of the first quarters of 2015 and 2014 or in the final 2014 quarter. Additional information about the investment securities portfolio is included in notes 3 and 12 of Notes to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earning assets include interest-bearing deposits at the Federal Reserve Bank of New York and other banks, trading account assets, federal funds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sold and agreements to resell securities. Those other earning assets in the aggregate averaged $5.2 billion in the recently completed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$3.3 billion and $9.2 billion in the first and fourth quarters of 2014, respectively. Interest-bearing deposits at banks averaged $5.1 billion, $3.1 billion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$9.1 billion during the three-month periods ended March 31, 2015, March 31, 2014 and December 31, 2014, respectively. The rise in average interest-bearing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deposits at banks in the fourth quarter of 2014 and in the initial 2015 quarter as compared with the first quarter of 2014 was due, in part, to higher Wilmington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Trust-related customer deposits. The amounts of investment securities and other earning assets held by the Company are influenced by such factors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demand for loans, which generally yield more than investment securities and other earning assets, ongoing repayments, the levels of deposits,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of liquidity and balance sheet size and resulting capital ratios.</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the changes described herein, average earning assets totaled $85.2 billion in the first quarter of 2015, compared with $76.3 billion in the year-earlier quarter and $88.0 billion in the fourth quarter of 2014.</w:t>
      </w:r>
    </w:p>
    <w:p>
      <w:pPr>
        <w:spacing w:after="0" w:line="1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$70.1 billion in the first quarter of 2015, compared with $65.6 billion in the year-earlier quarter and $73.8 billion in the fourth quarter of 2014. The growth in core deposits since the first quarter of 2014 was due, in part, to higher deposits of trust customers and the lack of attractive alternative investments available to the Company’s customers resulting from lower interest rates and from the economic environment in the U.S. The decline in average core deposits as compared with the fourth quarter of 2014 reflects lower deposits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jc w:val="right"/>
              <w:ind w:right="520"/>
              <w:spacing w:after="0"/>
              <w:rPr>
                <w:sz w:val="20"/>
                <w:szCs w:val="20"/>
                <w:color w:val="auto"/>
              </w:rPr>
            </w:pPr>
            <w:r>
              <w:rPr>
                <w:rFonts w:ascii="Arial" w:cs="Arial" w:eastAsia="Arial" w:hAnsi="Arial"/>
                <w:sz w:val="14"/>
                <w:szCs w:val="14"/>
                <w:color w:val="auto"/>
              </w:rPr>
              <w:t>Percent increase</w:t>
            </w:r>
          </w:p>
        </w:tc>
      </w:tr>
      <w:tr>
        <w:trPr>
          <w:trHeight w:val="149"/>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674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1st Qtr.</w:t>
            </w: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87"/>
              </w:rPr>
              <w:t>1st Qtr.</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4th Qtr.</w:t>
            </w:r>
          </w:p>
        </w:tc>
      </w:tr>
      <w:tr>
        <w:trPr>
          <w:trHeight w:val="167"/>
        </w:trPr>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40,561</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25,811</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70,143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additional funding sources, including branch-related time deposits over $250,000, deposits associated with the Company’s Cayman Islands office, and brokered deposits. Time deposits over $250,000 averaged $347 million in the recent quarter, compared with $371 million and $354 million in the first and fourth quarters of 2014, respectively. Cayman Islands office deposits averaged $224 million, $380 million and $265 million for the three-month periods ended March 31, 2015, March 31, 2014 and December 31, 2014, respectively. The Company had brokered NOW and brokered money-market deposit accounts, which in the aggregate averaged approximately $1.0 billion in each of the first quarters of 2015 and 2014 and $1.1 billion in the fourth quarter of 2014.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Average short-term borrowings totaled $196 million in the first quarter of 2015, compared with $264 million in the year-earlier quarter and $195 million in the final quarter of 2014. Such borrowings were largely comprised of unsecured federal funds borrowings, which generally mature on the next business day.</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Long-term borrowings averaged $9.8 billion in the recent quarter, compared with $5.9 billion in the year-earlier quarter and $9.0 billion in the fourth quarter of 2014. During 2013, M&amp;T Bank initiated a Bank Note Program whereby M&amp;T Bank may offer unsecured senior and subordinated notes. Average balances of the unsecured senior notes issued under that program were $4.9 billion, $1.8 billion and $4.0 billion during the three-month periods ended March 31, 2015, March 31, 2014 and December 31, 2014, respectively. During February 2015, M&amp;T Bank issued $1.5 billion of senior notes of which $750 million mature in 2020 and $750 million mature in 2025. The proceeds of the issuances of borrowings under the Bank Note Program have been predominantly utilized to purchase high-quality liquid assets that will meet the requirements of the LCR. Also included in average long-term borrowings were amounts borrowed from the Federal Home Loan Banks of New York, Atlanta and Pittsburgh of $1.2 billion in each of the initial 2015 quarter and fourth quarter of 2014 and $29 million in the first quarter of 2014. During the second quarter of 2014, M&amp;T Bank borrowed approximately $1.1 billion from the Federal Home Loan Bank (“FHLB”) of New York. Those borrowings were split between three-year and five-year terms at fixed rates of interest. Subordinated capital notes included in long-term borrowings averaged $1.5 billion during the two most recent quarters and $1.6 billion in the initial 2014 quarter. On November 1, 2014, M&amp;T Bank redeemed $50 million of 9.50% subordinated notes that were due to mature in 2018. Junior subordinated debentures associated with trust preferred securities that were included in average long-term borrowings were $835 million in each of the first quarter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of 2015 and the final 2014 quarter and $1.1 billion in the first quarter of 2014. M&amp;T redeemed $350 million of 8.50% junior subordinated debentures associated with trust preferred securities in the first quarter of 2014. In addition, in accordance with its 2015 Capital Plan M&amp;T redeemed on April 15, 2015 the junior subordinated debentures associated with the $310 million of trust preferred securities of M&amp;T Capital Trusts I, II and III. Those borrowings had a weighted-average interest rate of 8.24%. Further information regarding junior subordinated debentures is provided in note 5 of Notes to Financial Statements. Also included in long-term borrowings were agreements to repurchase securities, which averaged $1.4 billion during each of the first quarters of 2015 and 2014 and the fourth quarter of 2014. The agreements have various repurchase dates through 2017, however, the contractual maturities of the underlying securities extend beyond such repurchase dates. The Company has utilized interest rate swap agreements to modify the repricing characteristics of certain components of long-term debt. As of March 31, 2015, interest rate swap agreements were used to hedge approximately $1.4 billion of fixed rate long-term borrowings. Further information on interest rate swap agreements is provided in note 10 of Notes to Financial Statements.</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2.97% in the recent quarter and 3.32% in the first quarter of 2014. The yield on earning assets during the initial 2015 quarter was 3.54%, down 33 basis points from 3.87% in the year-earlier quarter, while the rate paid on interest-bearing liabilities increased 2 basis points to .57% from ..55%. In the fourth quarter of 2014, the net interest spread was 2.92%, the yield on earning assets was 3.44% and the rate paid on interest-bearing liabilities was .52%. The narrowing of the net interest spread in the recent quarter as compared with the first quarter of 2014 reflects higher average balances of investment securities and interest-bearing deposits held at the Federal Reserve Bank of New York that have substantially lower yields than loans. The 5 basis point improvement in the net interest spread as compared with the final 2014 quarter was largely due to the lower average balances of interest-bearing deposits held at the Federal Reserve Bank of New York, partially offset by higher average balances of investment securities and long-term borrowings and the impact of accelerated accretion of premiums on mortgage-backed securities due to higher than originally expected prepayments.</w:t>
      </w:r>
    </w:p>
    <w:p>
      <w:pPr>
        <w:spacing w:after="0" w:line="169" w:lineRule="exact"/>
        <w:rPr>
          <w:sz w:val="20"/>
          <w:szCs w:val="20"/>
          <w:color w:val="auto"/>
        </w:rPr>
      </w:pPr>
    </w:p>
    <w:p>
      <w:pPr>
        <w:ind w:right="220" w:firstLine="456"/>
        <w:spacing w:after="0" w:line="269" w:lineRule="auto"/>
        <w:rPr>
          <w:sz w:val="20"/>
          <w:szCs w:val="20"/>
          <w:color w:val="auto"/>
        </w:rPr>
      </w:pPr>
      <w:r>
        <w:rPr>
          <w:rFonts w:ascii="Arial" w:cs="Arial" w:eastAsia="Arial" w:hAnsi="Arial"/>
          <w:sz w:val="17"/>
          <w:szCs w:val="17"/>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$29.3 billion in the first quarter of 2015, compared with $26.9 billion and $31.4 billion in the first and fourth quarters of 2014, respectively. The increases in average net interest-free funds in the two most recent quarters as compared with the first quarter of 2014 were predominantly the result of higher average balances of noninterest-bearing deposits. Such deposits averaged $25.8 billion in the recent quarter, compared with $24.1 billion and $28.1 billion in the first and fourth quarters of 2014, respectively. The decline in average noninterest-bearing deposits from the fourth quarter of 2014 to the initial 2015 quarter was largely due to a decline in trust-related customer deposits. Goodwill and core deposit and other intangible assets averaged $3.6 billion during each of the quarters ended March 31, 2015, March 31, 2014 and December 31, 2014. The cash surrender value of bank owned life insurance averaged $1.7 billion in each of the three-month periods ended March 31, 2015, March 31, 2014 and December 31, 2014. Increases in the cash surrender value of bank owned life insurance and benefits received are not included in interest income, but rather are recorded in “other revenues from operations.” The contribution of net interest-free funds to net interest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margin was .20% in each of the first quarters of 2015 and 2014, compared with .18% in the fourth quarter of 2014.</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Reflecting the changes to the net interest spread and the contribution of net interest-free funds as described herein, the Company’s net interest margin was 3.17% in the first three months of 2015, compared with 3.52% in the year-earlier period and 3.10% in the fourth quarter of 2014.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March 31,</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2015, March 31, 2014 and December 31, 2014.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balance sheet with the corresponding gain or loss recognized in current earnings. The difference between changes in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interest rate swap agreements and the hedged items represents hedge ineffectiveness and is recorded in “other revenues from operations”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consolidated statement of income. The amounts of hedge ineffectiveness recognized during the quarters ended March 31, 2015, March 31, 2014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December 31, 2014 were not material to the Company’s results of operations. The estimated aggregate fair value of interest rate swap agreements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designated as fair value hedges represented gains of approximately $73 million at each of March 31, 2015 and December 31, 2014 and $95 million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fair values of such interest rate swap agreements were substantially offset by changes in the fair values of the hedged items. The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fair values of the interest rate swap agreements and the hedged items primarily result from the effects of changing interest rates and spreads.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credit exposure as of March 31, 2015 with respect to the estimated fair value of interest rate swap agreements used for managing interest rate risk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been substantially mitigated through master netting arrangements with trading account interest rate contracts with the same counterparty as well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counterparty postings of $49 million of collateral with the Company.</w:t>
      </w:r>
    </w:p>
    <w:p>
      <w:pPr>
        <w:spacing w:after="0" w:line="21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1.22%, respectively, at March 31, 2015.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color w:val="auto"/>
                <w:w w:val="94"/>
              </w:rPr>
              <w:t>Three months ended 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(11,292)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19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28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Weighted-average rate paid or received on interest rate swap agreements in effect during the period.</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Federal Reserve Board’s risk-based capital guidelines for inclusion in the Company’s capital. However, pursuant to the Dodd-Frank Act, junior subordinated debentures associated with trust preferred securities are being phased-out of the definition of Tier 1 capital. Effective January 1, 2015, 75% of such junior subordinated debentures are excluded from the Company’s Tier 1 capital, and beginning January 1, 2016, 100% will be excluded. The amounts excluded from Tier 1 capital are includable in total capital.</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$155 million at March 31, 2015, $180 million at March 31, 2014 and $135 million at December 31, 2014. In general, those borrowings were unsecured and matured on the next business day. In addition to satisfying customer demand, Cayman Islands office deposits may be used by the Company as an alternative to short-term borrowings. Cayman Islands office deposits totaled $179 million, $248 million and $177 million at March 31, 2015, March 31, 2014 and December 31, 2014, respectively. The Company has brokered NOW and brokered money-market deposit accounts which aggregated approximately $1.1 billion at each of March 31, 2015 and December 31, 2014, compared with $1.0 billion at March 31, 2014. Brokered time deposits were not a significant source of funding as of those dates.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$11 million and $4 million at March 31, 2015 and 2014, respectively, while there were no outstanding VRDBs in the Company’s trading account at December 31, 2014. The total amount of VRDBs outstanding backed by M&amp;T Bank letters of credit was $1.9 billion at March 31, 2015, compared with $1.7 billion at March 31, 2014 and $2.0 billion at December 31, 2014. M&amp;T Bank also serves as remarketing agent for most of those bonds.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March 31, 2015 approximately $1.2 billion was available for payment of dividends to M&amp;T from banking subsidiaries. Information regarding the long-term debt obligations of M&amp;T is included in note 5 of Notes to Financial Statements.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finalized rules requiring a banking company to maintain a minimum amount of liquid assets to withstand a standardized supervisory liquidity stress scenario. The effective date for those rules for the Company is January 1, 2016, subject to a two year phase-in period. The Company has taken steps as noted herein to enhance its liquidity and will take further action, as necessary, to comply with the final regulations when they take effect.</w:t>
      </w:r>
    </w:p>
    <w:p>
      <w:pPr>
        <w:spacing w:after="0" w:line="18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3"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accompanying table as of March 31, 2015 and December 31, 2014 displays the estimated impact on net interest income from non-trading financial instruments in the base scenario described above resulting from parallel changes in interest rates across repricing categories during the first modeling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940" w:type="dxa"/>
            <w:vAlign w:val="bottom"/>
            <w:gridSpan w:val="5"/>
          </w:tcPr>
          <w:p>
            <w:pPr>
              <w:jc w:val="right"/>
              <w:ind w:right="6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320" w:type="dxa"/>
            <w:vAlign w:val="bottom"/>
          </w:tcPr>
          <w:p>
            <w:pPr>
              <w:spacing w:after="0"/>
              <w:rPr>
                <w:sz w:val="14"/>
                <w:szCs w:val="14"/>
                <w:color w:val="auto"/>
              </w:rPr>
            </w:pPr>
          </w:p>
        </w:tc>
        <w:tc>
          <w:tcPr>
            <w:tcW w:w="2940" w:type="dxa"/>
            <w:vAlign w:val="bottom"/>
            <w:gridSpan w:val="5"/>
          </w:tcPr>
          <w:p>
            <w:pPr>
              <w:jc w:val="right"/>
              <w:ind w:right="62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60" w:type="dxa"/>
            <w:vAlign w:val="bottom"/>
            <w:gridSpan w:val="3"/>
          </w:tcPr>
          <w:p>
            <w:pPr>
              <w:jc w:val="right"/>
              <w:ind w:right="420"/>
              <w:spacing w:after="0"/>
              <w:rPr>
                <w:sz w:val="20"/>
                <w:szCs w:val="20"/>
                <w:color w:val="auto"/>
              </w:rPr>
            </w:pPr>
            <w:r>
              <w:rPr>
                <w:rFonts w:ascii="Arial" w:cs="Arial" w:eastAsia="Arial" w:hAnsi="Arial"/>
                <w:sz w:val="14"/>
                <w:szCs w:val="14"/>
                <w:color w:val="auto"/>
              </w:rPr>
              <w:t>March 31, 2015</w:t>
            </w:r>
          </w:p>
        </w:tc>
        <w:tc>
          <w:tcPr>
            <w:tcW w:w="160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234,291</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129,404</w:t>
            </w: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134,393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(54,132)</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(74,634)</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660" w:type="dxa"/>
            <w:vAlign w:val="bottom"/>
            <w:gridSpan w:val="3"/>
          </w:tcPr>
          <w:p>
            <w:pPr>
              <w:jc w:val="right"/>
              <w:ind w:right="360"/>
              <w:spacing w:after="0"/>
              <w:rPr>
                <w:sz w:val="20"/>
                <w:szCs w:val="20"/>
                <w:color w:val="auto"/>
              </w:rPr>
            </w:pPr>
            <w:r>
              <w:rPr>
                <w:rFonts w:ascii="Arial" w:cs="Arial" w:eastAsia="Arial" w:hAnsi="Arial"/>
                <w:sz w:val="18"/>
                <w:szCs w:val="18"/>
                <w:color w:val="auto"/>
              </w:rPr>
              <w:t>(89,402)</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(109,261)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73"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such securities is presented herein under the heading “Capital” and in notes 3 and 12 of Notes to Financial Statements.</w:t>
      </w:r>
    </w:p>
    <w:p>
      <w:pPr>
        <w:spacing w:after="0" w:line="166" w:lineRule="exact"/>
        <w:rPr>
          <w:sz w:val="20"/>
          <w:szCs w:val="20"/>
          <w:color w:val="auto"/>
        </w:rPr>
      </w:pPr>
    </w:p>
    <w:p>
      <w:pPr>
        <w:ind w:right="320" w:firstLine="456"/>
        <w:spacing w:after="0" w:line="253" w:lineRule="auto"/>
        <w:rPr>
          <w:sz w:val="20"/>
          <w:szCs w:val="20"/>
          <w:color w:val="auto"/>
        </w:rPr>
      </w:pPr>
      <w:r>
        <w:rPr>
          <w:rFonts w:ascii="Arial" w:cs="Arial" w:eastAsia="Arial" w:hAnsi="Arial"/>
          <w:sz w:val="18"/>
          <w:szCs w:val="18"/>
          <w:color w:val="auto"/>
        </w:rPr>
        <w:t>The Company engages in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positions associated with interest rate contracts and foreign currency and other option and futures contracts are presented in note 10 of Notes to Financial Statements. The amounts of gross and net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9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notional amounts of interest rate contracts entered into for trading account purposes aggregated $17.1 billion at each of March 31, 2015 and 2014 and $17.6 billion at December 31, 2014. The notional amounts of foreign currency and other option and futures contracts entered into for trading account purposes totaled $1.4 billion at March 31, 2015, compared with $1.0 billion and $1.3 billion at March 31 and December 31, 2014, respectively.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were $363 million and $240 million, respectively, at March 31, 2015, $315 million and $216 million, respectively, at March 31, 2014, and $308 million and $203 million, respectively, at December 31, 2014. Included in trading account assets were assets related to deferred compensation plans totaling $25 million at March 31, 2015, compared with $26 million at March 31, 2014 and $27 million at December 31, 2014. Changes in the fair value of such assets are recorded as “trading account and foreign exchange gains” in the consolidated statement of income. Included in “other liabilities” in the consolidated balance sheet at March 31, 2015 were $29 million of liabilities related to deferred compensation plans, compared with $30 million at each of March 31 and December 31, 2014. Changes in the balances of such liabilities due to the valuation of allocated investment options to which the liabilities are indexed are recorded in “other costs of operations” in the consolidated statement of income.</w:t>
      </w:r>
    </w:p>
    <w:p>
      <w:pPr>
        <w:spacing w:after="0" w:line="18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previously noted, the Company is exposed to credit risk associated with counterparties to transactions associated with the Company’s trading activities. Additional information about the Company’s use of derivative financial instruments in its trading account activities is included in note 10 of Notes to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2015 was $38 million, compared with $32 million in the year-earlier quarter and $33 million in the fourth quarter of 2014. Net loan charge-offs were $36 million in the recent quarter, compared with $32 million in each of the first and fourth quarters of 2014. Net charge-offs as an annualized percentage of average loans and leases were .22% in the initial 2015 quarter, compared with .20% in the first quarter of 2014 and .19% in the final 2014 quarter. A summary of net charge-offs by loan type is presented in the table that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First Quarter</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w w:val="91"/>
              </w:rPr>
              <w:t>First Quarter</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Fourth Quarter</w:t>
            </w:r>
          </w:p>
        </w:tc>
      </w:tr>
      <w:tr>
        <w:trPr>
          <w:trHeight w:val="167"/>
        </w:trPr>
        <w:tc>
          <w:tcPr>
            <w:tcW w:w="5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5,822</w:t>
            </w:r>
          </w:p>
        </w:tc>
        <w:tc>
          <w:tcPr>
            <w:tcW w:w="5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19,555</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16,651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18,858</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31,908</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32,071</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Included in net charge-offs of consumer loans and leases were net charge-offs during the quarters ended March 31, 2015, March 31, 2014 and December 31, 2014, respectively, of: automobile loans of $4 million in each respective period; recreational vehicle loans of $3 million, $4 million and $3 million; and home equity loans and lines of credit, including Alt-A second lien loans, of $6 million, $4 million and $4 million. Alt-A loans represent loans secured by residential real estate that at origination typically included some form of limited borrower documentation requirements as compared with more traditional loans. Loans in the Company’s Alt-A portfolio were originated by the Company prior to 2008.</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$2.4 billion, $3.7 billion and $2.6 billion at March 31, 2015,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March 31, 2014 and December 31, 2014, respectively. The portion of the nonaccretable balance related to remaining principal losses as well as life-to-date principal losses charged against the nonaccretable balance as of March 31, 2015 and December 31, 2014 are presented in the accompanying table.</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w w:val="94"/>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right"/>
              <w:ind w:right="920"/>
              <w:spacing w:after="0" w:line="142" w:lineRule="exact"/>
              <w:rPr>
                <w:sz w:val="20"/>
                <w:szCs w:val="20"/>
                <w:color w:val="auto"/>
              </w:rPr>
            </w:pPr>
            <w:r>
              <w:rPr>
                <w:rFonts w:ascii="Arial" w:cs="Arial" w:eastAsia="Arial" w:hAnsi="Arial"/>
                <w:sz w:val="14"/>
                <w:szCs w:val="14"/>
                <w:color w:val="auto"/>
              </w:rPr>
              <w:t>Remaining balance</w:t>
            </w:r>
          </w:p>
        </w:tc>
        <w:tc>
          <w:tcPr>
            <w:tcW w:w="192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160" w:type="dxa"/>
            <w:vAlign w:val="bottom"/>
            <w:tcBorders>
              <w:top w:val="single" w:sz="8" w:color="auto"/>
            </w:tcBorders>
            <w:gridSpan w:val="3"/>
          </w:tcPr>
          <w:p>
            <w:pPr>
              <w:ind w:left="40"/>
              <w:spacing w:after="0" w:line="123" w:lineRule="exact"/>
              <w:rPr>
                <w:sz w:val="20"/>
                <w:szCs w:val="20"/>
                <w:color w:val="auto"/>
              </w:rPr>
            </w:pPr>
            <w:r>
              <w:rPr>
                <w:rFonts w:ascii="Arial" w:cs="Arial" w:eastAsia="Arial" w:hAnsi="Arial"/>
                <w:sz w:val="14"/>
                <w:szCs w:val="14"/>
                <w:color w:val="auto"/>
              </w:rPr>
              <w:t>March 31,</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23" w:lineRule="exact"/>
              <w:rPr>
                <w:sz w:val="20"/>
                <w:szCs w:val="20"/>
                <w:color w:val="auto"/>
              </w:rPr>
            </w:pPr>
            <w:r>
              <w:rPr>
                <w:rFonts w:ascii="Arial" w:cs="Arial" w:eastAsia="Arial" w:hAnsi="Arial"/>
                <w:sz w:val="14"/>
                <w:szCs w:val="14"/>
                <w:color w:val="auto"/>
                <w:w w:val="96"/>
              </w:rPr>
              <w:t>March 31,</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0" w:type="dxa"/>
            <w:vAlign w:val="bottom"/>
            <w:gridSpan w:val="4"/>
          </w:tcPr>
          <w:p>
            <w:pPr>
              <w:jc w:val="right"/>
              <w:ind w:right="980"/>
              <w:spacing w:after="0"/>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0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19,961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19,589</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75,451</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70,261</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271,490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15,104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15,958</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27,701</w:t>
            </w:r>
          </w:p>
        </w:tc>
        <w:tc>
          <w:tcPr>
            <w:tcW w:w="4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29,582</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79,700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138,217</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135,390</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489,655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Nonaccrual loans totaled $791 million or 1.18% of total loans and leases outstanding at March 31, 2015, compared with $891 million or 1.39% a year earlier and $799 million or 1.20% at December 31, 2014. The declines in nonaccrual loans at the two most recent quarter-ends as compared with March 31, 2014 were largely due to lower commercial loans and commercial real estate loans in nonaccrual status.</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Accruing loans past due 90 days or more (excluding acquired loans) were $237 million or .35% of total loans and leases at March 31, 2015, compared with $307 million or .48% at March 31, 2014 and $245 million or .37% at December 31, 2014. Those loans included loans guaranteed by government-related entities of $194 million, $291 million and $218 million at March 31, 2015, March 31, 2014 and December 31, 2014,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$178 million, $251 million and $196 million at March 31, 2015, March 31, 2014 and December 31, 2014, respectively. The remaining accruing loans past due 90 days or more not guaranteed by government-related entities were loans considered to be with creditworthy borrowers that were in the process of collection or renewal. Acquired accruing loans past due 90 days or more are loans that could not be specifically identified as impaired as of the acquisition date, but were recorded at estimated fair value as of such date. Such loans totaled $80 million at March 31, 2015, compared with $121 million at March 31, 2014 and $110 million at December 31,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$184 million at March 31, 2015, or approximately .3% of total loans. Purchased impaired loans totaled $303 million and $198 million at March 31 and December 31, 2014, respectively. The decline in such loans from March 31, 2014 was predominantly the result of payments received from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$153 million, $224 million and $149 million at March 31, 2015, March 31, 2014 and December 31, 2014, respectively.</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Nonaccrual commercial loans and leases aggregated $195 million at March 31, 2015, $138 million at March 31, 2014 and $177 million at December 31, 2014. The increases in such loans since March 31, 2014 were not concentrated in any particular industry group. Commercial real estate loans classified as nonaccrual totaled $232 million at March 31, 2015, $291 million at March 31, 2014 and $239 million at December 31, 2014. The decreases in such loans at the two most recent quarter-ends as compared with March 31, 2014 was due, in part, to improving economic conditions and reflected lower loans in nonaccrual status to residential builders and developers. Loans to residential builders and developers in nonaccrual status aggregated $65 million and $90 million at March 31, 2015 and 2014, respectively, and $72 million at December 31, 2014. Information about the location of nonaccrual and charged-off loans to residential real estate builders and developers as of and for the three-month period ended March 31, 2015 is presented in the accompanying table.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tcPr>
          <w:p>
            <w:pPr>
              <w:jc w:val="right"/>
              <w:ind w:right="1460"/>
              <w:spacing w:after="0"/>
              <w:rPr>
                <w:sz w:val="20"/>
                <w:szCs w:val="20"/>
                <w:color w:val="auto"/>
              </w:rPr>
            </w:pPr>
            <w:r>
              <w:rPr>
                <w:rFonts w:ascii="Arial" w:cs="Arial" w:eastAsia="Arial" w:hAnsi="Arial"/>
                <w:sz w:val="14"/>
                <w:szCs w:val="14"/>
                <w:color w:val="auto"/>
                <w:w w:val="98"/>
              </w:rPr>
              <w:t>March 31, 2015</w:t>
            </w:r>
          </w:p>
        </w:tc>
        <w:tc>
          <w:tcPr>
            <w:tcW w:w="180" w:type="dxa"/>
            <w:vAlign w:val="bottom"/>
          </w:tcPr>
          <w:p>
            <w:pPr>
              <w:spacing w:after="0"/>
              <w:rPr>
                <w:sz w:val="14"/>
                <w:szCs w:val="14"/>
                <w:color w:val="auto"/>
              </w:rPr>
            </w:pPr>
          </w:p>
        </w:tc>
        <w:tc>
          <w:tcPr>
            <w:tcW w:w="1620" w:type="dxa"/>
            <w:vAlign w:val="bottom"/>
            <w:gridSpan w:val="4"/>
          </w:tcPr>
          <w:p>
            <w:pPr>
              <w:jc w:val="center"/>
              <w:ind w:right="380"/>
              <w:spacing w:after="0"/>
              <w:rPr>
                <w:sz w:val="20"/>
                <w:szCs w:val="20"/>
                <w:color w:val="auto"/>
              </w:rPr>
            </w:pPr>
            <w:r>
              <w:rPr>
                <w:rFonts w:ascii="Arial" w:cs="Arial" w:eastAsia="Arial" w:hAnsi="Arial"/>
                <w:sz w:val="14"/>
                <w:szCs w:val="14"/>
                <w:color w:val="auto"/>
                <w:w w:val="94"/>
              </w:rPr>
              <w:t>March 31,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99"/>
              <w:spacing w:after="0" w:line="123" w:lineRule="exact"/>
              <w:rPr>
                <w:sz w:val="20"/>
                <w:szCs w:val="20"/>
                <w:color w:val="auto"/>
              </w:rPr>
            </w:pPr>
            <w:r>
              <w:rPr>
                <w:rFonts w:ascii="Arial" w:cs="Arial" w:eastAsia="Arial" w:hAnsi="Arial"/>
                <w:sz w:val="14"/>
                <w:szCs w:val="14"/>
                <w:color w:val="auto"/>
                <w:w w:val="91"/>
              </w:rPr>
              <w:t>Net charge-offs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980"/>
              <w:spacing w:after="0"/>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4"/>
                <w:szCs w:val="14"/>
                <w:color w:val="auto"/>
              </w:rPr>
            </w:pPr>
          </w:p>
        </w:tc>
        <w:tc>
          <w:tcPr>
            <w:tcW w:w="1620" w:type="dxa"/>
            <w:vAlign w:val="bottom"/>
            <w:gridSpan w:val="4"/>
          </w:tcPr>
          <w:p>
            <w:pPr>
              <w:jc w:val="center"/>
              <w:ind w:right="38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Percent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outstanding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color w:val="auto"/>
              </w:rPr>
              <w:t>balances (a)</w:t>
            </w:r>
          </w:p>
        </w:tc>
        <w:tc>
          <w:tcPr>
            <w:tcW w:w="3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w w:val="97"/>
              </w:rPr>
              <w:t>Balances</w:t>
            </w:r>
          </w:p>
        </w:tc>
        <w:tc>
          <w:tcPr>
            <w:tcW w:w="3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balances</w:t>
            </w:r>
          </w:p>
        </w:tc>
        <w:tc>
          <w:tcPr>
            <w:tcW w:w="920" w:type="dxa"/>
            <w:vAlign w:val="bottom"/>
            <w:gridSpan w:val="3"/>
          </w:tcPr>
          <w:p>
            <w:pPr>
              <w:spacing w:after="0"/>
              <w:rPr>
                <w:sz w:val="20"/>
                <w:szCs w:val="20"/>
                <w:color w:val="auto"/>
              </w:rPr>
            </w:pPr>
            <w:r>
              <w:rPr>
                <w:rFonts w:ascii="Arial" w:cs="Arial" w:eastAsia="Arial" w:hAnsi="Arial"/>
                <w:sz w:val="14"/>
                <w:szCs w:val="14"/>
                <w:color w:val="auto"/>
              </w:rPr>
              <w:t>Balances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2"/>
              </w:rPr>
              <w:t>(dollars in thousands)</w:t>
            </w: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6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751,974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8,571</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Pennsylvania</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137,105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36,538</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26.65</w:t>
            </w:r>
          </w:p>
        </w:tc>
        <w:tc>
          <w:tcPr>
            <w:tcW w:w="1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21,909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365,634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1,655,647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68,522</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$24 million of loans not secured by real estate, of which approximately $3 million are in nonaccrual status.</w:t>
      </w:r>
    </w:p>
    <w:p>
      <w:pPr>
        <w:spacing w:after="0" w:line="157"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Residential real estate loans in nonaccrual status at March 31, 2015 were $246 million, compared with $338 million at March 31, 2014 and $258 million at December 31, 2014. The decrease in residential real estate loans classified as nonaccrual from March 31, 2014 was largely related to the payoff during the second quarter of 2014 of $64 million of loans to one customer that were secured by residential real estate. Included in residential real estate loans classified as nonaccrual were Alt-A loans of $74 million, $79 million and $78 million at March 31, 2015, March 31, 2014 and December 31, 2014, respectively. Residential real estate loans past due 90 days or more and accruing interest (excluding acquired loans) totaled $197 million at March 31, 2015, compared with $285 million a year earlier and $216 million at December 31, 2014. A substantial portion of such amounts related to guaranteed loans repurchased from government-related entities. Information about the location of nonaccrual and charged-off residential real estate loans as of and for the quarter ended March 31, 2015 is presented in the accompanying table.</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Nonaccrual consumer loans aggregated $118 million at March 31, 2015, compared with $124 million at March 31, 2014 and $125 million at December 31, 2014. Included in nonaccrual consumer loans at March 31, 2015, March 31, 2014 and December 31, 2014 were: automobile loans of $14 million, $16 million and $18 million, respectively; recreational vehicle loans of $9 million, $11 million and $11 million, respectively; and outstanding balances of home equity loans and lines of credit, including junior lien Alt-A loans, of $88 million, $83 million and $89 million, respectively. Information about the location of nonaccrual and charged-off home equity loans and lines of credit as of and for the quarter ended March 31, 2015 is presented in the accompanying table.</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color w:val="auto"/>
              </w:rPr>
              <w:t>March 31, 2015</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4"/>
              </w:rPr>
              <w:t>March 31, 2015</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balances</w:t>
            </w:r>
          </w:p>
        </w:tc>
        <w:tc>
          <w:tcPr>
            <w:tcW w:w="28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3,456,314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63,978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757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1,106,917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19,210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2,026,129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30,854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705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1,557,014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8,146,374</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169,774</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1,698</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30,177</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1,722</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55,606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18,263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9,670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327,568</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74,270</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366</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388</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1,648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72,624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848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145,236</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5,778</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1,358,769</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15,112</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463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3,959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3,093,228</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26,508</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4,590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59,825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1,510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98,877</w:t>
            </w:r>
          </w:p>
        </w:tc>
        <w:tc>
          <w:tcPr>
            <w:tcW w:w="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7,954</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940,262</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30,449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1,179,393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10,267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1,816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2,574,829</w:t>
            </w: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47,006</w:t>
            </w:r>
          </w:p>
        </w:tc>
        <w:tc>
          <w:tcPr>
            <w:tcW w:w="38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4,409</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vMerge w:val="restart"/>
          </w:tcPr>
          <w:p>
            <w:pPr>
              <w:jc w:val="right"/>
              <w:ind w:right="130"/>
              <w:spacing w:after="0"/>
              <w:rPr>
                <w:sz w:val="20"/>
                <w:szCs w:val="20"/>
                <w:color w:val="auto"/>
              </w:rPr>
            </w:pPr>
            <w:r>
              <w:rPr>
                <w:rFonts w:ascii="Arial" w:cs="Arial" w:eastAsia="Arial" w:hAnsi="Arial"/>
                <w:sz w:val="18"/>
                <w:szCs w:val="18"/>
                <w:color w:val="auto"/>
              </w:rPr>
              <w:t>- 67 -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Real estate and other foreclosed assets totaled $63 million and $59 million at March 31, 2015 and March 31, 2014, and $64 million at December 31, 2014. At March 31, 2015, foreclosed assets included $42 million of residential real estate properties.</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279"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color w:val="auto"/>
              </w:rPr>
              <w:t>2014 Quarters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First Quarter</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Fourth</w:t>
            </w: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Third</w:t>
            </w:r>
          </w:p>
        </w:tc>
        <w:tc>
          <w:tcPr>
            <w:tcW w:w="860" w:type="dxa"/>
            <w:vAlign w:val="bottom"/>
            <w:gridSpan w:val="2"/>
          </w:tcPr>
          <w:p>
            <w:pPr>
              <w:ind w:left="120"/>
              <w:spacing w:after="0"/>
              <w:rPr>
                <w:sz w:val="20"/>
                <w:szCs w:val="20"/>
                <w:color w:val="auto"/>
              </w:rPr>
            </w:pPr>
            <w:r>
              <w:rPr>
                <w:rFonts w:ascii="Arial" w:cs="Arial" w:eastAsia="Arial" w:hAnsi="Arial"/>
                <w:sz w:val="14"/>
                <w:szCs w:val="14"/>
                <w:color w:val="auto"/>
              </w:rPr>
              <w:t>Second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790,586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799,151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847,784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880,134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890,893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62,578</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67,629</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853,164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862,786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915,413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939,927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950,300</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 (a)</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236,621</w:t>
            </w:r>
          </w:p>
        </w:tc>
        <w:tc>
          <w:tcPr>
            <w:tcW w:w="3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245,020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312,990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289,016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307,017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700"/>
              <w:spacing w:after="0"/>
              <w:rPr>
                <w:sz w:val="20"/>
                <w:szCs w:val="20"/>
                <w:color w:val="auto"/>
              </w:rPr>
            </w:pPr>
            <w:r>
              <w:rPr>
                <w:rFonts w:ascii="Arial" w:cs="Arial" w:eastAsia="Arial" w:hAnsi="Arial"/>
                <w:sz w:val="18"/>
                <w:szCs w:val="18"/>
                <w:color w:val="auto"/>
              </w:rPr>
              <w:t>Nonaccrual loans</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60,508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69,095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68,586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81,817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Accruing loans past due 90 days or more</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193,618</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217,822</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265,333</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275,846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291,418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198,911</w:t>
            </w:r>
          </w:p>
        </w:tc>
        <w:tc>
          <w:tcPr>
            <w:tcW w:w="3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202,633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209,099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270,223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257,889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 (b)</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110,367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132,147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134,580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120,996</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 (c):</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335,079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369,080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429,915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504,584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534,331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184,018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197,737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236,662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282,517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303,388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r>
      <w:tr>
        <w:trPr>
          <w:trHeight w:val="202"/>
        </w:trPr>
        <w:tc>
          <w:tcPr>
            <w:tcW w:w="6280" w:type="dxa"/>
            <w:vAlign w:val="bottom"/>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 estate and other</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02"/>
        </w:trPr>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Accruing loans past due 90 days or more (a) to total loans and leases, net of</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6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Management cautiously and conservatively evaluated the allowance for credit losses as of March 31, 2015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financial and credit markets, including the impact international economic conditions could have on the U.S. economy; Federal Reserve positioning of monetary policy; low levels of workforce participation; and continued stagnant population growth in the upstate New York and central Pennsylvania regions (approximately 60% of the Company’s loans are to customers in New York State and Pennsylvania).</w:t>
      </w:r>
    </w:p>
    <w:p>
      <w:pPr>
        <w:spacing w:after="0" w:line="19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$2.0 billion at March 31, 2015, compared with $1.8 billion at each of March 31, 2014 and December 31, 2014. The increase since December 31, 2014 included approximately $129 million related to commercial loans to customers operating in varied industries.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March 31, 2015, approximately 55% of the Company’s home equity portfolio consisted of first lien loans and lines of credit. Of the remaining junior lien loans in the portfolio, approximately 73%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March 31, 2015, the balance of junior lien loans and lines that were in nonaccrual status solely as a result of first lien loan performance was $22 million, compared with $30 million at March 31, 2014 and $24 million at December 31, 2014.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amortization period of up to twenty years. At March 31, 2015, approximately 92% of all outstanding balances of home equity lines of credit related to lines that were still in the draw period, the weighted-average remaining draw periods were approximately five years, and approximately 22% were making contractually allowed payments that do not include repayment of principal.</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 Company’s process for determining the allowance for credit losses is included in note 4 of Notes to Financial Statements.</w:t>
      </w:r>
    </w:p>
    <w:p>
      <w:pPr>
        <w:spacing w:after="0" w:line="2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March 31, 2015 appropriately reflected credit losses inherent in the portfolio as of that date. The allowance for credit losses was $921 million, or 1.37% of total loans and leases at March 31, 2015, compared with $917 million or 1.43% at March 31, 2014 and $920 million or 1.38% at December 31, 2014. The ratio of the allowance to total loans and leases at each respective date reflects the impact of loans obtained in acquisition transactions subsequent to 2008 that had been recorded at estimated fair value based on estimated future cash flows expected to be received on those loans. Those cash flows include the impact of expected defaults on customer repayment performance. As noted earlier, GAAP prohibits any carry-over of an allowance for credit losses for acquired loans recorded at fair value.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was 117% at March 31, 2015, compared with 103% a year earlier and 115% at December 31, 2014.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totaled $440 million in the first quarter of 2015, compared with $420 million in the year-earlier quarter and $452 million in the fourth quarter of 2014. The predominant factor contributing to the improvement from the first quarter of 2014 was a $22 million increase in mortgage banking revenues. As compared with the fourth quarter of 2014, the decline in other income reflected a decrease in loan syndication fees and declines in service charges on deposit accounts and trust income, partially offset by higher mortgage banking revenues.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Mortgage banking revenues totaled $102 million in the recent quarter, compared with $80 million in the initial quarter of 2014 and $94 million in the final 2014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$79 million in the first quarter of 2015, compared with $65 million in the year-earlier quarter and $71 million in the fourth quarter of 2014. The improvement in residential mortgage banking revenues from each of the first and fourth quarters of 2014 to the recent quarter reflects an increase in commitments to originate loans for sale. The higher volumes in the recent quarter largely resulted from increased refinancing activity by consumers due to a decline in interest rates early in the quarter.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New commitments to originate residential real estate loans to be sold were approximately $936 million in 2015’s initial quarter, compared with $728 million in the year-earlier quarter and $735 million in the final quarter of 2014. Realized gains from sales of residential real estate loans and loan servicing rights (net of the impact of costs associated with obligations to repurchase real estate loans originated for sale) and recognized net unrealized gains and losses attributable to residential real estate loans held for sale, commitments to originate loans for sale and commitments to sell loans totaled to gains of $21 million in the first quarter of 2015, compared with gains of $15 million and $14 million in the first and fourth quarters of 2014, respectively.</w:t>
      </w:r>
    </w:p>
    <w:p>
      <w:pPr>
        <w:spacing w:after="0" w:line="15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each of the first quarter of 2015 and the final quarter of 2014 were reduced by $1 million related to the actual or anticipated settlement of repurchase obligations. Similar reductions in the initial 2014 quarter were less than $1 million.</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Loans held for sale that were secured by residential real estate totaled $423 million and $292 million at March 31, 2015 and 2014, respectively, and $435 million at December 31, 2014. Commitments to sell residential real estate loans and commitments to originate residential real estate loans for sale at pre-determined rates were $859 million and $661 million, respectively, at March 31, 2015, compared with $655 million and $522 million at March 31, 2014, and $717 million and $432 million, respectively, at December 31, 2014. Net recognized unrealized gains on residential real estate loans held for sale, commitments to sell loans, and commitments to originate loans for sale were $21 million and $17 million at March 31, 2015 and March 31, 2014, respectively, and $19 million at December 31, 2014. Changes in such net unrealized gains and losses are recorded in mortgage banking revenues and resulted in a net increase in revenue of $2 million in the most recent quarter, compared with net decreases in revenue of $2 million in each of the first and fourth quarters of 2014.</w:t>
      </w:r>
    </w:p>
    <w:p>
      <w:pPr>
        <w:spacing w:after="0" w:line="19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Revenues from servicing residential real estate loans for others were $58 million in the recent quarter, compared with $50 million and $56 million during the quarters ended March 31, 2014 and December 31, 2014, respectively. Residential real estate loans serviced for others totaled $65.0 billion at March 31, 2015, $73.0 billion at March 31, 2014 and $67.2 billion at December 31, 2014. Reflected in residential real estate loans serviced for others were loans sub-serviced for others of $40.4 billion, $47.4 billion and $42.1 billion at March 31, 2015, March 31, 2014 and December 31, 2014, respectively. Revenues earned for sub-servicing loans were $35 million in the first quarter of 2015, $26 million in the year-earlier quarter and $33 million in the fourth quarter of 2014. The contractual servicing rights associated with loans sub-serviced by the Company were predominantly held by affiliates of Bayview Lending Group LLC (“BLG”).</w:t>
      </w:r>
    </w:p>
    <w:p>
      <w:pPr>
        <w:spacing w:after="0" w:line="189"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Capitalized servicing rights consist largely of servicing associated with loans sold by the Company. Capitalized residential mortgage loan servicing assets totaled $111 million at each of March 31, 2015 and December 31, 2014, compared with $123 million at March 31, 2014.</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mortgage banking revenues were $23 million in each of the two most recent quarters, compared with $15 million in the first quarter of</w:t>
      </w:r>
    </w:p>
    <w:p>
      <w:pPr>
        <w:spacing w:after="0" w:line="4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2014. Included in such amounts were revenues from loan origination and sales activities of $13 million in each of the first quarter of 2015 and fourth quarter of 2014, compared with $7 million in the first quarter of 2014. Commercial real estate loans originated for sale to other investors totaled approximately $455 million in the first quarter of 2015, compared with $136 million and $570 million in the first and fourth quarters of 2014, respectively. Loan servicing revenues were $10 million in each of the two most recent quarters, compared with $8 million in the initial quarter of 2014. Capitalized commercial mortgage servicing assets aggregated $74 million at March 31, 2015, $71 million at March 31, 2014 and $73 million at December 31, 2014. Commercial real estate loans serviced for other investors totaled $11.4 billion, $11.2 billion and $11.3 billion at March 31, 2015, March 31, 2014 and December 31, 2014, respectively, and included $2.4 billion, $2.3 billion and $2.4 billion, respectively, of loan balances for which investors had recourse to the Company if such balances are ultimately uncollectible. Commitments to sell commercial real estate loans and commitments to originate commercial real estate loans for sale were $464 million and $347 million, respectively, at March 31, 2015, $190 million and $152 million, respectively, at March 31, 2014 and $520 million and $212 million, respectively, at December 31, 2014. Commercial real estate loans held for sale at March 31, 2015, March 31, 2014 and December 31, 2014 were $117 million, $38 million, and $308 million, respectively.</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Service charges on deposit accounts totaled $102 million in the first quarter of 2015, compared with $104 million in the year-earlier quarter and $106 million in the final 2014 quarter. The recent quarter’s decline as compared with the earlier periods was largely due to lower consumer deposit service fees.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Trust income includes fees related to two significant businesses. The Institutional Client Services (“ICS”) business provides a variety of trustee, agency,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investment management and administrative services for corporations and institutions, investment bankers, corporate tax, finance and legal executives,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institutional clients who: (i) use capital markets financing structures; (ii) use independent trustees to hold retirement plan and other assets; and (iii)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and cash management services. The Wealth Advisory Services (“WAS”) business helps high net worth clients grow their wealth, protect 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 it to their heirs. A comprehensive array of wealth management services are offered, including asset management, fiduciary services and family office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Revenues associated with the ICS business were approximately $61 million, $57 million and $63 million during the quarters ended March 31,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2015, March 31, 2014 and December 31, 2014, respectively. In the first quarter of 2015, the Company announced that it had agreed to sell the trade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processing business within the retirement services division of ICS that was acquired with Wilmington Trust. That divestiture occurred on April 10, 2015.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the business that was ultimately sold in April generated revenues of approximately $34 million in 2014 and $9 million during the first quarter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2015. After considering related expenses, including the portion of those revenues paid to sub-advisors, net income attributable to the business that was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not material to the consolidated results of operations of the Company. Revenues attributable to WAS were approximately $56 million and $53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three-month periods ended March 31, 2015 and 2014, respectively, and $55 million for the three-month period ended December 31, 2014. In total,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aggregated $124 million in the recent quarter, compared with $121 million and $128 million in the first and fourth quarters of 2014,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trust assets, which include assets under management and assets under administration, aggregated $293.4 billion at March 31, 2015,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$270.5 billion and $287.9 billion at March 31, 2014 and December 31, 2014, respectively. Trust assets under management were $69.4 billion, $65.9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$68.2 billion at March 31, 2015, March 31, 2014 and December 31, 2014, respectively. The Company’s proprietary mutual funds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had assets of $12.8 billion, $13.0 billion and $13.3 billion at March 31, 2015, March 31, 2014 and December 31, 2014, respectively.</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Brokerage services income, which includes revenues from the sale of mutual funds and annuities and securities brokerage fees, totaled $15 million in the recent quarter, compared with $17 million in the year-earlier quarter and $16 million in the fourth quarter of 2014. Gains from trading account and foreign exchange activity totaled $6 million during the initial quarters of 2015 and 2014, compared with $8 million in the final 2014 quarter.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M&amp;T’s share of the operating losses of BLG was $4 million in each of the first quarter of 2015, the year-earlier quarter and the fourth quarter of 2014. The operating losses of BLG in the respective quarters reflect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6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Other revenues from operations totaled $95 million in the first quarter of 2015, compared with $96 million in the year-earlier quarter and $103 million in the fourth quarter of 2014. The recent quarter’s decline as compared with the final 2014 quarter was largely attributable to lower fees for providing loan syndication, underwriting and advisory services. Included in other revenues from operations were the following significant components. Letter of credit and other credit-related fees totaled $26 million in the recent quarter, compared with $32 million in the first quarter of 2014 and $33 million in the fourth quarter of 2014. Tax-exempt income from bank owned life insurance, which includes increases in the cash surrender value of life insurance policies and benefits received, totaled $11 million during the recent quarter, compared with $12 million in the initial quarter of 2014 and $13 million in the final quarter of 2014. Revenues from merchant discount and credit card fees were $24 million in the quarter ended March 31, 2015, compared with $22 million and $26 million in the quarters ended March 31, 2014 and December 31, 2014, respectively. Insurance-related sales commissions and other revenues totaled $11 million in the initial quarter of 2015, compared with $12 million in the year-earlier quarter and $9 million in the fourth quarter of 2014. Other miscellaneous revenues and the changes in such revenues from period-to-period were not individually significant.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Effective January 1, 2015, M&amp;T adopted amended guidance from the FASB for accounting for investments in qualified affordable housing projects under which the initial cost of such investments is amortized to income tax expense in proportion to the tax benefit received. The adoption of this accounting guidance did not have a significant effect on the Company’s financial position or results of operations, but did result in the restatement of the consolidated financial statements for 2014 and earlier years to remove net costs associated with qualified affordable housing projects from other expense and include the amortization of the investments in income tax expense. As a result, the amortization included in income tax expense was $10 million and $12 million in the first quarters of 2015 and 2014, respectively. Similarly, losses removed from other costs of operations and amortization amounts now included in income tax expense were $14 million in each of the second, third and fourth quarters of 2014.</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Reflecting the application of the new accounting guidance, other expense totaled $686 million in the first quarter of 2015, compared with $690 million in the year-earlier quarter and $666 million in the final quarter of 2014. Included in those amounts are expenses considered by management to be “nonoperating” in nature consisting of amortization of core deposit and other intangible assets of $7 million in each of the two most recent quarters and $10 million in the first quarter of 2014. There were no merger-related expenses during those respective quarters. Exclusive of these nonoperating expenses, noninterest operating expenses totaled $680 million in each of the first quarters of 2015 and 2014 and $659 million in the fourth quarter of 2014. Operating expenses in the recent quarter as compared with the year-earlier period reflected lower costs for professional services, FDIC assessments and equipment and net occupancy expenses that were offset by higher salaries and employee benefits expenses. The rise in noninterest operating expenses from the fourth quarter of 2014 was largely due to seasonally higher stock-based compensation and employee benefits expenses offset, in part, by lower professional services costs. Table 2 provides a reconciliation of other expense to noninterest operating expense.</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Salaries and employee benefits expense totaled $390 million in 2015’s initial quarter, compared with $371 million in the year-earlier quarter and $345 million in the fourth quarter of 2014. As compared with the year-earlier period, the recent quarter reflects the impact of annual merit increases for employees, higher incentive compensation costs and higher pension expense. The increase in pension expense is predominantly attributable to an increase in the amortization of unrecognized actuarial losses. Cumulative unrecognized actuarial losses increased from $191 million at December 31, 2013 to $512 million at December 31, 2014 due predominantly to a 75 basis point reduction in the discount rate and revised mortality tables released in 2014 by the Society of Actuaries used to determine the pension benefit obligation. In accordance with GAAP, net unrecognized gains or losses that exceed ten percent of the greater of the projected benefit obligation or the market-related value of plan assets are required to be amortized over the expected service period of active employees, and are included as a component of net pension cost. In addition to higher pension expense and merit increases, seasonally higher stock-based compensation, unemployment insurance, payroll-related taxes and the Company’s contributions for retirement savings plan benefits related to annual incentive compensation payments also contributed to the rise in salaries and employee benefits expense in the recent quarter as compared with the fourth quarter of 2014.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2015 and 2014 included $14 million and $16 million, respectively, that would have been recognized over the normal vesting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not for the accelerated expense recognition provisions of GAAP. That acceleration had no effect on the value of stock-based compensation awarded to employees. Salaries and employee benefits expense included stock-based compensation of $28 million and $30 million in the quarters ended March 31, 2015 and March 31, 2014, respectively, and $12 million in the quarter ended December 31, 2014. The number of full-time equivalent employees was 15,263 at March 31, 2015, compared with 15,316 and 15,312 at March 31, 2014 and December 31, 2014, respectively.</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$290 million and $309 million in the quarters ended March 31, 2015 and March 31, 2014, respectively, and $314 million in the fourth quarter of 2014. The decrease in such expenses in the recent quarter as compared with the year-earlier quarter and the final quarter of 2014 reflected a lower level of professional services costs. Professional services costs include legal expenses, which were elevated in the fourth quarter of 2014. Other professional services costs were lower in the initial quarter of 2015 as certain projects were either completed or reached significant milestones. Professional services costs related to BSA/AML compliance, capital planning and stress testing, risk management and other operational initiatives were elevated throughout 2014. As compared with the first quarter of 2014, in addition to the decline in professional services costs, lower FDIC assessments and equipment and net occupancy expenses also contributed to the decrease in nonpersonnel operating expenses in the initial 2015 quarter. The efficiency ratio measures the relationship of noninterest operating expenses to revenues. The Company’s efficiency ratio was 61.5% in the first quarter of 2015, compared with 62.8% in the year-earlier period and 57.8% in the fourth quarter of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provision for income taxes for the first quarter of 2015 was $134 million, compared with $125 million in the year-earlier quarter and $157 million in the fourth quarter of 2014. The effective tax rates were 35.6%, 35.4% and 36.1% for the quarters ended March 31, 2015, March 31, 2014 and December 31, 2014, respectively. As noted earlier, effective January 1, 2015 M&amp;T adopted amended guidance from the FASB for accounting for investments in qualified affordable housing projects, which resulted in the restatement of the consolidated financial statements for 2014 and earlier years. The adoption of the guidance resulted in higher effective tax rates than existed prior to such adoption.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equity was $12.5 billion at March 31, 2015, representing 12.73% of total assets, compared with $11.9 billion or 13.43% at March 31, 2014 and $12.3 billion or 12.76% at December 31, 2014.</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Included in shareholders’ equity was preferred stock with a financial statement carrying value of $1.2 billion at each of March 31, 2015, March 31, 2014 and December 31, 2014. Further information concerning M&amp;T’s preferred stock can be found in note 6 of Notes to Financial Statements.</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Common shareholders’ equity aggregated $11.3 billion, or $84.95 per share, at March 31, 2015, compared with $10.7 billion, or $81.05 per share, at March 31, 2014 and $11.1 billion, or $83.88 per share, at December 31, 2014. Tangible equity per common share, which excludes goodwill and core deposit and other intangible assets and applicable deferred tax balances, was $58.29 at March 31, 2015, $53.92 at March 31, 2014 and $57.06 at December 31, 2014. The Company’s ratio of tangible common equity to tangible assets was 8.17% at March 31, 2015, compared with 8.34% a year earlier and 8.11% at December 31, 2014. Reconciliations of total common shareholders’ equity and tangible common equity and total assets and tangible assets as of each of those respective dates are presented in table 2.</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$153 million, or $1.15 per common share, at March 31, 2015, compared with net unrealized gains of $72 million, or $.55 per common share, at March 31, 2014 and $127 million, or $.96 per common share, at December 31, 2014. Information about unrealized gains and losses as of March 31, 2015 and December 31, 2014 is included in note 3 of Notes to Financial Statements.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Reflected in net unrealized gains at March 31, 2015 were pre-tax effect unrealized losses of $30 million on available-for-sale investment securities with an amortized cost of $1.7 billion and pre-tax effect unrealized gains of $308 million on securities with an amortized cost of $8.7 billion. The pre-tax effect unrealized losses reflect $19 million of losses on trust preferred securities issued by financial institutions having an amortized cost of $124 million and an estimated fair value of $105 million (generally considered Level 2 valuations). Further information concerning the Company’s valuations of available-for-sale investment securities is provided in note 12 of Notes to Financial Statements.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2015 and December 31, 2014, the Company had in its held-to-maturity portfolio privately issued mortgage-backed securities with an amortized cost basis of $198 million and $202 million, respectively, and a fair value of $162 million and $158 million, respectively. At March 31, 2015, 87% of the mortgage-backed securities were in the most senior tranche of the securitization structure with 28% being independently rated as investment grade. The mortgage-backed securities are generally collateralized by residential and small-balance commercial real estate loans originated between 2004 and 2008 and had a weighted-average credit enhancement of 16% at March 31, 2015,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March 31, 2015.</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weighted-average default percentage and loss severity assumptions utilized in the Company’s internal modeling were 33% and 74%, respectively. The Company has concluded that as of March 31, 2015, its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As of March 31, 2015,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It is likely that the Company will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$25 million and $30 million, respectively, at March 31, 2015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$301 million, or $2.26 per common share, at March 31, 2015, $306 million, or $2.31 per common share, at December 31, 2014, and $97 million, or $.74 per common share, at March 31, 2014. The increase in such adjustment at March 31, 2015 and December 31, 2014 as compared with March 31, 2014 was the result of two main factors: a 75 basis point decrease in the discount rate used to measure the benefit obligations of the defined benefit plans and the use of updated mortality tables for the U.S. published in 2014 by the Society of Actuaries.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dividends declared on M&amp;T’s common stock during the quarter ended March 31, 2015 totaled $94 million, compared with $92 million and $93 million in the quarters ended March 31 and December 31, 2014, respectively, and represented a quarterly dividend payment of $.70 per common share in each of those three quarters.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Cash dividends declared on preferred stock are detailed in the table that follows. There were no cash dividends declared in the first quarter of 2014 on the Series E Preferred Stock issued in February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 Quarter</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1"/>
              </w:rPr>
              <w:t>First Quarter</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Fourth Quarter</w:t>
            </w:r>
          </w:p>
        </w:tc>
      </w:tr>
      <w:tr>
        <w:trPr>
          <w:trHeight w:val="167"/>
        </w:trPr>
        <w:tc>
          <w:tcPr>
            <w:tcW w:w="33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Series C</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2,414</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2,414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8,594</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Series E</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5,644</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5,644</w:t>
            </w:r>
          </w:p>
        </w:tc>
      </w:tr>
      <w:tr>
        <w:trPr>
          <w:trHeight w:val="27"/>
        </w:trPr>
        <w:tc>
          <w:tcPr>
            <w:tcW w:w="3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14,674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20,318</w:t>
            </w:r>
          </w:p>
        </w:tc>
      </w:tr>
      <w:tr>
        <w:trPr>
          <w:trHeight w:val="20"/>
        </w:trPr>
        <w:tc>
          <w:tcPr>
            <w:tcW w:w="3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2014 or the first quarter of 2015.</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M&amp;T and its subsidiary banks are required to comply with applicable capital adequacy standards established by the federal banking agencies. In July 2013, the Federal Reserve Board, the OCC and the FDIC approved New Capital Rules establishing a new comprehensive capital framework for U.S. banking organizations. These rules went into effect as to M&amp;T and its subsidiary banks on January 1, 2015, subject to phase-in periods for certain components and other provisions.</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New Capital Rules substantially revise the risk-based capital requirements applicable to bank holding companies and their depository institution subsidiaries, including M&amp;T and its subsidiaries, M&amp;T Bank and Wilmington Trust, N.A., as compared to the U.S. general risk-based capital rules that were applicable to the Company through December 31, 2014.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In addition, the New Capital Rules implement certain provisions of the Dodd-Frank Act, including the requirements of Section 939A to remove references to credit ratings from the federal agencies’ rules.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 (iv) expand the scope of the deductions from and adjustments to capital as compared to the previous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New Capital Rules, the minimum capital ratios as of January 1, 2015 are as follows:</w:t>
      </w:r>
    </w:p>
    <w:p>
      <w:pPr>
        <w:spacing w:after="0" w:line="13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4.0% Tier 1 capital to average consolidated assets as reported on consolidated financial statements (known as the “leverage ratio”).</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New Capital Rules, non-advanced approaches banking organizations, including M&amp;T, may make a one-time permanent election to exclude the effects of certain accumulated other comprehensive income or loss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items reflected in shareholders’ equity under U.S. GAAP. M&amp;T made that election during the first quarter of 2015. 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became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A detailed discussion of the new regulatory capital rules is included in Part I, Item 1 of Form 10-K for the year ended December 31, 2014.</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March 31, 2015 are presented in the accompanying table.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4"/>
                <w:szCs w:val="14"/>
                <w:color w:val="auto"/>
              </w:rPr>
              <w:t>M&amp;T</w:t>
            </w:r>
          </w:p>
        </w:tc>
        <w:tc>
          <w:tcPr>
            <w:tcW w:w="1140" w:type="dxa"/>
            <w:vAlign w:val="bottom"/>
            <w:gridSpan w:val="2"/>
          </w:tcPr>
          <w:p>
            <w:pPr>
              <w:jc w:val="right"/>
              <w:ind w:right="74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(Consolidated)</w:t>
            </w:r>
          </w:p>
        </w:tc>
        <w:tc>
          <w:tcPr>
            <w:tcW w:w="1140" w:type="dxa"/>
            <w:vAlign w:val="bottom"/>
            <w:gridSpan w:val="2"/>
          </w:tcPr>
          <w:p>
            <w:pPr>
              <w:jc w:val="right"/>
              <w:ind w:right="76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9.78%</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Tier 1 capital</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11.68%</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12.88%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10.17%</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12, 2015, M&amp;T announced that the Federal Reserve did not object to M&amp;T’s proposed 2015 Capital Plan. Accordingly, M&amp;T may maintain a quarterly common stock dividend of $.70 per share; continue to pay dividends and interest on other equity and debt instruments included in regulatory capital, including preferred stock, trust preferred securities and subordinated debt that were outstanding at December 31, 2014, consistent with the contractual terms of those instruments; repurchase up to $200 million of common shares during the first half of 2016; and redeem or repurchase up to $310 million of trust preferred securities. Common and preferred dividends are subject to approval by M&amp;T’s Board of Directors in the ordinary course of business. As noted earlier, M&amp;T redeemed $310 million of trust preferred securities on April 15,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During 2015, certain methodology changes were made and, accordingly, the financial information for the Company’s reportable segments for 2014 have been restated to conform with the methods and assumptions used in 2015. As described in note 14 of Notes to Financial Statements, the methodology changes were largely the result of updated funds transfer pricing and various cost allocations. Additionally, the segment financial data also reflect the Company’s adoption of amended guidance for accounting for investments in qualified affordable housing projects.</w:t>
      </w:r>
    </w:p>
    <w:p>
      <w:pPr>
        <w:spacing w:after="0" w:line="17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Business Banking segment earned $25 million in each of the first quarters of 2015 and 2014, compared with $26 million in the fourth quarter of 2014. As compared with the first quarter of 2014, a $4 million decrease in net interest income in the recent quarter was largely offset by higher merchant discount and credit card fees and lower noninterest operating expenses. The lower net interest income reflects a narrowing of the net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margin on deposits of 26 basis points, partially offset by a $444 million increase in average outstanding deposit balances. The modest decrease in net income in the recent quarter as compared with the immediately preceding quarter resulted from a $4 million decrease in net interest income, partially offset by lower costs associated with the allocation of expenses related to BSA/AML compliance, risk management, and other operational initiatives across the Company. The decline in net interest income resulted largely from a 4 basis point narrowing of the net interest margin on loans and a $346 million decline in average outstanding deposit balances.</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Net income earned by the Commercial Banking segment totaled $96 million in the first quarter of 2015, compared with $99 million for each of the three-month periods ended March 31, 2014 and December 31, 2014. The 2% decline in net income as compared with the first quarter of 2014 resulted largely from a $3 million decrease in net interest income and a $4 million decrease in credit-related fees. The decline in net interest income was the result of a narrowing of the net interest margin on loans and deposits of 11 basis points and 17 basis points, respectively, partially offset by higher average outstanding loan and deposit balances of $1.2 billion and $912 million, respectively. The recent quarter’s decline in net income as compared with 2014’s fourth quarter was largely due to a $4 million decrease in net interest income, a $4 million increase in the provision for credit losses and a $2 million decrease in credit-related fees, partially offset by lower FDIC assessments and other operating expenses. The lower net interest income reflected a narrowing of the net interest margin on loans of 3 basis points and lower average deposit balances of $107 million offset, in part, by higher average outstanding loans of $574 million.</w:t>
      </w:r>
    </w:p>
    <w:p>
      <w:pPr>
        <w:spacing w:after="0" w:line="16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Commercial Real Estate segment’s net income aggregated $80 million for the first quarter of 2015, up 10% from the $73 million earned in the first three months of 2014, but down 4% from the $83 million recorded in 2014’s fourth quarter. The improvement from the year-earlier quarter reflects a $7 million increase in mortgage banking revenues and a $4 million decrease in the provision for credit losses, the result of recoveries of previously charged off loans in the recent quarter, partially offset by higher personnel-related expenses of $2 million. The increase in mortgage banking revenues was largely due to higher loan origination and sales activities. The decline in net income as compared with the final 2014 quarter was largely due to a $4 million decrease in credit-related fees and a $4 million decline in net interest income. The lower net interest income was due to a narrowing of the net interest margin on loans and deposits of 4 basis points each, partially offset by increases in average outstanding loan and deposit (predominantly noninterest-bearing) balances of $331 million and $106 million, respectively.</w:t>
      </w:r>
    </w:p>
    <w:p>
      <w:pPr>
        <w:spacing w:after="0" w:line="19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Discretionary Portfolio segment recorded net income of $6 million during the three-month period ended March 31, 2015, compared with $11 million in the year-earlier period and $9 million in the fourth quarter of 2014. The decline in net income as compared with the first quarter of 2014 reflects a $9 million decrease in net interest income that was largely attributable to a 32 basis point narrowing of the net interest margin on investment securities, partially offset by a $4.1 billion increase in average balances of investment securities due to purchases of Fannie Mae and Ginnie Mae mortgage-backed securities to meet new liquidity requirements that are scheduled to become effective for M&amp;T on January 1, 2016. The recent quarter’s unfavorable performance as compared with the immediately preceding quarter resulted largely from a $6 million decrease in net interest income that resulted from a 17 basis point narrowing of the net interest margin on investment securities, partially offset by a $399 million increase in average outstanding investment securities balances.</w:t>
      </w:r>
    </w:p>
    <w:p>
      <w:pPr>
        <w:spacing w:after="0" w:line="192" w:lineRule="exact"/>
        <w:rPr>
          <w:sz w:val="20"/>
          <w:szCs w:val="20"/>
          <w:color w:val="auto"/>
        </w:rPr>
      </w:pPr>
    </w:p>
    <w:p>
      <w:pPr>
        <w:jc w:val="center"/>
        <w:ind w:left="480" w:right="220"/>
        <w:spacing w:after="0" w:line="449" w:lineRule="auto"/>
        <w:rPr>
          <w:sz w:val="20"/>
          <w:szCs w:val="20"/>
          <w:color w:val="auto"/>
        </w:rPr>
      </w:pPr>
      <w:r>
        <w:rPr>
          <w:rFonts w:ascii="Arial" w:cs="Arial" w:eastAsia="Arial" w:hAnsi="Arial"/>
          <w:sz w:val="18"/>
          <w:szCs w:val="18"/>
          <w:color w:val="auto"/>
        </w:rPr>
        <w:t>Net income of the Residential Mortgage Banking segment rose 72% to $32 million in the recent quarter from $19 million in the first quarter of 2014, - 82 -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was 43% higher than the $22 million earned in 2014’s fourth quarter. The improved performance from the year-earlier period was attributable to the following favorable factors: a $9 million increase in revenues from mortgage origination and sales activities (including intersegment revenues), due to higher origination volumes; an $8 million increase in revenues from servicing residential real estate loans, predominantly the result of higher sub-servicing fees; and reduced amortization of capitalized servicing assets reflecting reduced prepayment speeds associated with serviced loans. The main factors contributing to the recent quarter’s increased net income as compared with the final quarter of 2014 was an $8 million increase in revenues from mortgage origination and sales activities (including intersegment revenues), due to higher origination volumes, and lower operating expenses, including reduced personnel and professional services costs and lower amortization of capitalized servicing assets.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Net income earned by the Retail Banking segment totaled $69 million in each of the first quarters of 2015 and 2014, compared with $59 million in the fourth quarter of 2014. As compared with the first quarter of 2014, a $3 million decrease in net interest income and lower service charges on deposit accounts were offset by lower personnel, equipment and occupancy expenses. The decrease in net interest income reflected a 10 basis point narrowing of the net interest margin on deposits and a $120 million decrease in average outstanding deposit balances, partially offset by a $652 million increase in average outstanding loan balances. The recent quarter’s 16% improvement in net income as compared with the fourth quarter of 2014 reflected a $10 million decrease in advertising and promotional expenses largely associated with the launch of the new brand campaign throughout the Company’s footprint during the final 2014 quarter, a $3 million decrease in personnel expenses and lower operating expenses related to the allocation of the costs of Company-wide operational initiatives, offset, in part, by a $6 million seasonal decline in service charges on deposit accounts and a $4 million decrease in net interest income, reflecting a narrowing of the margin on deposit balances.</w:t>
      </w:r>
    </w:p>
    <w:p>
      <w:pPr>
        <w:spacing w:after="0" w:line="18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related to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income of the Company that reflects the ICS and WAS business activities. The various components of the “All Other” category resulted in net losses totaling $67 million for the quarter ended March 31, 2015, $66 million in the first quarter of 2014 and $22 million in the fourth quarter of 2014. As compared with the first quarter of 2014, higher personnel-related expenses in the recent quarter due to BSA/AML and other company-wide initiatives and a $4 million increase in advertising, promotion and travel expenses were largely offset by lower professional services costs of $11 million, a $3 million decrease in amortization of core deposit intangibles and declines in other operating expenses. The most significant factors contributing to the increased net loss in the recent quarter as compared with the immediately preceding quarter were: a $51 million increase in personnel costs, largely related to seasonally higher stock-based compensation, payroll-related taxes and employer contributions for retirement savings plans recorded in the first quarter of 2015; an $8 million increase in advertising, promotion, and travel expenses; a decline in trust income of $5 million; and the unfavorable impact from the Company’s allocation methodologies for internal transfers for funding charges and credits associated with earning assets and interest-bearing liabilities of the Company’s reportable segments.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previously noted, the Company adopted amended accounting guidance for investments in qualified affordable housing projects under which the initial cost of investments in qualified affordable housing projects is amortized in proportion to the tax credits and other tax benefits received from such projects and recognized in the income statement as a component of income tax expense. As required, the guidance was applied retrospectively to all periods presented. The adoption of this guidance did not have a significant effect on the Company’s financial position or results of operations, but did result in the restatement of the consolidated statement of income for the three-month period ended March 31, 2014 to remove $12 million of losses associated with qualified affordable housing projects from “other costs of operations” and include the amortization of the initial cost of the investment in income tax expense. The Company amortized $10 million of its investments in qualified affordable housing projects to income tax expense during the three-month period ended March 31, 2015.</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the first quarter of 2015, the Company adopted amended accounting guidance from the FASB related to the classification of certain government-guaranteed mortgage loans upon foreclosure. This guidance requires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upon the amount of the loan balance (principal and interest) expected to be recovered from the guarantor. The adoption of this guidance did not have a significant effect on the Company’s consolidated financial position or results of operations.</w:t>
      </w:r>
    </w:p>
    <w:p>
      <w:pPr>
        <w:spacing w:after="0" w:line="17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Effective January 1, 2015, the Company adopted amended accounting guidance for repurchase-to-maturity transactions and repurchase financings. The adoption had no impact on the Company’s consolidated financial position or results of operations. The Company has made the required disclosures in note 5 of Notes to Financial Statements.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January 2015, the Company also adopted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 real estate that are in the process of foreclosure according to local requirements of the applicable jurisdiction. The Company’s adoption of this guidance on January 1, 2015 did not have a significant effect on the Company’s financial position or results of operations. The Company has made the required disclosures in note 4 of Notes to Financial Statements.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April 2015, the FASB issued amended accounting guidance for debt issuance costs. The amended guidance requires that debt issuance costs related to a recognized debt liability be presented in the balance sheet as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direct deduction from the carrying amount of that debt liability. This guidance is effective for annual periods and interim periods within those annual periods beginning after December 15, 2015. The Company does not expect a material change in the presentation of its financial position upon adoption of this amended guidance.</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February 2015, the FASB issued amended accounting guidance relating to the consolidation of variable interest entities to modify the evaluation of whether limited partnerships and similar legal entities are variable interest entities or voting interest entities and to eliminate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This guidance is effective for annual and interim periods within those annual periods beginning after December 15, 2015. The Company is still evaluating the impact the guidance could have on its consolidated financial statements.</w:t>
      </w:r>
    </w:p>
    <w:p>
      <w:pPr>
        <w:spacing w:after="0" w:line="18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June 2014, the FASB issued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guidance is effective for annual periods and interim periods within those annual periods beginning after December 31, 2015, with earlier adoption permitted. The Company does not expect the amended guidance published by the FASB to have a material impact on its financial position or results of operations.</w:t>
      </w:r>
    </w:p>
    <w:p>
      <w:pPr>
        <w:spacing w:after="0" w:line="17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w:t>
      </w:r>
    </w:p>
    <w:p>
      <w:pPr>
        <w:spacing w:after="0" w:line="2" w:lineRule="exact"/>
        <w:rPr>
          <w:sz w:val="20"/>
          <w:szCs w:val="20"/>
          <w:color w:val="auto"/>
        </w:rPr>
      </w:pPr>
    </w:p>
    <w:p>
      <w:pPr>
        <w:ind w:firstLine="8"/>
        <w:spacing w:after="0" w:line="273"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w:t>
      </w:r>
    </w:p>
    <w:p>
      <w:pPr>
        <w:spacing w:after="0" w:line="109" w:lineRule="exact"/>
        <w:rPr>
          <w:rFonts w:ascii="Arial" w:cs="Arial" w:eastAsia="Arial" w:hAnsi="Arial"/>
          <w:sz w:val="17"/>
          <w:szCs w:val="17"/>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after December 15, 2016,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86" w:name="page87"/>
    <w:bookmarkEnd w:id="8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color w:val="auto"/>
              </w:rPr>
              <w:t>2014 Quarters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color w:val="auto"/>
                <w:w w:val="91"/>
              </w:rPr>
              <w:t>First Quarter</w:t>
            </w:r>
          </w:p>
        </w:tc>
        <w:tc>
          <w:tcPr>
            <w:tcW w:w="380" w:type="dxa"/>
            <w:vAlign w:val="bottom"/>
          </w:tcPr>
          <w:p>
            <w:pPr>
              <w:spacing w:after="0"/>
              <w:rPr>
                <w:sz w:val="12"/>
                <w:szCs w:val="12"/>
                <w:color w:val="auto"/>
              </w:rPr>
            </w:pPr>
          </w:p>
        </w:tc>
        <w:tc>
          <w:tcPr>
            <w:tcW w:w="104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4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4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743,925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762,619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748,864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740,139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728,897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78,499</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665,426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687,847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674,900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674,963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38,000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440,203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451,643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451,111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456,412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420,107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686,375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666,221</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665,359</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667,660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690,234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381,254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440,269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431,652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433,715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360,251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133,803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156,713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150,467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143,530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241,613</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277,549</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275,344</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284,336</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218,837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254,239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251,917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260,695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132,049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131,450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131,265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130,856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132,769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132,278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132,128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131,828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9.79%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on average earning assets (taxable-equivalent basis)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245,776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281,929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279,838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289,974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11.90%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13.80%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14.92%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95,892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98,644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89,873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92,346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95,093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89,689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86,311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85,212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82,776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13,376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12,978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12,780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10,959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64,763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64,343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71,698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75,515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70,772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69,659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10,808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7,681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7,660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7,246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98,378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96,686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97,228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90,835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94,834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93,137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93,674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87,276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87,959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86,278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86,751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80,062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14,393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12,994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67,099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66,669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65,572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64,748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73,594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73,582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74,342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69,829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340"/>
              <w:spacing w:after="0" w:line="201" w:lineRule="exact"/>
              <w:rPr>
                <w:sz w:val="20"/>
                <w:szCs w:val="20"/>
                <w:color w:val="auto"/>
              </w:rPr>
            </w:pPr>
            <w:r>
              <w:rPr>
                <w:rFonts w:ascii="Arial" w:cs="Arial" w:eastAsia="Arial" w:hAnsi="Arial"/>
                <w:sz w:val="18"/>
                <w:szCs w:val="18"/>
                <w:color w:val="auto"/>
              </w:rPr>
              <w:t>Common shareholders’ equity, net of undeclared cumulative preferred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dividends (c)</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11,294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11,102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11,099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10,934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84.95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83.88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82.86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128.69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111.78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112.42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118.51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116.10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125.62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123.29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7" w:orient="portrait"/>
          <w:cols w:equalWidth="0" w:num="1">
            <w:col w:w="11420"/>
          </w:cols>
          <w:pgMar w:left="240" w:top="459" w:right="239" w:bottom="0" w:gutter="0" w:footer="0" w:header="0"/>
        </w:sectPr>
      </w:pPr>
    </w:p>
    <w:p>
      <w:pPr>
        <w:spacing w:after="0" w:line="42" w:lineRule="exact"/>
        <w:rPr>
          <w:sz w:val="20"/>
          <w:szCs w:val="20"/>
          <w:color w:val="auto"/>
        </w:rPr>
      </w:pPr>
    </w:p>
    <w:p>
      <w:pPr>
        <w:ind w:left="460" w:right="320" w:hanging="452"/>
        <w:spacing w:after="0" w:line="342" w:lineRule="auto"/>
        <w:tabs>
          <w:tab w:leader="none" w:pos="46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w:t>
      </w:r>
    </w:p>
    <w:p>
      <w:pPr>
        <w:sectPr>
          <w:pgSz w:w="11900" w:h="16867" w:orient="portrait"/>
          <w:cols w:equalWidth="0" w:num="1">
            <w:col w:w="11420"/>
          </w:cols>
          <w:pgMar w:left="240" w:top="459" w:right="239" w:bottom="0" w:gutter="0" w:footer="0" w:header="0"/>
          <w:type w:val="continuous"/>
        </w:sectPr>
      </w:pPr>
    </w:p>
    <w:bookmarkStart w:id="87" w:name="page88"/>
    <w:bookmarkEnd w:id="87"/>
    <w:p>
      <w:pPr>
        <w:ind w:left="452"/>
        <w:spacing w:after="0"/>
        <w:rPr>
          <w:sz w:val="20"/>
          <w:szCs w:val="20"/>
          <w:color w:val="auto"/>
        </w:rPr>
      </w:pPr>
      <w:r>
        <w:rPr>
          <w:rFonts w:ascii="Arial" w:cs="Arial" w:eastAsia="Arial" w:hAnsi="Arial"/>
          <w:sz w:val="18"/>
          <w:szCs w:val="18"/>
          <w:i w:val="1"/>
          <w:iCs w:val="1"/>
          <w:color w:val="auto"/>
        </w:rPr>
        <w:t>appears in Table 2.</w:t>
      </w:r>
    </w:p>
    <w:p>
      <w:pPr>
        <w:spacing w:after="0" w:line="23" w:lineRule="exact"/>
        <w:rPr>
          <w:sz w:val="20"/>
          <w:szCs w:val="20"/>
          <w:color w:val="auto"/>
        </w:rPr>
      </w:pPr>
    </w:p>
    <w:p>
      <w:pPr>
        <w:ind w:left="452" w:hanging="452"/>
        <w:spacing w:after="0"/>
        <w:tabs>
          <w:tab w:leader="none" w:pos="452"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rFonts w:ascii="Arial" w:cs="Arial" w:eastAsia="Arial" w:hAnsi="Arial"/>
          <w:sz w:val="16"/>
          <w:szCs w:val="16"/>
          <w:i w:val="1"/>
          <w:iCs w:val="1"/>
          <w:color w:val="auto"/>
        </w:rPr>
      </w:pPr>
    </w:p>
    <w:p>
      <w:pPr>
        <w:ind w:left="5612" w:hanging="101"/>
        <w:spacing w:after="0"/>
        <w:tabs>
          <w:tab w:leader="none" w:pos="5612" w:val="left"/>
        </w:tabs>
        <w:numPr>
          <w:ilvl w:val="1"/>
          <w:numId w:val="70"/>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1232"/>
          </w:cols>
          <w:pgMar w:left="248" w:top="125"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32"/>
        </w:trPr>
        <w:tc>
          <w:tcPr>
            <w:tcW w:w="6680" w:type="dxa"/>
            <w:vAlign w:val="bottom"/>
            <w:gridSpan w:val="5"/>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2015</w:t>
            </w:r>
          </w:p>
        </w:tc>
        <w:tc>
          <w:tcPr>
            <w:tcW w:w="4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color w:val="auto"/>
              </w:rPr>
              <w:t>2014 Quarters</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First Quarter</w:t>
            </w:r>
          </w:p>
        </w:tc>
        <w:tc>
          <w:tcPr>
            <w:tcW w:w="480" w:type="dxa"/>
            <w:vAlign w:val="bottom"/>
          </w:tcPr>
          <w:p>
            <w:pPr>
              <w:spacing w:after="0"/>
              <w:rPr>
                <w:sz w:val="12"/>
                <w:szCs w:val="12"/>
                <w:color w:val="auto"/>
              </w:rPr>
            </w:pPr>
          </w:p>
        </w:tc>
        <w:tc>
          <w:tcPr>
            <w:tcW w:w="1260" w:type="dxa"/>
            <w:vAlign w:val="bottom"/>
            <w:gridSpan w:val="2"/>
          </w:tcPr>
          <w:p>
            <w:pPr>
              <w:jc w:val="right"/>
              <w:ind w:right="680"/>
              <w:spacing w:after="0" w:line="142" w:lineRule="exact"/>
              <w:rPr>
                <w:sz w:val="20"/>
                <w:szCs w:val="20"/>
                <w:color w:val="auto"/>
              </w:rPr>
            </w:pPr>
            <w:r>
              <w:rPr>
                <w:rFonts w:ascii="Arial" w:cs="Arial" w:eastAsia="Arial" w:hAnsi="Arial"/>
                <w:sz w:val="14"/>
                <w:szCs w:val="14"/>
                <w:color w:val="auto"/>
              </w:rPr>
              <w:t>Fourth</w:t>
            </w:r>
          </w:p>
        </w:tc>
        <w:tc>
          <w:tcPr>
            <w:tcW w:w="1240" w:type="dxa"/>
            <w:vAlign w:val="bottom"/>
            <w:gridSpan w:val="2"/>
          </w:tcPr>
          <w:p>
            <w:pPr>
              <w:jc w:val="right"/>
              <w:ind w:right="700"/>
              <w:spacing w:after="0" w:line="142" w:lineRule="exact"/>
              <w:rPr>
                <w:sz w:val="20"/>
                <w:szCs w:val="20"/>
                <w:color w:val="auto"/>
              </w:rPr>
            </w:pPr>
            <w:r>
              <w:rPr>
                <w:rFonts w:ascii="Arial" w:cs="Arial" w:eastAsia="Arial" w:hAnsi="Arial"/>
                <w:sz w:val="14"/>
                <w:szCs w:val="14"/>
                <w:color w:val="auto"/>
              </w:rPr>
              <w:t>Third</w:t>
            </w:r>
          </w:p>
        </w:tc>
        <w:tc>
          <w:tcPr>
            <w:tcW w:w="1260" w:type="dxa"/>
            <w:vAlign w:val="bottom"/>
            <w:gridSpan w:val="2"/>
          </w:tcPr>
          <w:p>
            <w:pPr>
              <w:jc w:val="right"/>
              <w:ind w:right="6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241,613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277,549</w:t>
            </w:r>
          </w:p>
        </w:tc>
        <w:tc>
          <w:tcPr>
            <w:tcW w:w="760" w:type="dxa"/>
            <w:vAlign w:val="bottom"/>
          </w:tcPr>
          <w:p>
            <w:pPr>
              <w:jc w:val="right"/>
              <w:spacing w:after="0"/>
              <w:rPr>
                <w:sz w:val="20"/>
                <w:szCs w:val="20"/>
                <w:color w:val="auto"/>
              </w:rPr>
            </w:pPr>
            <w:r>
              <w:rPr>
                <w:rFonts w:ascii="Arial" w:cs="Arial" w:eastAsia="Arial" w:hAnsi="Arial"/>
                <w:sz w:val="18"/>
                <w:szCs w:val="18"/>
                <w:color w:val="auto"/>
              </w:rPr>
              <w:t>275,344</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284,336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4,163</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Net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245,776</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281,929</w:t>
            </w:r>
          </w:p>
        </w:tc>
        <w:tc>
          <w:tcPr>
            <w:tcW w:w="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279,838</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289,974</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1.65</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1.92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1.91</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1.98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686,375</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666,221</w:t>
            </w:r>
          </w:p>
        </w:tc>
        <w:tc>
          <w:tcPr>
            <w:tcW w:w="760" w:type="dxa"/>
            <w:vAlign w:val="bottom"/>
          </w:tcPr>
          <w:p>
            <w:pPr>
              <w:jc w:val="right"/>
              <w:spacing w:after="0"/>
              <w:rPr>
                <w:sz w:val="20"/>
                <w:szCs w:val="20"/>
                <w:color w:val="auto"/>
              </w:rPr>
            </w:pPr>
            <w:r>
              <w:rPr>
                <w:rFonts w:ascii="Arial" w:cs="Arial" w:eastAsia="Arial" w:hAnsi="Arial"/>
                <w:sz w:val="18"/>
                <w:szCs w:val="18"/>
                <w:color w:val="auto"/>
              </w:rPr>
              <w:t>665,359</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667,660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(6,793)</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(7,358)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(9,234)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Noninterest operating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679,582</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659,051</w:t>
            </w:r>
          </w:p>
        </w:tc>
        <w:tc>
          <w:tcPr>
            <w:tcW w:w="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658,001</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658,426</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680,172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679,582</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659,051</w:t>
            </w:r>
          </w:p>
        </w:tc>
        <w:tc>
          <w:tcPr>
            <w:tcW w:w="760" w:type="dxa"/>
            <w:vAlign w:val="bottom"/>
          </w:tcPr>
          <w:p>
            <w:pPr>
              <w:jc w:val="right"/>
              <w:spacing w:after="0"/>
              <w:rPr>
                <w:sz w:val="20"/>
                <w:szCs w:val="20"/>
                <w:color w:val="auto"/>
              </w:rPr>
            </w:pPr>
            <w:r>
              <w:rPr>
                <w:rFonts w:ascii="Arial" w:cs="Arial" w:eastAsia="Arial" w:hAnsi="Arial"/>
                <w:sz w:val="18"/>
                <w:szCs w:val="18"/>
                <w:color w:val="auto"/>
              </w:rPr>
              <w:t>658,001</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658,426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680,172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665,426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687,847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674,900</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674,963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440,203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451,643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451,111</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456,412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Loss on bank investment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1,105,727</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1,139,490</w:t>
            </w:r>
          </w:p>
        </w:tc>
        <w:tc>
          <w:tcPr>
            <w:tcW w:w="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1,126,011</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1,131,375</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1,082,485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57.84%</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95,892</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98,644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93,245</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89,873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(3,525)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(3,525)</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(3,525)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92,346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95,093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89,689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86,311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12,459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12,442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12,247</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(1,232)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(1,231)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(1,232)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(1,231)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11,227</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10,808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7,681</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7,246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98,378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96,686</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97,228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90,835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94,834</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93,137</w:t>
            </w:r>
          </w:p>
        </w:tc>
        <w:tc>
          <w:tcPr>
            <w:tcW w:w="4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93,674</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87,276</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12,528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12,336</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12,333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12,169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Undeclared dividends - cumulative preferred stock</w:t>
            </w: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equity, net of undeclared cumulative preferred</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11,294</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7,750</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7,375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586"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300" w:type="dxa"/>
            <w:vAlign w:val="bottom"/>
            <w:gridSpan w:val="14"/>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2015 First Quarter</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4"/>
                <w:szCs w:val="14"/>
                <w:color w:val="auto"/>
              </w:rPr>
              <w:t>2014 Fourth Quarter</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color w:val="auto"/>
              </w:rPr>
              <w:t>2014 Third Quarter</w:t>
            </w:r>
          </w:p>
        </w:tc>
        <w:tc>
          <w:tcPr>
            <w:tcW w:w="0" w:type="dxa"/>
            <w:vAlign w:val="bottom"/>
          </w:tcPr>
          <w:p>
            <w:pPr>
              <w:spacing w:after="0"/>
              <w:rPr>
                <w:sz w:val="1"/>
                <w:szCs w:val="1"/>
                <w:color w:val="auto"/>
              </w:rPr>
            </w:pPr>
          </w:p>
        </w:tc>
      </w:tr>
      <w:tr>
        <w:trPr>
          <w:trHeight w:val="149"/>
        </w:trPr>
        <w:tc>
          <w:tcPr>
            <w:tcW w:w="38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Average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8"/>
              </w:rPr>
              <w:t>Average</w:t>
            </w: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8"/>
              </w:rPr>
              <w:t>Average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5"/>
              </w:rPr>
              <w:t>Average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3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8"/>
              </w:rPr>
              <w:t>Balance</w:t>
            </w:r>
          </w:p>
        </w:tc>
        <w:tc>
          <w:tcPr>
            <w:tcW w:w="2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Rate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Balance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Rate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Balance</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Commercial, financial, etc.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19,457</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$153,866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19,117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156,627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18,889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156,440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27,596</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288,121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27,064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293,283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26,487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283,476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8,572</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88,850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4.15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8,654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90,637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4.19</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8,634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90,023</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121,366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10,932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123,681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10,753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122,408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ind w:left="580"/>
              <w:spacing w:after="0"/>
              <w:rPr>
                <w:sz w:val="20"/>
                <w:szCs w:val="20"/>
                <w:color w:val="auto"/>
              </w:rPr>
            </w:pPr>
            <w:r>
              <w:rPr>
                <w:rFonts w:ascii="Arial" w:cs="Arial" w:eastAsia="Arial" w:hAnsi="Arial"/>
                <w:sz w:val="18"/>
                <w:szCs w:val="18"/>
                <w:color w:val="auto"/>
              </w:rPr>
              <w:t>Total loans and leases, net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66,587</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652,203</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65,767</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664,228</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64,763</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652,347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3"/>
          </w:tcPr>
          <w:p>
            <w:pPr>
              <w:spacing w:after="0" w:line="201" w:lineRule="exact"/>
              <w:rPr>
                <w:sz w:val="20"/>
                <w:szCs w:val="20"/>
                <w:color w:val="auto"/>
              </w:rPr>
            </w:pPr>
            <w:r>
              <w:rPr>
                <w:rFonts w:ascii="Arial" w:cs="Arial" w:eastAsia="Arial" w:hAnsi="Arial"/>
                <w:sz w:val="18"/>
                <w:szCs w:val="18"/>
                <w:color w:val="auto"/>
              </w:rPr>
              <w:t>Federal funds sold and agreements to resell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12,437</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78,313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12,032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82,843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11,817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82,475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w w:val="93"/>
              </w:rPr>
              <w:t>Obligations of states and political subdivisions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1,967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5.04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1,963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4.86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1,897</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7,735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ind w:left="580"/>
              <w:spacing w:after="0"/>
              <w:rPr>
                <w:sz w:val="20"/>
                <w:szCs w:val="20"/>
                <w:color w:val="auto"/>
              </w:rPr>
            </w:pPr>
            <w:r>
              <w:rPr>
                <w:rFonts w:ascii="Arial" w:cs="Arial" w:eastAsia="Arial" w:hAnsi="Arial"/>
                <w:sz w:val="18"/>
                <w:szCs w:val="18"/>
                <w:color w:val="auto"/>
              </w:rPr>
              <w:t>Total investment securities</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13,376</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88,015</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12,978</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92,276</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12,780</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85,212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743,925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87,965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762,619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82,776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748,864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382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10,384</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10,313</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10,120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95,892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98,644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93,245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41,525</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10,219</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42,949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11,151</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41,056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11,532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3,740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45,887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15,598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45,645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82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64,048</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59,149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58,053</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55,918</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78,499</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56,574</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74,772</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54,373</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25,811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28,090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25,127</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1,498</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83,433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86,202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80,998</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12,459</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12,442</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12,247</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8"/>
              </w:rPr>
              <w:t>Total liabilities and shareholders’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95,892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98,644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93,245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2.97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2.92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line="20" w:lineRule="exact"/>
              <w:rPr>
                <w:sz w:val="1"/>
                <w:szCs w:val="1"/>
                <w:color w:val="auto"/>
              </w:rPr>
            </w:pPr>
          </w:p>
        </w:tc>
      </w:tr>
      <w:tr>
        <w:trPr>
          <w:trHeight w:val="210"/>
        </w:trPr>
        <w:tc>
          <w:tcPr>
            <w:tcW w:w="38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4"/>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665,426</w:t>
            </w: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687,847</w:t>
            </w:r>
          </w:p>
        </w:tc>
        <w:tc>
          <w:tcPr>
            <w:tcW w:w="2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674,900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3680" w:type="dxa"/>
            <w:vAlign w:val="bottom"/>
            <w:gridSpan w:val="2"/>
          </w:tcPr>
          <w:p>
            <w:pPr>
              <w:ind w:left="280"/>
              <w:spacing w:after="0"/>
              <w:rPr>
                <w:sz w:val="20"/>
                <w:szCs w:val="20"/>
                <w:color w:val="auto"/>
              </w:rPr>
            </w:pPr>
            <w:r>
              <w:rPr>
                <w:rFonts w:ascii="Arial" w:cs="Arial" w:eastAsia="Arial" w:hAnsi="Arial"/>
                <w:sz w:val="18"/>
                <w:szCs w:val="18"/>
                <w:i w:val="1"/>
                <w:iCs w:val="1"/>
                <w:color w:val="auto"/>
              </w:rPr>
              <w:t>Includes nonaccrual loans.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(continued)</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480"/>
              <w:spacing w:after="0"/>
              <w:rPr>
                <w:sz w:val="20"/>
                <w:szCs w:val="20"/>
                <w:color w:val="auto"/>
              </w:rPr>
            </w:pPr>
            <w:r>
              <w:rPr>
                <w:rFonts w:ascii="Arial" w:cs="Arial" w:eastAsia="Arial" w:hAnsi="Arial"/>
                <w:sz w:val="14"/>
                <w:szCs w:val="14"/>
                <w:color w:val="auto"/>
                <w:w w:val="95"/>
              </w:rPr>
              <w:t>2014 Second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w w:val="95"/>
              </w:rPr>
              <w:t>2014 First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9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Average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8"/>
              </w:rPr>
              <w:t>Average</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Average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6200" w:type="dxa"/>
            <w:vAlign w:val="bottom"/>
            <w:gridSpan w:val="3"/>
            <w:vMerge w:val="continue"/>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rPr>
              <w:t>Balance</w:t>
            </w:r>
          </w:p>
        </w:tc>
        <w:tc>
          <w:tcPr>
            <w:tcW w:w="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Rate</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Balance</w:t>
            </w:r>
          </w:p>
        </w:tc>
        <w:tc>
          <w:tcPr>
            <w:tcW w:w="2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18,978</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$157,891</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18,476</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153,529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26,140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278,596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26,143</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287,584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8,746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95,439</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4.36</w:t>
            </w:r>
          </w:p>
        </w:tc>
        <w:tc>
          <w:tcPr>
            <w:tcW w:w="560" w:type="dxa"/>
            <w:vAlign w:val="bottom"/>
          </w:tcPr>
          <w:p>
            <w:pPr>
              <w:jc w:val="right"/>
              <w:spacing w:after="0"/>
              <w:rPr>
                <w:sz w:val="20"/>
                <w:szCs w:val="20"/>
                <w:color w:val="auto"/>
              </w:rPr>
            </w:pPr>
            <w:r>
              <w:rPr>
                <w:rFonts w:ascii="Arial" w:cs="Arial" w:eastAsia="Arial" w:hAnsi="Arial"/>
                <w:sz w:val="18"/>
                <w:szCs w:val="18"/>
                <w:color w:val="auto"/>
              </w:rPr>
              <w:t>8,844</w:t>
            </w:r>
          </w:p>
        </w:tc>
        <w:tc>
          <w:tcPr>
            <w:tcW w:w="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92,533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10,479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118,157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10,300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116,631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64,343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650,083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63,763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650,277</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1,884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74,046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64,814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1,986</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4.82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2,269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9,160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10,959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76,243</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79,556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740,139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76,288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728,897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300" w:type="dxa"/>
            <w:vAlign w:val="bottom"/>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10,015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89,873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86,665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39,478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38,358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11,601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3,855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3,940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208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44,193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15,547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43,186</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16,046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49,604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50,441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50,938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49,347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25,466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24,141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77,834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75,017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12,039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11,648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89,873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86,665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3.22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674,963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662,378</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right="60" w:firstLine="464"/>
        <w:spacing w:after="0" w:line="312" w:lineRule="auto"/>
        <w:tabs>
          <w:tab w:leader="none" w:pos="7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2015.</w:t>
      </w:r>
    </w:p>
    <w:p>
      <w:pPr>
        <w:spacing w:after="0" w:line="146" w:lineRule="exact"/>
        <w:rPr>
          <w:rFonts w:ascii="Arial" w:cs="Arial" w:eastAsia="Arial" w:hAnsi="Arial"/>
          <w:sz w:val="16"/>
          <w:szCs w:val="16"/>
          <w:color w:val="auto"/>
        </w:rPr>
      </w:pPr>
    </w:p>
    <w:p>
      <w:pPr>
        <w:ind w:right="420" w:firstLine="464"/>
        <w:spacing w:after="0" w:line="302" w:lineRule="auto"/>
        <w:tabs>
          <w:tab w:leader="none" w:pos="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2015 that have materially affected, or are reasonably likely to materially affect, M&amp;T’s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further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DOJ Investigation</w:t>
      </w:r>
      <w:r>
        <w:rPr>
          <w:rFonts w:ascii="Arial" w:cs="Arial" w:eastAsia="Arial" w:hAnsi="Arial"/>
          <w:sz w:val="17"/>
          <w:szCs w:val="17"/>
          <w:color w:val="auto"/>
        </w:rPr>
        <w:t>: Prior to M&amp;T’s acquisition of Wilmington Trust, the Department of Justice (“DOJ”) commenced an investigation of Wilmington</w:t>
      </w:r>
      <w:r>
        <w:rPr>
          <w:rFonts w:ascii="Arial" w:cs="Arial" w:eastAsia="Arial" w:hAnsi="Arial"/>
          <w:sz w:val="17"/>
          <w:szCs w:val="17"/>
          <w:i w:val="1"/>
          <w:iCs w:val="1"/>
          <w:color w:val="auto"/>
        </w:rPr>
        <w:t xml:space="preserve"> </w:t>
      </w:r>
      <w:r>
        <w:rPr>
          <w:rFonts w:ascii="Arial" w:cs="Arial" w:eastAsia="Arial" w:hAnsi="Arial"/>
          <w:sz w:val="17"/>
          <w:szCs w:val="17"/>
          <w:color w:val="auto"/>
        </w:rPr>
        <w:t>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This investigation could lead to administrative or legal proceedings resulting in potential civil and/or criminal remedies, or settlements, including, among other things, enforcement actions, fines, penalties, restitution or additional costs and expenses.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In Re Wilmington Trust Securities Litigation (U.S. District Court, District of Delaware, Case No. 10-CV-0990-SLR)</w:t>
      </w:r>
      <w:r>
        <w:rPr>
          <w:rFonts w:ascii="Arial" w:cs="Arial" w:eastAsia="Arial" w:hAnsi="Arial"/>
          <w:sz w:val="18"/>
          <w:szCs w:val="18"/>
          <w:color w:val="auto"/>
        </w:rPr>
        <w:t>: Beginning on November 18, 2010,</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The Court issued an order denying Wilmington Trust’s motion to dismiss on March 20, 2014. The parties are currently engaged in the discovery phase of the lawsuit.</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225" w:lineRule="exact"/>
        <w:rPr>
          <w:rFonts w:ascii="Arial" w:cs="Arial" w:eastAsia="Arial" w:hAnsi="Arial"/>
          <w:sz w:val="18"/>
          <w:szCs w:val="18"/>
          <w:color w:val="auto"/>
        </w:rPr>
      </w:pPr>
    </w:p>
    <w:p>
      <w:pPr>
        <w:spacing w:after="0"/>
        <w:tabs>
          <w:tab w:leader="none" w:pos="0" w:val="left"/>
        </w:tabs>
        <w:numPr>
          <w:ilvl w:val="0"/>
          <w:numId w:val="76"/>
        </w:numPr>
        <w:rPr>
          <w:rFonts w:ascii="Arial" w:cs="Arial" w:eastAsia="Arial" w:hAnsi="Arial"/>
          <w:sz w:val="18"/>
          <w:szCs w:val="18"/>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7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1"/>
              </w:rPr>
              <w:t>(a)Total</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Price Paid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608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per Share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608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Purchased (1)</w:t>
            </w:r>
          </w:p>
        </w:tc>
        <w:tc>
          <w:tcPr>
            <w:tcW w:w="48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rPr>
              <w:t>(or Unit)</w:t>
            </w: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4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173,268</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$ 113.81</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80" w:type="dxa"/>
            <w:vAlign w:val="bottom"/>
            <w:gridSpan w:val="3"/>
          </w:tcPr>
          <w:p>
            <w:pPr>
              <w:spacing w:after="0"/>
              <w:rPr>
                <w:sz w:val="20"/>
                <w:szCs w:val="20"/>
                <w:color w:val="auto"/>
              </w:rPr>
            </w:pPr>
            <w:r>
              <w:rPr>
                <w:rFonts w:ascii="Arial" w:cs="Arial" w:eastAsia="Arial" w:hAnsi="Arial"/>
                <w:sz w:val="18"/>
                <w:szCs w:val="18"/>
                <w:color w:val="auto"/>
              </w:rPr>
              <w:t>February 1 – February 28, 2015</w:t>
            </w:r>
          </w:p>
        </w:tc>
        <w:tc>
          <w:tcPr>
            <w:tcW w:w="800" w:type="dxa"/>
            <w:vAlign w:val="bottom"/>
          </w:tcPr>
          <w:p>
            <w:pPr>
              <w:jc w:val="right"/>
              <w:spacing w:after="0"/>
              <w:rPr>
                <w:sz w:val="20"/>
                <w:szCs w:val="20"/>
                <w:color w:val="auto"/>
              </w:rPr>
            </w:pPr>
            <w:r>
              <w:rPr>
                <w:rFonts w:ascii="Arial" w:cs="Arial" w:eastAsia="Arial" w:hAnsi="Arial"/>
                <w:sz w:val="18"/>
                <w:szCs w:val="18"/>
                <w:color w:val="auto"/>
              </w:rPr>
              <w:t>1,029</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120.54</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125.64</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175,933</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$ 113.96</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88" w:lineRule="auto"/>
        <w:tabs>
          <w:tab w:leader="none" w:pos="46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120" w:hanging="452"/>
        <w:spacing w:after="0" w:line="261" w:lineRule="auto"/>
        <w:tabs>
          <w:tab w:leader="none" w:pos="4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360" w:type="dxa"/>
            <w:vAlign w:val="bottom"/>
          </w:tcPr>
          <w:p>
            <w:pPr>
              <w:ind w:left="180"/>
              <w:spacing w:after="0"/>
              <w:rPr>
                <w:sz w:val="20"/>
                <w:szCs w:val="20"/>
                <w:color w:val="auto"/>
              </w:rPr>
            </w:pPr>
            <w:r>
              <w:rPr>
                <w:rFonts w:ascii="Arial" w:cs="Arial" w:eastAsia="Arial" w:hAnsi="Arial"/>
                <w:sz w:val="18"/>
                <w:szCs w:val="18"/>
                <w:color w:val="auto"/>
              </w:rPr>
              <w:t>Exhibits.</w:t>
            </w:r>
          </w:p>
        </w:tc>
      </w:tr>
      <w:tr>
        <w:trPr>
          <w:trHeight w:val="324"/>
        </w:trPr>
        <w:tc>
          <w:tcPr>
            <w:tcW w:w="140" w:type="dxa"/>
            <w:vAlign w:val="bottom"/>
          </w:tcPr>
          <w:p>
            <w:pPr>
              <w:spacing w:after="0"/>
              <w:rPr>
                <w:sz w:val="24"/>
                <w:szCs w:val="24"/>
                <w:color w:val="auto"/>
              </w:rPr>
            </w:pPr>
          </w:p>
        </w:tc>
        <w:tc>
          <w:tcPr>
            <w:tcW w:w="11080" w:type="dxa"/>
            <w:vAlign w:val="bottom"/>
            <w:gridSpan w:val="3"/>
          </w:tcPr>
          <w:p>
            <w:pPr>
              <w:ind w:left="32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73"/>
        </w:trPr>
        <w:tc>
          <w:tcPr>
            <w:tcW w:w="140" w:type="dxa"/>
            <w:vAlign w:val="bottom"/>
          </w:tcPr>
          <w:p>
            <w:pPr>
              <w:spacing w:after="0"/>
              <w:rPr>
                <w:sz w:val="24"/>
                <w:szCs w:val="2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color w:val="auto"/>
              </w:rPr>
              <w:t>Exhibit</w:t>
            </w:r>
          </w:p>
        </w:tc>
        <w:tc>
          <w:tcPr>
            <w:tcW w:w="10360" w:type="dxa"/>
            <w:vAlign w:val="bottom"/>
          </w:tcPr>
          <w:p>
            <w:pPr>
              <w:spacing w:after="0"/>
              <w:rPr>
                <w:sz w:val="24"/>
                <w:szCs w:val="24"/>
                <w:color w:val="auto"/>
              </w:rPr>
            </w:pPr>
          </w:p>
        </w:tc>
      </w:tr>
      <w:tr>
        <w:trPr>
          <w:trHeight w:val="181"/>
        </w:trPr>
        <w:tc>
          <w:tcPr>
            <w:tcW w:w="14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280" w:type="dxa"/>
            <w:vAlign w:val="bottom"/>
          </w:tcPr>
          <w:p>
            <w:pPr>
              <w:spacing w:after="0"/>
              <w:rPr>
                <w:sz w:val="15"/>
                <w:szCs w:val="15"/>
                <w:color w:val="auto"/>
              </w:rPr>
            </w:pPr>
          </w:p>
        </w:tc>
        <w:tc>
          <w:tcPr>
            <w:tcW w:w="10360" w:type="dxa"/>
            <w:vAlign w:val="bottom"/>
          </w:tcPr>
          <w:p>
            <w:pPr>
              <w:spacing w:after="0"/>
              <w:rPr>
                <w:sz w:val="15"/>
                <w:szCs w:val="15"/>
                <w:color w:val="auto"/>
              </w:rPr>
            </w:pPr>
          </w:p>
        </w:tc>
      </w:tr>
      <w:tr>
        <w:trPr>
          <w:trHeight w:val="33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036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30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60" w:type="dxa"/>
            <w:vAlign w:val="bottom"/>
          </w:tcPr>
          <w:p>
            <w:pPr>
              <w:ind w:left="4660"/>
              <w:spacing w:after="0"/>
              <w:rPr>
                <w:sz w:val="20"/>
                <w:szCs w:val="20"/>
                <w:color w:val="auto"/>
              </w:rPr>
            </w:pPr>
            <w:r>
              <w:rPr>
                <w:rFonts w:ascii="Arial" w:cs="Arial" w:eastAsia="Arial" w:hAnsi="Arial"/>
                <w:sz w:val="18"/>
                <w:szCs w:val="18"/>
                <w:color w:val="auto"/>
              </w:rPr>
              <w:t>- 94 -</w:t>
            </w:r>
          </w:p>
        </w:tc>
      </w:tr>
    </w:tbl>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5900" w:type="dxa"/>
            <w:vAlign w:val="bottom"/>
            <w:gridSpan w:val="4"/>
          </w:tcPr>
          <w:p>
            <w:pPr>
              <w:spacing w:after="0"/>
              <w:rPr>
                <w:sz w:val="20"/>
                <w:szCs w:val="20"/>
                <w:color w:val="auto"/>
              </w:rPr>
            </w:pPr>
            <w:r>
              <w:rPr>
                <w:rFonts w:ascii="Arial" w:cs="Arial" w:eastAsia="Arial" w:hAnsi="Arial"/>
                <w:sz w:val="18"/>
                <w:szCs w:val="18"/>
                <w:color w:val="auto"/>
              </w:rPr>
              <w:t>Date: May 8, 2015</w:t>
            </w:r>
          </w:p>
        </w:tc>
        <w:tc>
          <w:tcPr>
            <w:tcW w:w="5520" w:type="dxa"/>
            <w:vAlign w:val="bottom"/>
            <w:gridSpan w:val="2"/>
          </w:tcPr>
          <w:p>
            <w:pPr>
              <w:spacing w:after="0"/>
              <w:rPr>
                <w:sz w:val="20"/>
                <w:szCs w:val="20"/>
                <w:color w:val="auto"/>
              </w:rPr>
            </w:pPr>
            <w:r>
              <w:rPr>
                <w:rFonts w:ascii="Arial" w:cs="Arial" w:eastAsia="Arial" w:hAnsi="Arial"/>
                <w:sz w:val="18"/>
                <w:szCs w:val="18"/>
                <w:color w:val="auto"/>
              </w:rPr>
              <w:t>By:  /s/ René F. Jones</w:t>
            </w:r>
          </w:p>
        </w:tc>
      </w:tr>
      <w:tr>
        <w:trPr>
          <w:trHeight w:val="209"/>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30"/>
        </w:trPr>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3"/>
          </w:tcPr>
          <w:p>
            <w:pPr>
              <w:ind w:left="4140"/>
              <w:spacing w:after="0"/>
              <w:rPr>
                <w:sz w:val="20"/>
                <w:szCs w:val="20"/>
                <w:color w:val="auto"/>
              </w:rPr>
            </w:pPr>
            <w:r>
              <w:rPr>
                <w:rFonts w:ascii="Arial" w:cs="Arial" w:eastAsia="Arial" w:hAnsi="Arial"/>
                <w:sz w:val="18"/>
                <w:szCs w:val="18"/>
                <w:color w:val="auto"/>
              </w:rPr>
              <w:t>EXHIBIT INDEX</w:t>
            </w:r>
          </w:p>
        </w:tc>
      </w:tr>
      <w:tr>
        <w:trPr>
          <w:trHeight w:val="373"/>
        </w:trPr>
        <w:tc>
          <w:tcPr>
            <w:tcW w:w="140" w:type="dxa"/>
            <w:vAlign w:val="bottom"/>
          </w:tcPr>
          <w:p>
            <w:pPr>
              <w:spacing w:after="0"/>
              <w:rPr>
                <w:sz w:val="24"/>
                <w:szCs w:val="2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color w:val="auto"/>
              </w:rPr>
              <w:t>Exhibit</w:t>
            </w:r>
          </w:p>
        </w:tc>
        <w:tc>
          <w:tcPr>
            <w:tcW w:w="4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81"/>
        </w:trPr>
        <w:tc>
          <w:tcPr>
            <w:tcW w:w="14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3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331"/>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Chief Financial Officer under 18 U.S.C. §1350 pursuant to Section 906 of the Sarbanes-Oxley Act of 2002.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98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980" w:type="dxa"/>
            <w:vAlign w:val="bottom"/>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980" w:type="dxa"/>
            <w:vAlign w:val="bottom"/>
          </w:tcPr>
          <w:p>
            <w:pPr>
              <w:ind w:left="240"/>
              <w:spacing w:after="0"/>
              <w:rPr>
                <w:sz w:val="20"/>
                <w:szCs w:val="20"/>
                <w:color w:val="auto"/>
              </w:rPr>
            </w:pPr>
            <w:r>
              <w:rPr>
                <w:rFonts w:ascii="Arial" w:cs="Arial" w:eastAsia="Arial" w:hAnsi="Arial"/>
                <w:sz w:val="18"/>
                <w:szCs w:val="18"/>
                <w:color w:val="auto"/>
                <w:w w:val="99"/>
              </w:rPr>
              <w:t>XBRL Taxonomy Extension Label Linkbase. Filed herewith.</w:t>
            </w: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980" w:type="dxa"/>
            <w:vAlign w:val="bottom"/>
          </w:tcPr>
          <w:p>
            <w:pPr>
              <w:ind w:left="240"/>
              <w:spacing w:after="0"/>
              <w:rPr>
                <w:sz w:val="20"/>
                <w:szCs w:val="20"/>
                <w:color w:val="auto"/>
              </w:rPr>
            </w:pPr>
            <w:r>
              <w:rPr>
                <w:rFonts w:ascii="Arial" w:cs="Arial" w:eastAsia="Arial" w:hAnsi="Arial"/>
                <w:sz w:val="18"/>
                <w:szCs w:val="18"/>
                <w:color w:val="auto"/>
              </w:rPr>
              <w:t>XBRL Taxonomy Definition Linkbase. Filed herewith.</w:t>
            </w: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80" w:type="dxa"/>
            <w:vAlign w:val="bottom"/>
          </w:tcPr>
          <w:p>
            <w:pPr>
              <w:ind w:left="4600"/>
              <w:spacing w:after="0"/>
              <w:rPr>
                <w:sz w:val="20"/>
                <w:szCs w:val="20"/>
                <w:color w:val="auto"/>
              </w:rPr>
            </w:pPr>
            <w:r>
              <w:rPr>
                <w:rFonts w:ascii="Arial" w:cs="Arial" w:eastAsia="Arial" w:hAnsi="Arial"/>
                <w:sz w:val="18"/>
                <w:szCs w:val="18"/>
                <w:color w:val="auto"/>
                <w:w w:val="85"/>
              </w:rPr>
              <w:t>- 95 -</w:t>
            </w:r>
          </w:p>
        </w:tc>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2015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2015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2"/>
    </w:lvl>
  </w:abstractNum>
  <w:abstractNum w:abstractNumId="4">
    <w:nsid w:val="4B588F54"/>
    <w:multiLevelType w:val="hybridMultilevel"/>
    <w:lvl w:ilvl="0">
      <w:lvlJc w:val="left"/>
      <w:lvlText w:val="%1."/>
      <w:numFmt w:val="decimal"/>
      <w:start w:val="2"/>
    </w:lvl>
  </w:abstractNum>
  <w:abstractNum w:abstractNumId="5">
    <w:nsid w:val="542289EC"/>
    <w:multiLevelType w:val="hybridMultilevel"/>
    <w:lvl w:ilvl="0">
      <w:lvlJc w:val="left"/>
      <w:lvlText w:val="%1."/>
      <w:numFmt w:val="decimal"/>
      <w:start w:val="3"/>
    </w:lvl>
  </w:abstractNum>
  <w:abstractNum w:abstractNumId="6">
    <w:nsid w:val="6DE91B18"/>
    <w:multiLevelType w:val="hybridMultilevel"/>
    <w:lvl w:ilvl="0">
      <w:lvlJc w:val="left"/>
      <w:lvlText w:val="%1."/>
      <w:numFmt w:val="decimal"/>
      <w:start w:val="3"/>
    </w:lvl>
  </w:abstractNum>
  <w:abstractNum w:abstractNumId="7">
    <w:nsid w:val="38437FDB"/>
    <w:multiLevelType w:val="hybridMultilevel"/>
    <w:lvl w:ilvl="0">
      <w:lvlJc w:val="left"/>
      <w:lvlText w:val="%1."/>
      <w:numFmt w:val="decimal"/>
      <w:start w:val="3"/>
    </w:lvl>
  </w:abstractNum>
  <w:abstractNum w:abstractNumId="8">
    <w:nsid w:val="7644A45C"/>
    <w:multiLevelType w:val="hybridMultilevel"/>
    <w:lvl w:ilvl="0">
      <w:lvlJc w:val="left"/>
      <w:lvlText w:val="%1."/>
      <w:numFmt w:val="decimal"/>
      <w:start w:val="3"/>
    </w:lvl>
  </w:abstractNum>
  <w:abstractNum w:abstractNumId="9">
    <w:nsid w:val="32FFF902"/>
    <w:multiLevelType w:val="hybridMultilevel"/>
    <w:lvl w:ilvl="0">
      <w:lvlJc w:val="left"/>
      <w:lvlText w:val="%1."/>
      <w:numFmt w:val="decimal"/>
      <w:start w:val="4"/>
    </w:lvl>
  </w:abstractNum>
  <w:abstractNum w:abstractNumId="10">
    <w:nsid w:val="684A481A"/>
    <w:multiLevelType w:val="hybridMultilevel"/>
    <w:lvl w:ilvl="0">
      <w:lvlJc w:val="left"/>
      <w:lvlText w:val="%1."/>
      <w:numFmt w:val="decimal"/>
      <w:start w:val="4"/>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decimal"/>
      <w:start w:val="4"/>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decimal"/>
      <w:start w:val="4"/>
    </w:lvl>
  </w:abstractNum>
  <w:abstractNum w:abstractNumId="15">
    <w:nsid w:val="79A1DEAA"/>
    <w:multiLevelType w:val="hybridMultilevel"/>
    <w:lvl w:ilvl="0">
      <w:lvlJc w:val="left"/>
      <w:lvlText w:val="%1."/>
      <w:numFmt w:val="decimal"/>
      <w:start w:val="4"/>
    </w:lvl>
  </w:abstractNum>
  <w:abstractNum w:abstractNumId="16">
    <w:nsid w:val="75C6C33A"/>
    <w:multiLevelType w:val="hybridMultilevel"/>
    <w:lvl w:ilvl="0">
      <w:lvlJc w:val="left"/>
      <w:lvlText w:val="%1."/>
      <w:numFmt w:val="decimal"/>
      <w:start w:val="4"/>
    </w:lvl>
  </w:abstractNum>
  <w:abstractNum w:abstractNumId="17">
    <w:nsid w:val="12E685FB"/>
    <w:multiLevelType w:val="hybridMultilevel"/>
    <w:lvl w:ilvl="0">
      <w:lvlJc w:val="left"/>
      <w:lvlText w:val="%1."/>
      <w:numFmt w:val="decimal"/>
      <w:start w:val="4"/>
    </w:lvl>
  </w:abstractNum>
  <w:abstractNum w:abstractNumId="18">
    <w:nsid w:val="70C6A529"/>
    <w:multiLevelType w:val="hybridMultilevel"/>
    <w:lvl w:ilvl="0">
      <w:lvlJc w:val="left"/>
      <w:lvlText w:val="%1."/>
      <w:numFmt w:val="decimal"/>
      <w:start w:val="4"/>
    </w:lvl>
  </w:abstractNum>
  <w:abstractNum w:abstractNumId="19">
    <w:nsid w:val="520EEDD1"/>
    <w:multiLevelType w:val="hybridMultilevel"/>
    <w:lvl w:ilvl="0">
      <w:lvlJc w:val="left"/>
      <w:lvlText w:val="%1."/>
      <w:numFmt w:val="decimal"/>
      <w:start w:val="4"/>
    </w:lvl>
  </w:abstractNum>
  <w:abstractNum w:abstractNumId="20">
    <w:nsid w:val="374A3FE6"/>
    <w:multiLevelType w:val="hybridMultilevel"/>
    <w:lvl w:ilvl="0">
      <w:lvlJc w:val="left"/>
      <w:lvlText w:val="(%1)"/>
      <w:numFmt w:val="lowerLetter"/>
      <w:start w:val="1"/>
    </w:lvl>
    <w:lvl w:ilvl="1">
      <w:lvlJc w:val="left"/>
      <w:lvlText w:val="-"/>
      <w:numFmt w:val="bullet"/>
      <w:start w:val="1"/>
    </w:lvl>
  </w:abstractNum>
  <w:abstractNum w:abstractNumId="21">
    <w:nsid w:val="4F4EF005"/>
    <w:multiLevelType w:val="hybridMultilevel"/>
    <w:lvl w:ilvl="0">
      <w:lvlJc w:val="left"/>
      <w:lvlText w:val="%1."/>
      <w:numFmt w:val="decimal"/>
      <w:start w:val="4"/>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decimal"/>
      <w:start w:val="4"/>
    </w:lvl>
  </w:abstractNum>
  <w:abstractNum w:abstractNumId="24">
    <w:nsid w:val="275AC794"/>
    <w:multiLevelType w:val="hybridMultilevel"/>
    <w:lvl w:ilvl="0">
      <w:lvlJc w:val="left"/>
      <w:lvlText w:val="%1."/>
      <w:numFmt w:val="decimal"/>
      <w:start w:val="5"/>
    </w:lvl>
  </w:abstractNum>
  <w:abstractNum w:abstractNumId="25">
    <w:nsid w:val="39386575"/>
    <w:multiLevelType w:val="hybridMultilevel"/>
    <w:lvl w:ilvl="0">
      <w:lvlJc w:val="left"/>
      <w:lvlText w:val="%1."/>
      <w:numFmt w:val="decimal"/>
      <w:start w:val="5"/>
    </w:lvl>
  </w:abstractNum>
  <w:abstractNum w:abstractNumId="26">
    <w:nsid w:val="1CF10FD8"/>
    <w:multiLevelType w:val="hybridMultilevel"/>
    <w:lvl w:ilvl="0">
      <w:lvlJc w:val="left"/>
      <w:lvlText w:val="%1."/>
      <w:numFmt w:val="decimal"/>
      <w:start w:val="6"/>
    </w:lvl>
  </w:abstractNum>
  <w:abstractNum w:abstractNumId="27">
    <w:nsid w:val="180115BE"/>
    <w:multiLevelType w:val="hybridMultilevel"/>
    <w:lvl w:ilvl="0">
      <w:lvlJc w:val="left"/>
      <w:lvlText w:val="(%1)"/>
      <w:numFmt w:val="lowerLetter"/>
      <w:start w:val="1"/>
    </w:lvl>
    <w:lvl w:ilvl="1">
      <w:lvlJc w:val="left"/>
      <w:lvlText w:val="-"/>
      <w:numFmt w:val="bullet"/>
      <w:start w:val="1"/>
    </w:lvl>
  </w:abstractNum>
  <w:abstractNum w:abstractNumId="28">
    <w:nsid w:val="235BA861"/>
    <w:multiLevelType w:val="hybridMultilevel"/>
    <w:lvl w:ilvl="0">
      <w:lvlJc w:val="left"/>
      <w:lvlText w:val="%1."/>
      <w:numFmt w:val="decimal"/>
      <w:start w:val="6"/>
    </w:lvl>
  </w:abstractNum>
  <w:abstractNum w:abstractNumId="29">
    <w:nsid w:val="47398C89"/>
    <w:multiLevelType w:val="hybridMultilevel"/>
    <w:lvl w:ilvl="0">
      <w:lvlJc w:val="left"/>
      <w:lvlText w:val="(%1)"/>
      <w:numFmt w:val="lowerLetter"/>
      <w:start w:val="3"/>
    </w:lvl>
  </w:abstractNum>
  <w:abstractNum w:abstractNumId="30">
    <w:nsid w:val="354FE9F9"/>
    <w:multiLevelType w:val="hybridMultilevel"/>
    <w:lvl w:ilvl="0">
      <w:lvlJc w:val="left"/>
      <w:lvlText w:val="%1."/>
      <w:numFmt w:val="decimal"/>
      <w:start w:val="7"/>
    </w:lvl>
  </w:abstractNum>
  <w:abstractNum w:abstractNumId="31">
    <w:nsid w:val="15B5AF5C"/>
    <w:multiLevelType w:val="hybridMultilevel"/>
    <w:lvl w:ilvl="0">
      <w:lvlJc w:val="left"/>
      <w:lvlText w:val="%1."/>
      <w:numFmt w:val="decimal"/>
      <w:start w:val="8"/>
    </w:lvl>
  </w:abstractNum>
  <w:abstractNum w:abstractNumId="32">
    <w:nsid w:val="741226BB"/>
    <w:multiLevelType w:val="hybridMultilevel"/>
    <w:lvl w:ilvl="0">
      <w:lvlJc w:val="left"/>
      <w:lvlText w:val="%1."/>
      <w:numFmt w:val="decimal"/>
      <w:start w:val="9"/>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decimal"/>
      <w:start w:val="10"/>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decimal"/>
      <w:start w:val="10"/>
    </w:lvl>
  </w:abstractNum>
  <w:abstractNum w:abstractNumId="37">
    <w:nsid w:val="7E0C57B1"/>
    <w:multiLevelType w:val="hybridMultilevel"/>
    <w:lvl w:ilvl="0">
      <w:lvlJc w:val="left"/>
      <w:lvlText w:val="(%1)"/>
      <w:numFmt w:val="lowerLetter"/>
      <w:start w:val="1"/>
    </w:lvl>
    <w:lvl w:ilvl="1">
      <w:lvlJc w:val="left"/>
      <w:lvlText w:val="-"/>
      <w:numFmt w:val="bullet"/>
      <w:start w:val="1"/>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decimal"/>
      <w:start w:val="10"/>
    </w:lvl>
  </w:abstractNum>
  <w:abstractNum w:abstractNumId="40">
    <w:nsid w:val="310C50B3"/>
    <w:multiLevelType w:val="hybridMultilevel"/>
    <w:lvl w:ilvl="0">
      <w:lvlJc w:val="left"/>
      <w:lvlText w:val="%1."/>
      <w:numFmt w:val="decimal"/>
      <w:start w:val="11"/>
    </w:lvl>
  </w:abstractNum>
  <w:abstractNum w:abstractNumId="41">
    <w:nsid w:val="5FF87E05"/>
    <w:multiLevelType w:val="hybridMultilevel"/>
    <w:lvl w:ilvl="0">
      <w:lvlJc w:val="left"/>
      <w:lvlText w:val="%1."/>
      <w:numFmt w:val="decimal"/>
      <w:start w:val="11"/>
    </w:lvl>
  </w:abstractNum>
  <w:abstractNum w:abstractNumId="42">
    <w:nsid w:val="2F305DEF"/>
    <w:multiLevelType w:val="hybridMultilevel"/>
    <w:lvl w:ilvl="0">
      <w:lvlJc w:val="left"/>
      <w:lvlText w:val="%1."/>
      <w:numFmt w:val="decimal"/>
      <w:start w:val="12"/>
    </w:lvl>
  </w:abstractNum>
  <w:abstractNum w:abstractNumId="43">
    <w:nsid w:val="25A70BF7"/>
    <w:multiLevelType w:val="hybridMultilevel"/>
    <w:lvl w:ilvl="0">
      <w:lvlJc w:val="left"/>
      <w:lvlText w:val="%1."/>
      <w:numFmt w:val="decimal"/>
      <w:start w:val="12"/>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2"/>
    </w:lvl>
  </w:abstractNum>
  <w:abstractNum w:abstractNumId="46">
    <w:nsid w:val="1F48EAA1"/>
    <w:multiLevelType w:val="hybridMultilevel"/>
    <w:lvl w:ilvl="0">
      <w:lvlJc w:val="left"/>
      <w:lvlText w:val="%1."/>
      <w:numFmt w:val="decimal"/>
      <w:start w:val="12"/>
    </w:lvl>
  </w:abstractNum>
  <w:abstractNum w:abstractNumId="47">
    <w:nsid w:val="1381823A"/>
    <w:multiLevelType w:val="hybridMultilevel"/>
    <w:lvl w:ilvl="0">
      <w:lvlJc w:val="left"/>
      <w:lvlText w:val="(%1)"/>
      <w:numFmt w:val="lowerLetter"/>
      <w:start w:val="1"/>
    </w:lvl>
    <w:lvl w:ilvl="1">
      <w:lvlJc w:val="left"/>
      <w:lvlText w:val="-"/>
      <w:numFmt w:val="bullet"/>
      <w:start w:val="1"/>
    </w:lvl>
  </w:abstractNum>
  <w:abstractNum w:abstractNumId="48">
    <w:nsid w:val="5DB70AE5"/>
    <w:multiLevelType w:val="hybridMultilevel"/>
    <w:lvl w:ilvl="0">
      <w:lvlJc w:val="left"/>
      <w:lvlText w:val="%1."/>
      <w:numFmt w:val="decimal"/>
      <w:start w:val="12"/>
    </w:lvl>
  </w:abstractNum>
  <w:abstractNum w:abstractNumId="49">
    <w:nsid w:val="100F8FCA"/>
    <w:multiLevelType w:val="hybridMultilevel"/>
    <w:lvl w:ilvl="0">
      <w:lvlJc w:val="left"/>
      <w:lvlText w:val="%1."/>
      <w:numFmt w:val="decimal"/>
      <w:start w:val="12"/>
    </w:lvl>
  </w:abstractNum>
  <w:abstractNum w:abstractNumId="50">
    <w:nsid w:val="6590700B"/>
    <w:multiLevelType w:val="hybridMultilevel"/>
    <w:lvl w:ilvl="0">
      <w:lvlJc w:val="left"/>
      <w:lvlText w:val="(%1)"/>
      <w:numFmt w:val="lowerLetter"/>
      <w:start w:val="1"/>
    </w:lvl>
    <w:lvl w:ilvl="1">
      <w:lvlJc w:val="left"/>
      <w:lvlText w:val="-"/>
      <w:numFmt w:val="bullet"/>
      <w:start w:val="1"/>
    </w:lvl>
  </w:abstractNum>
  <w:abstractNum w:abstractNumId="51">
    <w:nsid w:val="15014ACB"/>
    <w:multiLevelType w:val="hybridMultilevel"/>
    <w:lvl w:ilvl="0">
      <w:lvlJc w:val="left"/>
      <w:lvlText w:val="%1."/>
      <w:numFmt w:val="decimal"/>
      <w:start w:val="12"/>
    </w:lvl>
  </w:abstractNum>
  <w:abstractNum w:abstractNumId="52">
    <w:nsid w:val="5F5E7FD0"/>
    <w:multiLevelType w:val="hybridMultilevel"/>
    <w:lvl w:ilvl="0">
      <w:lvlJc w:val="left"/>
      <w:lvlText w:val="%1."/>
      <w:numFmt w:val="decimal"/>
      <w:start w:val="12"/>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decimal"/>
      <w:start w:val="12"/>
    </w:lvl>
  </w:abstractNum>
  <w:abstractNum w:abstractNumId="55">
    <w:nsid w:val="6B94764"/>
    <w:multiLevelType w:val="hybridMultilevel"/>
    <w:lvl w:ilvl="0">
      <w:lvlJc w:val="left"/>
      <w:lvlText w:val="%1."/>
      <w:numFmt w:val="decimal"/>
      <w:start w:val="12"/>
    </w:lvl>
  </w:abstractNum>
  <w:abstractNum w:abstractNumId="56">
    <w:nsid w:val="42C296BD"/>
    <w:multiLevelType w:val="hybridMultilevel"/>
    <w:lvl w:ilvl="0">
      <w:lvlJc w:val="left"/>
      <w:lvlText w:val="%1."/>
      <w:numFmt w:val="decimal"/>
      <w:start w:val="12"/>
    </w:lvl>
  </w:abstractNum>
  <w:abstractNum w:abstractNumId="57">
    <w:nsid w:val="168E121F"/>
    <w:multiLevelType w:val="hybridMultilevel"/>
    <w:lvl w:ilvl="0">
      <w:lvlJc w:val="left"/>
      <w:lvlText w:val="%1."/>
      <w:numFmt w:val="decimal"/>
      <w:start w:val="13"/>
    </w:lvl>
  </w:abstractNum>
  <w:abstractNum w:abstractNumId="58">
    <w:nsid w:val="1EBA5D23"/>
    <w:multiLevelType w:val="hybridMultilevel"/>
    <w:lvl w:ilvl="0">
      <w:lvlJc w:val="left"/>
      <w:lvlText w:val="%1."/>
      <w:numFmt w:val="decimal"/>
      <w:start w:val="13"/>
    </w:lvl>
  </w:abstractNum>
  <w:abstractNum w:abstractNumId="59">
    <w:nsid w:val="661E3F1E"/>
    <w:multiLevelType w:val="hybridMultilevel"/>
    <w:lvl w:ilvl="0">
      <w:lvlJc w:val="left"/>
      <w:lvlText w:val="%1."/>
      <w:numFmt w:val="decimal"/>
      <w:start w:val="14"/>
    </w:lvl>
  </w:abstractNum>
  <w:abstractNum w:abstractNumId="60">
    <w:nsid w:val="5DC79EA8"/>
    <w:multiLevelType w:val="hybridMultilevel"/>
    <w:lvl w:ilvl="0">
      <w:lvlJc w:val="left"/>
      <w:lvlText w:val="%1."/>
      <w:numFmt w:val="decimal"/>
      <w:start w:val="14"/>
    </w:lvl>
  </w:abstractNum>
  <w:abstractNum w:abstractNumId="61">
    <w:nsid w:val="540A471C"/>
    <w:multiLevelType w:val="hybridMultilevel"/>
    <w:lvl w:ilvl="0">
      <w:lvlJc w:val="left"/>
      <w:lvlText w:val="(%1)"/>
      <w:numFmt w:val="lowerLetter"/>
      <w:start w:val="1"/>
    </w:lvl>
    <w:lvl w:ilvl="1">
      <w:lvlJc w:val="left"/>
      <w:lvlText w:val="-"/>
      <w:numFmt w:val="bullet"/>
      <w:start w:val="1"/>
    </w:lvl>
  </w:abstractNum>
  <w:abstractNum w:abstractNumId="62">
    <w:nsid w:val="7BD3EE7B"/>
    <w:multiLevelType w:val="hybridMultilevel"/>
    <w:lvl w:ilvl="0">
      <w:lvlJc w:val="left"/>
      <w:lvlText w:val="%1."/>
      <w:numFmt w:val="decimal"/>
      <w:start w:val="14"/>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lvl w:ilvl="1">
      <w:lvlJc w:val="left"/>
      <w:lvlText w:val="-"/>
      <w:numFmt w:val="bullet"/>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4"/>
    </w:lvl>
    <w:lvl w:ilvl="1">
      <w:lvlJc w:val="left"/>
      <w:lvlText w:val="-"/>
      <w:numFmt w:val="bullet"/>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2"/>
    </w:lvl>
    <w:lvl w:ilvl="1">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3"/>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5"/>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2019-12-29T16:08:57Z</dcterms:created>
  <dcterms:modified xsi:type="dcterms:W3CDTF">2019-12-29T16:08:57Z</dcterms:modified>
</cp:coreProperties>
</file>