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226ds3asr.htm"/>
        <w:bookmarkStart w:id="1" w:name="ksd14226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September 22,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FORM S-3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M&amp;T BANK CORPORATION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6"/>
        </w:rPr>
      </w:pPr>
      <w:r>
        <w:rPr>
          <w:rFonts w:ascii="Times New Roman" w:hAnsi="Times New Roman"/>
          <w:b/>
          <w:sz w:val="16"/>
        </w:rPr>
        <w:t xml:space="preserve">NEW YORK </w:t>
      </w:r>
    </w:p>
    <w:p>
      <w:pPr>
        <w:pStyle w:val="TextBody"/>
        <w:bidi w:val="0"/>
        <w:spacing w:before="0" w:after="0"/>
        <w:jc w:val="center"/>
        <w:rPr>
          <w:rFonts w:ascii="Times New Roman" w:hAnsi="Times New Roman"/>
          <w:b/>
          <w:sz w:val="14"/>
        </w:rPr>
      </w:pPr>
      <w:r>
        <w:rPr>
          <w:rFonts w:ascii="Times New Roman" w:hAnsi="Times New Roman"/>
          <w:b/>
          <w:sz w:val="14"/>
        </w:rPr>
        <w:t xml:space="preserve">(State or other jurisdiction of </w:t>
      </w:r>
    </w:p>
    <w:p>
      <w:pPr>
        <w:pStyle w:val="TextBody"/>
        <w:bidi w:val="0"/>
        <w:spacing w:before="0" w:after="0"/>
        <w:jc w:val="center"/>
        <w:rPr>
          <w:rFonts w:ascii="Times New Roman" w:hAnsi="Times New Roman"/>
          <w:b/>
          <w:sz w:val="14"/>
        </w:rPr>
      </w:pPr>
      <w:r>
        <w:rPr>
          <w:rFonts w:ascii="Times New Roman" w:hAnsi="Times New Roman"/>
          <w:b/>
          <w:sz w:val="14"/>
        </w:rPr>
        <w:t xml:space="preserve">incorporation or organization) </w:t>
      </w:r>
    </w:p>
    <w:p>
      <w:pPr>
        <w:pStyle w:val="TextBody"/>
        <w:bidi w:val="0"/>
        <w:spacing w:before="240" w:after="0"/>
        <w:jc w:val="center"/>
        <w:rPr>
          <w:rFonts w:ascii="Times New Roman" w:hAnsi="Times New Roman"/>
          <w:b/>
          <w:sz w:val="16"/>
        </w:rPr>
      </w:pPr>
      <w:r>
        <w:rPr>
          <w:rFonts w:ascii="Times New Roman" w:hAnsi="Times New Roman"/>
          <w:b/>
          <w:sz w:val="16"/>
        </w:rPr>
        <w:t xml:space="preserve">16-0968385 </w:t>
      </w:r>
    </w:p>
    <w:p>
      <w:pPr>
        <w:pStyle w:val="TextBody"/>
        <w:bidi w:val="0"/>
        <w:spacing w:before="0" w:after="0"/>
        <w:jc w:val="center"/>
        <w:rPr>
          <w:rFonts w:ascii="Times New Roman" w:hAnsi="Times New Roman"/>
          <w:b/>
          <w:sz w:val="14"/>
        </w:rPr>
      </w:pPr>
      <w:r>
        <w:rPr>
          <w:rFonts w:ascii="Times New Roman" w:hAnsi="Times New Roman"/>
          <w:b/>
          <w:sz w:val="14"/>
        </w:rPr>
        <w:t xml:space="preserve">(I.R.S. Employer </w:t>
      </w:r>
    </w:p>
    <w:p>
      <w:pPr>
        <w:pStyle w:val="TextBody"/>
        <w:bidi w:val="0"/>
        <w:spacing w:before="0" w:after="0"/>
        <w:jc w:val="center"/>
        <w:rPr>
          <w:rFonts w:ascii="Times New Roman" w:hAnsi="Times New Roman"/>
          <w:b/>
          <w:sz w:val="14"/>
        </w:rPr>
      </w:pPr>
      <w:r>
        <w:rPr>
          <w:rFonts w:ascii="Times New Roman" w:hAnsi="Times New Roman"/>
          <w:b/>
          <w:sz w:val="14"/>
        </w:rPr>
        <w:t xml:space="preserve">Identification No.) </w:t>
      </w:r>
    </w:p>
    <w:p>
      <w:pPr>
        <w:pStyle w:val="TextBody"/>
        <w:bidi w:val="0"/>
        <w:spacing w:before="240" w:after="0"/>
        <w:jc w:val="center"/>
        <w:rPr>
          <w:rFonts w:ascii="Times New Roman" w:hAnsi="Times New Roman"/>
          <w:b/>
          <w:sz w:val="16"/>
        </w:rPr>
      </w:pPr>
      <w:r>
        <w:rPr>
          <w:rFonts w:ascii="Times New Roman" w:hAnsi="Times New Roman"/>
          <w:b/>
          <w:sz w:val="16"/>
        </w:rPr>
        <w:t xml:space="preserve">ONE M&amp;T PLAZA </w:t>
      </w:r>
    </w:p>
    <w:p>
      <w:pPr>
        <w:pStyle w:val="TextBody"/>
        <w:bidi w:val="0"/>
        <w:spacing w:before="0" w:after="0"/>
        <w:jc w:val="center"/>
        <w:rPr>
          <w:rFonts w:ascii="Times New Roman" w:hAnsi="Times New Roman"/>
          <w:b/>
          <w:sz w:val="16"/>
        </w:rPr>
      </w:pPr>
      <w:r>
        <w:rPr>
          <w:rFonts w:ascii="Times New Roman" w:hAnsi="Times New Roman"/>
          <w:b/>
          <w:sz w:val="16"/>
        </w:rPr>
        <w:t xml:space="preserve">BUFFALO, NEW YORK 14203 </w:t>
      </w:r>
    </w:p>
    <w:p>
      <w:pPr>
        <w:pStyle w:val="TextBody"/>
        <w:bidi w:val="0"/>
        <w:spacing w:before="0" w:after="0"/>
        <w:jc w:val="center"/>
        <w:rPr>
          <w:rFonts w:ascii="Times New Roman" w:hAnsi="Times New Roman"/>
          <w:b/>
          <w:sz w:val="16"/>
        </w:rPr>
      </w:pPr>
      <w:r>
        <w:rPr>
          <w:rFonts w:ascii="Times New Roman" w:hAnsi="Times New Roman"/>
          <w:b/>
          <w:sz w:val="16"/>
        </w:rPr>
        <w:t xml:space="preserve">(716) 635-4000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6"/>
        </w:rPr>
      </w:pPr>
      <w:r>
        <w:rPr>
          <w:rFonts w:ascii="Times New Roman" w:hAnsi="Times New Roman"/>
          <w:b/>
          <w:sz w:val="16"/>
        </w:rPr>
        <w:t xml:space="preserve">LAURA P. O’HARA, ESQ. </w:t>
      </w:r>
    </w:p>
    <w:p>
      <w:pPr>
        <w:pStyle w:val="TextBody"/>
        <w:bidi w:val="0"/>
        <w:spacing w:before="0" w:after="0"/>
        <w:jc w:val="center"/>
        <w:rPr>
          <w:rFonts w:ascii="Times New Roman" w:hAnsi="Times New Roman"/>
          <w:b/>
          <w:sz w:val="16"/>
        </w:rPr>
      </w:pPr>
      <w:r>
        <w:rPr>
          <w:rFonts w:ascii="Times New Roman" w:hAnsi="Times New Roman"/>
          <w:b/>
          <w:sz w:val="16"/>
        </w:rPr>
        <w:t xml:space="preserve">SENIOR EXECUTIVE VICE PRESIDENT AND CHIEF LEGAL OFFICER </w:t>
      </w:r>
    </w:p>
    <w:p>
      <w:pPr>
        <w:pStyle w:val="TextBody"/>
        <w:bidi w:val="0"/>
        <w:spacing w:before="0" w:after="0"/>
        <w:jc w:val="center"/>
        <w:rPr>
          <w:rFonts w:ascii="Times New Roman" w:hAnsi="Times New Roman"/>
          <w:b/>
          <w:sz w:val="16"/>
        </w:rPr>
      </w:pPr>
      <w:r>
        <w:rPr>
          <w:rFonts w:ascii="Times New Roman" w:hAnsi="Times New Roman"/>
          <w:b/>
          <w:sz w:val="16"/>
        </w:rPr>
        <w:t xml:space="preserve">M&amp;T BANK CORPORATION </w:t>
      </w:r>
    </w:p>
    <w:p>
      <w:pPr>
        <w:pStyle w:val="TextBody"/>
        <w:bidi w:val="0"/>
        <w:spacing w:before="0" w:after="0"/>
        <w:jc w:val="center"/>
        <w:rPr>
          <w:rFonts w:ascii="Times New Roman" w:hAnsi="Times New Roman"/>
          <w:b/>
          <w:sz w:val="16"/>
        </w:rPr>
      </w:pPr>
      <w:r>
        <w:rPr>
          <w:rFonts w:ascii="Times New Roman" w:hAnsi="Times New Roman"/>
          <w:b/>
          <w:sz w:val="16"/>
        </w:rPr>
        <w:t xml:space="preserve">ONE M&amp;T PLAZA </w:t>
      </w:r>
    </w:p>
    <w:p>
      <w:pPr>
        <w:pStyle w:val="TextBody"/>
        <w:bidi w:val="0"/>
        <w:spacing w:before="0" w:after="0"/>
        <w:jc w:val="center"/>
        <w:rPr>
          <w:rFonts w:ascii="Times New Roman" w:hAnsi="Times New Roman"/>
          <w:b/>
          <w:sz w:val="16"/>
        </w:rPr>
      </w:pPr>
      <w:r>
        <w:rPr>
          <w:rFonts w:ascii="Times New Roman" w:hAnsi="Times New Roman"/>
          <w:b/>
          <w:sz w:val="16"/>
        </w:rPr>
        <w:t xml:space="preserve">BUFFALO, NEW YORK 14203 </w:t>
      </w:r>
    </w:p>
    <w:p>
      <w:pPr>
        <w:pStyle w:val="TextBody"/>
        <w:bidi w:val="0"/>
        <w:spacing w:before="0" w:after="0"/>
        <w:jc w:val="center"/>
        <w:rPr>
          <w:rFonts w:ascii="Times New Roman" w:hAnsi="Times New Roman"/>
          <w:b/>
          <w:sz w:val="16"/>
        </w:rPr>
      </w:pPr>
      <w:r>
        <w:rPr>
          <w:rFonts w:ascii="Times New Roman" w:hAnsi="Times New Roman"/>
          <w:b/>
          <w:sz w:val="16"/>
        </w:rPr>
        <w:t xml:space="preserve">(716) 842-5445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of each registrant)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16"/>
        </w:rPr>
      </w:pPr>
      <w:r>
        <w:rPr>
          <w:rFonts w:ascii="Times New Roman" w:hAnsi="Times New Roman"/>
          <w:b/>
          <w:i/>
          <w:sz w:val="16"/>
        </w:rPr>
        <w:t xml:space="preserve">Copy to: </w:t>
      </w:r>
    </w:p>
    <w:p>
      <w:pPr>
        <w:pStyle w:val="TextBody"/>
        <w:bidi w:val="0"/>
        <w:spacing w:before="120" w:after="0"/>
        <w:jc w:val="center"/>
        <w:rPr>
          <w:rFonts w:ascii="Times New Roman" w:hAnsi="Times New Roman"/>
          <w:b/>
          <w:sz w:val="16"/>
        </w:rPr>
      </w:pPr>
      <w:r>
        <w:rPr>
          <w:rFonts w:ascii="Times New Roman" w:hAnsi="Times New Roman"/>
          <w:b/>
          <w:sz w:val="16"/>
        </w:rPr>
        <w:t xml:space="preserve">JAMES J. BARRESI, ESQ. </w:t>
      </w:r>
    </w:p>
    <w:p>
      <w:pPr>
        <w:pStyle w:val="TextBody"/>
        <w:bidi w:val="0"/>
        <w:spacing w:before="0" w:after="0"/>
        <w:jc w:val="center"/>
        <w:rPr>
          <w:rFonts w:ascii="Times New Roman" w:hAnsi="Times New Roman"/>
          <w:b/>
          <w:sz w:val="16"/>
        </w:rPr>
      </w:pPr>
      <w:r>
        <w:rPr>
          <w:rFonts w:ascii="Times New Roman" w:hAnsi="Times New Roman"/>
          <w:b/>
          <w:sz w:val="16"/>
        </w:rPr>
        <w:t xml:space="preserve">SQUIRE PATTON BOGGS (US) LLP </w:t>
      </w:r>
    </w:p>
    <w:p>
      <w:pPr>
        <w:pStyle w:val="TextBody"/>
        <w:bidi w:val="0"/>
        <w:spacing w:before="0" w:after="0"/>
        <w:jc w:val="center"/>
        <w:rPr>
          <w:rFonts w:ascii="Times New Roman" w:hAnsi="Times New Roman"/>
          <w:b/>
          <w:sz w:val="16"/>
        </w:rPr>
      </w:pPr>
      <w:r>
        <w:rPr>
          <w:rFonts w:ascii="Times New Roman" w:hAnsi="Times New Roman"/>
          <w:b/>
          <w:sz w:val="16"/>
        </w:rPr>
        <w:t xml:space="preserve">201 E. FOURTH STREET, SUITE 1900 </w:t>
      </w:r>
    </w:p>
    <w:p>
      <w:pPr>
        <w:pStyle w:val="TextBody"/>
        <w:bidi w:val="0"/>
        <w:spacing w:before="0" w:after="0"/>
        <w:jc w:val="center"/>
        <w:rPr>
          <w:rFonts w:ascii="Times New Roman" w:hAnsi="Times New Roman"/>
          <w:b/>
          <w:sz w:val="16"/>
        </w:rPr>
      </w:pPr>
      <w:r>
        <w:rPr>
          <w:rFonts w:ascii="Times New Roman" w:hAnsi="Times New Roman"/>
          <w:b/>
          <w:sz w:val="16"/>
        </w:rPr>
        <w:t xml:space="preserve">CINCINNATI, OHIO 45202 </w:t>
      </w:r>
    </w:p>
    <w:p>
      <w:pPr>
        <w:pStyle w:val="TextBody"/>
        <w:bidi w:val="0"/>
        <w:spacing w:before="0" w:after="0"/>
        <w:jc w:val="center"/>
        <w:rPr>
          <w:rFonts w:ascii="Times New Roman" w:hAnsi="Times New Roman"/>
          <w:b/>
          <w:sz w:val="16"/>
        </w:rPr>
      </w:pPr>
      <w:r>
        <w:rPr>
          <w:rFonts w:ascii="Times New Roman" w:hAnsi="Times New Roman"/>
          <w:b/>
          <w:sz w:val="16"/>
        </w:rPr>
        <w:t xml:space="preserve">(513) 361-1260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6"/>
        </w:rPr>
      </w:pPr>
      <w:r>
        <w:rPr>
          <w:rFonts w:ascii="Times New Roman" w:hAnsi="Times New Roman"/>
          <w:b/>
          <w:sz w:val="16"/>
        </w:rPr>
        <w:t xml:space="preserve">Approximate date of commencement of proposed sale to the public: </w:t>
      </w:r>
      <w:r>
        <w:rPr>
          <w:rFonts w:ascii="Times New Roman" w:hAnsi="Times New Roman"/>
          <w:sz w:val="16"/>
        </w:rPr>
        <w:t xml:space="preserve">From time to time after this Registration Statement becomes effective. </w:t>
      </w:r>
    </w:p>
    <w:p>
      <w:pPr>
        <w:pStyle w:val="TextBody"/>
        <w:bidi w:val="0"/>
        <w:spacing w:before="24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post-effective amendment filed pursuant to Rule 462(c) under the Securities Act, check the following box and list the Securities Act registration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79"/>
        <w:gridCol w:w="108"/>
        <w:gridCol w:w="3833"/>
        <w:gridCol w:w="108"/>
        <w:gridCol w:w="3908"/>
        <w:gridCol w:w="122"/>
        <w:gridCol w:w="247"/>
      </w:tblGrid>
      <w:tr>
        <w:trPr/>
        <w:tc>
          <w:tcPr>
            <w:tcW w:w="187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83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0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879"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Large accelerated filer</w:t>
            </w:r>
          </w:p>
        </w:tc>
        <w:tc>
          <w:tcPr>
            <w:tcW w:w="108" w:type="dxa"/>
            <w:tcBorders/>
            <w:vAlign w:val="bottom"/>
          </w:tcPr>
          <w:p>
            <w:pPr>
              <w:pStyle w:val="TableContents"/>
              <w:bidi w:val="0"/>
              <w:spacing w:before="0" w:after="283"/>
              <w:jc w:val="left"/>
              <w:rPr/>
            </w:pPr>
            <w:r>
              <w:rPr/>
              <w:t> </w:t>
            </w:r>
          </w:p>
        </w:tc>
        <w:tc>
          <w:tcPr>
            <w:tcW w:w="3833" w:type="dxa"/>
            <w:tcBorders/>
            <w:vAlign w:val="bottom"/>
          </w:tcPr>
          <w:p>
            <w:pPr>
              <w:pStyle w:val="TableContents"/>
              <w:bidi w:val="0"/>
              <w:spacing w:before="0" w:after="0"/>
              <w:jc w:val="left"/>
              <w:rPr/>
            </w:pPr>
            <w:r>
              <w:rPr/>
              <w:t>☒</w:t>
            </w:r>
          </w:p>
        </w:tc>
        <w:tc>
          <w:tcPr>
            <w:tcW w:w="108" w:type="dxa"/>
            <w:tcBorders/>
            <w:vAlign w:val="bottom"/>
          </w:tcPr>
          <w:p>
            <w:pPr>
              <w:pStyle w:val="TableContents"/>
              <w:bidi w:val="0"/>
              <w:spacing w:before="0" w:after="283"/>
              <w:jc w:val="left"/>
              <w:rPr/>
            </w:pPr>
            <w:r>
              <w:rPr/>
              <w:t> </w:t>
            </w:r>
          </w:p>
        </w:tc>
        <w:tc>
          <w:tcPr>
            <w:tcW w:w="3908"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Accelerated filer</w:t>
            </w:r>
          </w:p>
        </w:tc>
        <w:tc>
          <w:tcPr>
            <w:tcW w:w="12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0"/>
              <w:jc w:val="left"/>
              <w:rPr/>
            </w:pPr>
            <w:r>
              <w:rPr/>
              <w:t>☐</w:t>
            </w:r>
          </w:p>
        </w:tc>
      </w:tr>
      <w:tr>
        <w:trPr/>
        <w:tc>
          <w:tcPr>
            <w:tcW w:w="1879" w:type="dxa"/>
            <w:tcBorders/>
            <w:vAlign w:val="bottom"/>
          </w:tcPr>
          <w:p>
            <w:pPr>
              <w:pStyle w:val="TableContents"/>
              <w:bidi w:val="0"/>
              <w:spacing w:before="0" w:after="283"/>
              <w:jc w:val="left"/>
              <w:rPr/>
            </w:pPr>
            <w:r>
              <w:rPr/>
              <w:t>Non-accelerated filer</w:t>
            </w:r>
          </w:p>
        </w:tc>
        <w:tc>
          <w:tcPr>
            <w:tcW w:w="108" w:type="dxa"/>
            <w:tcBorders/>
            <w:vAlign w:val="bottom"/>
          </w:tcPr>
          <w:p>
            <w:pPr>
              <w:pStyle w:val="TableContents"/>
              <w:bidi w:val="0"/>
              <w:spacing w:before="0" w:after="283"/>
              <w:jc w:val="left"/>
              <w:rPr/>
            </w:pPr>
            <w:r>
              <w:rPr/>
              <w:t> </w:t>
            </w:r>
          </w:p>
        </w:tc>
        <w:tc>
          <w:tcPr>
            <w:tcW w:w="3833" w:type="dxa"/>
            <w:tcBorders/>
            <w:vAlign w:val="bottom"/>
          </w:tcPr>
          <w:p>
            <w:pPr>
              <w:pStyle w:val="TableContents"/>
              <w:bidi w:val="0"/>
              <w:spacing w:before="0" w:after="283"/>
              <w:jc w:val="left"/>
              <w:rPr/>
            </w:pPr>
            <w:r>
              <w:rPr/>
              <w:t>☐</w:t>
            </w:r>
          </w:p>
        </w:tc>
        <w:tc>
          <w:tcPr>
            <w:tcW w:w="108" w:type="dxa"/>
            <w:tcBorders/>
            <w:vAlign w:val="bottom"/>
          </w:tcPr>
          <w:p>
            <w:pPr>
              <w:pStyle w:val="TableContents"/>
              <w:bidi w:val="0"/>
              <w:spacing w:before="0" w:after="283"/>
              <w:jc w:val="left"/>
              <w:rPr/>
            </w:pPr>
            <w:r>
              <w:rPr/>
              <w:t> </w:t>
            </w:r>
          </w:p>
        </w:tc>
        <w:tc>
          <w:tcPr>
            <w:tcW w:w="3908" w:type="dxa"/>
            <w:tcBorders/>
            <w:vAlign w:val="bottom"/>
          </w:tcPr>
          <w:p>
            <w:pPr>
              <w:pStyle w:val="TableContents"/>
              <w:bidi w:val="0"/>
              <w:spacing w:before="0" w:after="283"/>
              <w:jc w:val="left"/>
              <w:rPr/>
            </w:pPr>
            <w:r>
              <w:rPr/>
              <w:t>Smaller reporting company</w:t>
            </w:r>
          </w:p>
        </w:tc>
        <w:tc>
          <w:tcPr>
            <w:tcW w:w="12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r>
      <w:tr>
        <w:trPr/>
        <w:tc>
          <w:tcPr>
            <w:tcW w:w="1879"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3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08" w:type="dxa"/>
            <w:tcBorders/>
            <w:vAlign w:val="bottom"/>
          </w:tcPr>
          <w:p>
            <w:pPr>
              <w:pStyle w:val="TableContents"/>
              <w:bidi w:val="0"/>
              <w:spacing w:before="0" w:after="283"/>
              <w:jc w:val="left"/>
              <w:rPr/>
            </w:pPr>
            <w:r>
              <w:rPr/>
              <w:t>Emerging growth company</w:t>
            </w:r>
          </w:p>
        </w:tc>
        <w:tc>
          <w:tcPr>
            <w:tcW w:w="12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M&amp;T BANK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24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24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These securities of each class listed above may be offered and sold, from time to time, by M&amp;T Bank Corporation in one or more offerings, subject to approval from M&amp;T Bank Corporation’s Board of Directors, and also may be offered and sold by one or more selling securityholders to be identified in the future in one or more offerings. Unless otherwise indicated or unless the context requires otherwise, all references in this prospectus to “M&amp;T,” “we,” “us,” “our” or similar references mean M&amp;T Bank Corporation. </w:t>
      </w:r>
    </w:p>
    <w:p>
      <w:pPr>
        <w:pStyle w:val="TextBody"/>
        <w:bidi w:val="0"/>
        <w:spacing w:before="240" w:after="0"/>
        <w:jc w:val="left"/>
        <w:rPr>
          <w:rFonts w:ascii="Times New Roman" w:hAnsi="Times New Roman"/>
          <w:sz w:val="20"/>
        </w:rPr>
      </w:pPr>
      <w:r>
        <w:rPr>
          <w:rFonts w:ascii="Times New Roman" w:hAnsi="Times New Roman"/>
          <w:sz w:val="20"/>
        </w:rPr>
        <w:t xml:space="preserve">We or one or more selling securityholders may offer and sell the securities to or through one or more underwriters, dealers or agents as designated from time to time, or directly to purchasers, or through a combination of these methods, on a continuous or delayed basis. We or selling securityholders may offer the securities in amounts, at prices and on terms to be determined by market conditions and other factors at the time of the offering. This prospectus describes only the general terms of these securities and the general manner in which we or selling securityholders will offer these securities. The specific terms of any securities we or selling securityholders offer will be included in one or more supplements to this prospectus. Such prospectus supplements will describe the specific manner in which we or selling securityholders will offer the securities and also may add, update or change information contained in this prospectus. </w:t>
      </w:r>
    </w:p>
    <w:p>
      <w:pPr>
        <w:pStyle w:val="TextBody"/>
        <w:bidi w:val="0"/>
        <w:spacing w:before="240" w:after="0"/>
        <w:jc w:val="left"/>
        <w:rPr>
          <w:rFonts w:ascii="Times New Roman" w:hAnsi="Times New Roman"/>
          <w:sz w:val="20"/>
        </w:rPr>
      </w:pPr>
      <w:r>
        <w:rPr>
          <w:rFonts w:ascii="Times New Roman" w:hAnsi="Times New Roman"/>
          <w:sz w:val="20"/>
        </w:rPr>
        <w:t>You should read this prospectus and any applicable prospectus supplement and the documents incorporated by reference herein or therein carefully before you invest in the securities described in the applicable prospectus supplement. You should also read the documents we have referred you to in the “</w:t>
      </w:r>
      <w:r>
        <w:rPr>
          <w:rFonts w:ascii="Times New Roman" w:hAnsi="Times New Roman"/>
          <w:b/>
          <w:i/>
          <w:sz w:val="20"/>
        </w:rPr>
        <w:t>Where You Can Find More Information</w:t>
      </w:r>
      <w:r>
        <w:rPr>
          <w:rFonts w:ascii="Times New Roman" w:hAnsi="Times New Roman"/>
          <w:sz w:val="20"/>
        </w:rPr>
        <w:t xml:space="preserve">” section of this prospectus for information about us, including our financial statements. This prospectus may not be used to sell securities unless accompanied by the applicable prospectus supplement and a pricing supplement, if any.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specific terms of these securities in supplements to this prospectus. Our common stock is traded on the New York Stock Exchange under the symbol “MTB.” We will provide information in the prospectus supplement for the trading market, if any, for any other securities we or selling securityholders may offer.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any of our securities involves certain risks. You should carefully consider the risks relating to investing in our securities and each of the other risk factors described under the heading “</w:t>
      </w:r>
      <w:hyperlink w:anchor="tx14226_5">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on page 6 of this prospectus and in the applicable prospectus supplement and in the documents incorporated herein by reference before buying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M&amp;T Securities, Inc. is a member of the Financial Industry Regulatory Authority, Inc. (“FINRA”) and may participate in distributions of the securities referred to above. Accordingly, the participation of such entity in the offerings of such securities will conform to the requirements addressing conflicts of interest when distributing the securities of an affiliate set forth in FINRA Rule 5121. </w:t>
      </w:r>
    </w:p>
    <w:p>
      <w:pPr>
        <w:pStyle w:val="TextBody"/>
        <w:bidi w:val="0"/>
        <w:spacing w:before="240" w:after="0"/>
        <w:jc w:val="left"/>
        <w:rPr>
          <w:rFonts w:ascii="Times New Roman" w:hAnsi="Times New Roman"/>
          <w:sz w:val="20"/>
        </w:rPr>
      </w:pPr>
      <w:r>
        <w:rPr>
          <w:rFonts w:ascii="Times New Roman" w:hAnsi="Times New Roman"/>
          <w:sz w:val="20"/>
        </w:rPr>
        <w:t xml:space="preserve">These securities are not savings accounts, deposits or other obligations of any bank and are not guaranteed by Manufacturers and Traders Trust Company, Wilmington Trust, National Association or any other bank. These securities are not insured or guaranteed by the Federal Deposit Insurance Corporation or any other governmental agency.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that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The date of this prospectus is September 22,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42"/>
        <w:gridCol w:w="387"/>
        <w:gridCol w:w="154"/>
        <w:gridCol w:w="361"/>
        <w:gridCol w:w="61"/>
      </w:tblGrid>
      <w:tr>
        <w:trPr/>
        <w:tc>
          <w:tcPr>
            <w:tcW w:w="9242"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1" w:type="dxa"/>
            <w:tcBorders/>
            <w:vAlign w:val="bottom"/>
          </w:tcPr>
          <w:p>
            <w:pPr>
              <w:pStyle w:val="TableContents"/>
              <w:bidi w:val="0"/>
              <w:spacing w:before="0" w:after="283"/>
              <w:jc w:val="left"/>
              <w:rPr/>
            </w:pPr>
            <w:r>
              <w:rPr/>
              <w:t> </w:t>
            </w:r>
          </w:p>
        </w:tc>
      </w:tr>
      <w:tr>
        <w:trPr>
          <w:trHeight w:val="120" w:hRule="atLeast"/>
        </w:trPr>
        <w:tc>
          <w:tcPr>
            <w:tcW w:w="9242" w:type="dxa"/>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0"/>
              <w:jc w:val="left"/>
              <w:rPr/>
            </w:pPr>
            <w:hyperlink w:anchor="tx14226_1">
              <w:r>
                <w:rPr>
                  <w:rStyle w:val="InternetLink"/>
                  <w:rFonts w:ascii="Times New Roman" w:hAnsi="Times New Roman"/>
                  <w:sz w:val="20"/>
                </w:rPr>
                <w:t>ABOUT THIS PROSPECTUS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1" w:type="dxa"/>
            <w:tcBorders/>
            <w:vAlign w:val="bottom"/>
          </w:tcPr>
          <w:p>
            <w:pPr>
              <w:pStyle w:val="TableContents"/>
              <w:bidi w:val="0"/>
              <w:spacing w:before="0" w:after="283"/>
              <w:jc w:val="left"/>
              <w:rPr/>
            </w:pPr>
            <w:r>
              <w:rPr/>
              <w:t> </w:t>
            </w:r>
          </w:p>
        </w:tc>
      </w:tr>
      <w:tr>
        <w:trPr>
          <w:trHeight w:val="120" w:hRule="atLeast"/>
        </w:trPr>
        <w:tc>
          <w:tcPr>
            <w:tcW w:w="9242" w:type="dxa"/>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0"/>
              <w:jc w:val="left"/>
              <w:rPr/>
            </w:pPr>
            <w:hyperlink w:anchor="tx14226_2">
              <w:r>
                <w:rPr>
                  <w:rStyle w:val="InternetLink"/>
                  <w:rFonts w:ascii="Times New Roman" w:hAnsi="Times New Roman"/>
                  <w:sz w:val="20"/>
                </w:rPr>
                <w:t>ABOUT M&amp;T BANK CORPORATION</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rHeight w:val="120" w:hRule="atLeast"/>
        </w:trPr>
        <w:tc>
          <w:tcPr>
            <w:tcW w:w="9242" w:type="dxa"/>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0"/>
              <w:jc w:val="left"/>
              <w:rPr/>
            </w:pPr>
            <w:hyperlink w:anchor="tx14226_3">
              <w:r>
                <w:rPr>
                  <w:rStyle w:val="InternetLink"/>
                  <w:rFonts w:ascii="Times New Roman" w:hAnsi="Times New Roman"/>
                  <w:sz w:val="20"/>
                </w:rPr>
                <w:t>FORWARD-LOOKING STATEMENTS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rHeight w:val="120" w:hRule="atLeast"/>
        </w:trPr>
        <w:tc>
          <w:tcPr>
            <w:tcW w:w="9242" w:type="dxa"/>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0"/>
              <w:jc w:val="left"/>
              <w:rPr/>
            </w:pPr>
            <w:hyperlink w:anchor="tx14226_4">
              <w:r>
                <w:rPr>
                  <w:rStyle w:val="InternetLink"/>
                  <w:rFonts w:ascii="Times New Roman" w:hAnsi="Times New Roman"/>
                  <w:sz w:val="20"/>
                </w:rPr>
                <w:t>WHERE YOU CAN FIND MORE INFORMATION</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1" w:type="dxa"/>
            <w:tcBorders/>
            <w:vAlign w:val="bottom"/>
          </w:tcPr>
          <w:p>
            <w:pPr>
              <w:pStyle w:val="TableContents"/>
              <w:bidi w:val="0"/>
              <w:spacing w:before="0" w:after="283"/>
              <w:jc w:val="left"/>
              <w:rPr/>
            </w:pPr>
            <w:r>
              <w:rPr/>
              <w:t> </w:t>
            </w:r>
          </w:p>
        </w:tc>
      </w:tr>
      <w:tr>
        <w:trPr>
          <w:trHeight w:val="120" w:hRule="atLeast"/>
        </w:trPr>
        <w:tc>
          <w:tcPr>
            <w:tcW w:w="9242" w:type="dxa"/>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0"/>
              <w:jc w:val="left"/>
              <w:rPr/>
            </w:pPr>
            <w:hyperlink w:anchor="tx14226_5">
              <w:r>
                <w:rPr>
                  <w:rStyle w:val="InternetLink"/>
                  <w:rFonts w:ascii="Times New Roman" w:hAnsi="Times New Roman"/>
                  <w:sz w:val="20"/>
                </w:rPr>
                <w:t>RISK FACTORS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1" w:type="dxa"/>
            <w:tcBorders/>
            <w:vAlign w:val="bottom"/>
          </w:tcPr>
          <w:p>
            <w:pPr>
              <w:pStyle w:val="TableContents"/>
              <w:bidi w:val="0"/>
              <w:spacing w:before="0" w:after="283"/>
              <w:jc w:val="left"/>
              <w:rPr/>
            </w:pPr>
            <w:r>
              <w:rPr/>
              <w:t> </w:t>
            </w:r>
          </w:p>
        </w:tc>
      </w:tr>
      <w:tr>
        <w:trPr>
          <w:trHeight w:val="120" w:hRule="atLeast"/>
        </w:trPr>
        <w:tc>
          <w:tcPr>
            <w:tcW w:w="9242" w:type="dxa"/>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0"/>
              <w:jc w:val="left"/>
              <w:rPr/>
            </w:pPr>
            <w:hyperlink w:anchor="tx14226_6">
              <w:r>
                <w:rPr>
                  <w:rStyle w:val="InternetLink"/>
                  <w:rFonts w:ascii="Times New Roman" w:hAnsi="Times New Roman"/>
                  <w:sz w:val="20"/>
                </w:rPr>
                <w:t>USE OF PROCEEDS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1" w:type="dxa"/>
            <w:tcBorders/>
            <w:vAlign w:val="bottom"/>
          </w:tcPr>
          <w:p>
            <w:pPr>
              <w:pStyle w:val="TableContents"/>
              <w:bidi w:val="0"/>
              <w:spacing w:before="0" w:after="283"/>
              <w:jc w:val="left"/>
              <w:rPr/>
            </w:pPr>
            <w:r>
              <w:rPr/>
              <w:t> </w:t>
            </w:r>
          </w:p>
        </w:tc>
      </w:tr>
      <w:tr>
        <w:trPr>
          <w:trHeight w:val="120" w:hRule="atLeast"/>
        </w:trPr>
        <w:tc>
          <w:tcPr>
            <w:tcW w:w="9242" w:type="dxa"/>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0"/>
              <w:jc w:val="left"/>
              <w:rPr/>
            </w:pPr>
            <w:hyperlink w:anchor="tx14226_7">
              <w:r>
                <w:rPr>
                  <w:rStyle w:val="InternetLink"/>
                  <w:rFonts w:ascii="Times New Roman" w:hAnsi="Times New Roman"/>
                  <w:sz w:val="20"/>
                </w:rPr>
                <w:t>VALIDITY OF SECURITIES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8</w:t>
            </w:r>
          </w:p>
        </w:tc>
        <w:tc>
          <w:tcPr>
            <w:tcW w:w="61" w:type="dxa"/>
            <w:tcBorders/>
            <w:vAlign w:val="bottom"/>
          </w:tcPr>
          <w:p>
            <w:pPr>
              <w:pStyle w:val="TableContents"/>
              <w:bidi w:val="0"/>
              <w:spacing w:before="0" w:after="283"/>
              <w:jc w:val="left"/>
              <w:rPr/>
            </w:pPr>
            <w:r>
              <w:rPr/>
              <w:t> </w:t>
            </w:r>
          </w:p>
        </w:tc>
      </w:tr>
      <w:tr>
        <w:trPr>
          <w:trHeight w:val="120" w:hRule="atLeast"/>
        </w:trPr>
        <w:tc>
          <w:tcPr>
            <w:tcW w:w="9242" w:type="dxa"/>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0"/>
              <w:jc w:val="left"/>
              <w:rPr/>
            </w:pPr>
            <w:hyperlink w:anchor="tx14226_8">
              <w:r>
                <w:rPr>
                  <w:rStyle w:val="InternetLink"/>
                  <w:rFonts w:ascii="Times New Roman" w:hAnsi="Times New Roman"/>
                  <w:sz w:val="20"/>
                </w:rPr>
                <w:t>EXPERTS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9</w:t>
            </w:r>
          </w:p>
        </w:tc>
        <w:tc>
          <w:tcPr>
            <w:tcW w:w="61"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we have provided or incorporated by reference in this prospectus. We have not authorized any person to provide you with additional or different information. You should not assume that the information in this prospectus is accurate as of any date other than the date on the cover page of this prospectus or that any information we have incorporated by reference is accurate as of any date other than the date of the documents incorporated by reference. Our business, financial condition, results of operations and prospects may have changed since those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4226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(the “Registration Statement”) that we filed with the Securities and Exchange Commission (the “SEC”), under the Securities Act of 1933, as amended (the “Securities Act”), utilizing a “shelf” registration process. The prospectus does not contain all information included in the Registration Statement as permitted by the rules and regulations of the SEC. You may review a copy of the Registration Statement through the SEC’s internet site, as described below. Under this shelf registration process, we are registering an unspecified amount of each class of the securities described in this prospectus, and may offer and sell any combination of these securities in one or more offerings. Each time we offer and sell securities, we will provide a prospectus supplement that will contain information about the terms of the offering and the securities being offered and, if necessary, a pricing supplement that will contain the specific terms of the securities. The prospectus supplement and, if necessary, the pricing supplement, may also add, update or change information contained in this prospectus. Any information contained in this prospectus will be deemed to be modified or superseded by any inconsistent information contained in a prospectus supplement or a pricing supplement. You should carefully read this prospectus and any prospectus supplement and pricing supplement, together with the additional information described below under the heading “</w:t>
      </w:r>
      <w:r>
        <w:rPr>
          <w:rFonts w:ascii="Times New Roman" w:hAnsi="Times New Roman"/>
          <w:b/>
          <w:i/>
          <w:sz w:val="20"/>
        </w:rPr>
        <w:t>Where You Can Find More Information</w:t>
      </w:r>
      <w:r>
        <w:rPr>
          <w:rFonts w:ascii="Times New Roman" w:hAnsi="Times New Roman"/>
          <w:sz w:val="20"/>
        </w:rPr>
        <w:t xml:space="preserve">.” This prospectus and any prospectus supplement or pricing supplement do not constitute an offer to sell or the solicitation of an offer to buy any securities other than the securities described therein, or an offer to sell or the solicitation of an offer to buy such securities in any circumstances in which such offer or solicitation is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4226_2"/>
      <w:bookmarkEnd w:id="4"/>
      <w:r>
        <w:rPr>
          <w:rFonts w:ascii="Times New Roman" w:hAnsi="Times New Roman"/>
          <w:b/>
          <w:sz w:val="20"/>
        </w:rPr>
        <w:t xml:space="preserve">ABOUT M&amp;T BANK CORPORATION </w:t>
      </w:r>
    </w:p>
    <w:p>
      <w:pPr>
        <w:pStyle w:val="TextBody"/>
        <w:bidi w:val="0"/>
        <w:spacing w:before="240" w:after="0"/>
        <w:jc w:val="left"/>
        <w:rPr>
          <w:rFonts w:ascii="Times New Roman" w:hAnsi="Times New Roman"/>
          <w:sz w:val="20"/>
        </w:rPr>
      </w:pPr>
      <w:r>
        <w:rPr>
          <w:rFonts w:ascii="Times New Roman" w:hAnsi="Times New Roman"/>
          <w:sz w:val="20"/>
        </w:rPr>
        <w:t xml:space="preserve">M&amp;T Bank Corporation is a New York business corporation, which is registered as a financial holding company under the Bank Holding Company Act of 1956, as amended, and as a bank holding company under Article III-A of the New York Banking Law. The principal executive offices of M&amp;T are located at One M&amp;T Plaza, Buffalo, New York 14203. The telephone number for M&amp;T is (716) 635-4000. At June 30, 2026, M&amp;T had two wholly owned bank subsidiaries: Manufacturers and Traders Trust Company and Wilmington Trust, National Association. The banks collectively offer a wide range of retail and commercial banking, wealth management, trust and institutional services to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14226_3"/>
      <w:bookmarkEnd w:id="5"/>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other publicly available documents, including the documents incorporated herein by reference, may include and our representatives may from time to time make projections and statements which may constitute “forward-looking statements” within the meaning of the Private Securities Litigation Reform Act of 1995 and the rules and regulations of the SEC. Any statement that does not describe historical or current facts is a forward-looking statement, including statements based on current expectations, estimates and projections about M&amp;T’s business, and management’s beliefs and assumptions. </w:t>
      </w:r>
    </w:p>
    <w:p>
      <w:pPr>
        <w:pStyle w:val="TextBody"/>
        <w:bidi w:val="0"/>
        <w:spacing w:before="240" w:after="0"/>
        <w:jc w:val="left"/>
        <w:rPr>
          <w:rFonts w:ascii="Times New Roman" w:hAnsi="Times New Roman"/>
          <w:sz w:val="20"/>
        </w:rPr>
      </w:pPr>
      <w:r>
        <w:rPr>
          <w:rFonts w:ascii="Times New Roman" w:hAnsi="Times New Roman"/>
          <w:sz w:val="20"/>
        </w:rPr>
        <w:t xml:space="preserve">Statements regarding the potential effects of events or factors specific to M&amp;T and/or the financial industry as a whole, as well as national and global events generally, on M&amp;T’s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M&amp;T’s control. Any statement that does not describe historical or current facts is a forward-looking statement. 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Future Factors include risks, predictions and uncertainties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conditions and growth rates, including inflation and market volatility;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developments and current conditions in the financial services industry, including trust, brokerage and investment management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interest rates, spreads on earning assets and interest-bearing liabilities, and interest rate sensitivity;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prepayment speeds, loan originations, loan concentrations by type and industry, credit losses and market values on loans, collateral securing loans and other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sources of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levels of client deposits;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contain costs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M&amp;T’s credit ratings;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domestic or international political developments and other geopolitical events, including trade and tariff policies and international conflicts and hostilities;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and trends in the securities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shares outstanding and common stock price volatility;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 value of and number of stock-based compensation awards to be issued in future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changes in market values on trust-, brokerage-, and investment management-related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state or local legislation and/or regulations affecting the financial services industry, or M&amp;T and its subsidiaries individually or collectively, including tax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supervision and oversight, including monetary policy and capital requirements;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and public policy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conditions, either nationally or in the states in which M&amp;T and its subsidiaries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and outcome of potential, pending and future litigation, investigations and governmental proceedings, including tax-related examinations and other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operational risk events, including loss resulting from fraud by employees or persons outside M&amp;T and breaches in data and cybersecurity;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policies or procedures as may be required by the Financial Accounting Standards Board, regulatory agencies or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price, product and service competition by competitors, including new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developments and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continue to introduce competitive new products and services on a timely, cost-effective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mix of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protection and validity of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reliance on large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implementation and cost/financial risks in large, multi-year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availability of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resources in the amounts, at the times and on the terms required to support M&amp;T and its subsidiaries’ future businesses;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differences in the actual financial results of merger, acquisition and investment activities compared with M&amp;T’s initial expectations, including the full realization of anticipated cost savings and revenue enhancements.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and other Future Factors. </w:t>
      </w:r>
    </w:p>
    <w:p>
      <w:pPr>
        <w:pStyle w:val="TextBody"/>
        <w:bidi w:val="0"/>
        <w:spacing w:before="240" w:after="0"/>
        <w:jc w:val="left"/>
        <w:rPr>
          <w:rFonts w:ascii="Times New Roman" w:hAnsi="Times New Roman"/>
          <w:sz w:val="20"/>
        </w:rPr>
      </w:pPr>
      <w:r>
        <w:rPr>
          <w:rFonts w:ascii="Times New Roman" w:hAnsi="Times New Roman"/>
          <w:sz w:val="20"/>
        </w:rPr>
        <w:t xml:space="preserve">M&amp;T provides further detail regarding these risks and uncertainties in its Form 10-K for the year ended December 31, 2025, including in the Risk Factors section of such report, as well as in other SEC filings. Forward-looking statements speak only as of the date made, and M&amp;T does not assume any duty and does not undertake to update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4226_4"/>
      <w:bookmarkEnd w:id="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an Internet website that contains reports, proxy and information statements and other information about issuers, like us, that file electronically with the SEC. The address of that site is </w:t>
      </w:r>
      <w:r>
        <w:rPr>
          <w:rFonts w:ascii="Times New Roman" w:hAnsi="Times New Roman"/>
          <w:sz w:val="20"/>
          <w:u w:val="single"/>
        </w:rPr>
        <w:t>https://www.sec.gov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where you can obtain information about us and Manufacturers and Traders Trust Company. Our website includes our annual, quarterly and current reports, together with any amendments to these reports, as well as certain other SEC filings, as soon as reasonably practicable after they are electronically filed with or furnished to the SEC. Our website address is </w:t>
      </w:r>
      <w:r>
        <w:rPr>
          <w:rFonts w:ascii="Times New Roman" w:hAnsi="Times New Roman"/>
          <w:sz w:val="20"/>
          <w:u w:val="single"/>
        </w:rPr>
        <w:t>https://www.mtb.com</w:t>
      </w:r>
      <w:r>
        <w:rPr>
          <w:rFonts w:ascii="Times New Roman" w:hAnsi="Times New Roman"/>
          <w:sz w:val="20"/>
        </w:rPr>
        <w:t xml:space="preserve">. The information contained on our website is not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as permitted by law, we “incorporate by reference” information from other documents that we file with the SEC. This means that we can disclose important information to you by referring you to those documents. The information incorporated by reference is considered to be a part of this prospectus and should be reviewed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case of a conflict or inconsistency between information contained in this prospectus and information incorporated by reference into this prospectus, you should rely on the information contained in the document that was filed later. Certain of the information incorporated by reference herein has not been audited by an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and any documents we file with the SEC subsequent to the date of this prospectus under Section 13(a), 13(c), 14, or 15(d) of the Securities Exchange Act of 1934, as amended (other than those documents or portions of those documents that may be “furnished” and not filed with the SEC) until our offerings are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2">
              <w:r>
                <w:rPr>
                  <w:rStyle w:val="InternetLink"/>
                  <w:rFonts w:ascii="Times New Roman" w:hAnsi="Times New Roman"/>
                  <w:sz w:val="20"/>
                </w:rPr>
                <w:t>Form 10-K</w:t>
              </w:r>
            </w:hyperlink>
            <w:r>
              <w:rPr>
                <w:rFonts w:ascii="Times New Roman" w:hAnsi="Times New Roman"/>
                <w:sz w:val="20"/>
              </w:rPr>
              <w:t xml:space="preserve">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 on </w:t>
            </w:r>
            <w:hyperlink r:id="rId3">
              <w:r>
                <w:rPr>
                  <w:rStyle w:val="InternetLink"/>
                  <w:rFonts w:ascii="Times New Roman" w:hAnsi="Times New Roman"/>
                  <w:sz w:val="20"/>
                </w:rPr>
                <w:t>Form 10-Q</w:t>
              </w:r>
            </w:hyperlink>
            <w:r>
              <w:rPr>
                <w:rFonts w:ascii="Times New Roman" w:hAnsi="Times New Roman"/>
                <w:sz w:val="20"/>
              </w:rPr>
              <w:t xml:space="preserve"> for the quarter ended March  31, 2026 and Quarterly Report on </w:t>
            </w:r>
            <w:hyperlink r:id="rId4">
              <w:r>
                <w:rPr>
                  <w:rStyle w:val="InternetLink"/>
                  <w:rFonts w:ascii="Times New Roman" w:hAnsi="Times New Roman"/>
                  <w:sz w:val="20"/>
                </w:rPr>
                <w:t>Form 10-Q</w:t>
              </w:r>
            </w:hyperlink>
            <w:r>
              <w:rPr>
                <w:rFonts w:ascii="Times New Roman" w:hAnsi="Times New Roman"/>
                <w:sz w:val="20"/>
              </w:rPr>
              <w:t xml:space="preserve"> for the quarter ended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Current Reports on Form 8-K filed on </w:t>
            </w:r>
            <w:hyperlink r:id="rId5">
              <w:r>
                <w:rPr>
                  <w:rStyle w:val="InternetLink"/>
                  <w:rFonts w:ascii="Times New Roman" w:hAnsi="Times New Roman"/>
                  <w:sz w:val="20"/>
                </w:rPr>
                <w:t>March  30, 2026</w:t>
              </w:r>
            </w:hyperlink>
            <w:r>
              <w:rPr>
                <w:rFonts w:ascii="Times New Roman" w:hAnsi="Times New Roman"/>
                <w:sz w:val="20"/>
              </w:rPr>
              <w:t xml:space="preserve">, </w:t>
            </w:r>
            <w:hyperlink r:id="rId6">
              <w:r>
                <w:rPr>
                  <w:rStyle w:val="InternetLink"/>
                  <w:rFonts w:ascii="Times New Roman" w:hAnsi="Times New Roman"/>
                  <w:sz w:val="20"/>
                </w:rPr>
                <w:t>April  20, 2026</w:t>
              </w:r>
            </w:hyperlink>
            <w:r>
              <w:rPr>
                <w:rFonts w:ascii="Times New Roman" w:hAnsi="Times New Roman"/>
                <w:sz w:val="20"/>
              </w:rPr>
              <w:t xml:space="preserve">, </w:t>
            </w:r>
            <w:hyperlink r:id="rId7">
              <w:r>
                <w:rPr>
                  <w:rStyle w:val="InternetLink"/>
                  <w:rFonts w:ascii="Times New Roman" w:hAnsi="Times New Roman"/>
                  <w:sz w:val="20"/>
                </w:rPr>
                <w:t>April  23, 2026</w:t>
              </w:r>
            </w:hyperlink>
            <w:r>
              <w:rPr>
                <w:rFonts w:ascii="Times New Roman" w:hAnsi="Times New Roman"/>
                <w:sz w:val="20"/>
              </w:rPr>
              <w:t xml:space="preserve">, </w:t>
            </w:r>
            <w:hyperlink r:id="rId8">
              <w:r>
                <w:rPr>
                  <w:rStyle w:val="InternetLink"/>
                  <w:rFonts w:ascii="Times New Roman" w:hAnsi="Times New Roman"/>
                  <w:sz w:val="20"/>
                </w:rPr>
                <w:t>June  16, 2026</w:t>
              </w:r>
            </w:hyperlink>
            <w:r>
              <w:rPr>
                <w:rFonts w:ascii="Times New Roman" w:hAnsi="Times New Roman"/>
                <w:sz w:val="20"/>
              </w:rPr>
              <w:t xml:space="preserve">, and </w:t>
            </w:r>
            <w:hyperlink r:id="rId9">
              <w:r>
                <w:rPr>
                  <w:rStyle w:val="InternetLink"/>
                  <w:rFonts w:ascii="Times New Roman" w:hAnsi="Times New Roman"/>
                  <w:sz w:val="20"/>
                </w:rPr>
                <w:t>July 21,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Definitive Proxy Statement on </w:t>
            </w:r>
            <w:hyperlink r:id="rId10">
              <w:r>
                <w:rPr>
                  <w:rStyle w:val="InternetLink"/>
                  <w:rFonts w:ascii="Times New Roman" w:hAnsi="Times New Roman"/>
                  <w:sz w:val="20"/>
                </w:rPr>
                <w:t>Schedule 14A</w:t>
              </w:r>
            </w:hyperlink>
            <w:r>
              <w:rPr>
                <w:rFonts w:ascii="Times New Roman" w:hAnsi="Times New Roman"/>
                <w:sz w:val="20"/>
              </w:rPr>
              <w:t xml:space="preserve"> for the 2026 Annual Meeting of Shareholders held on April 21, 2026, filed on March 10,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M&amp;T’s common stock and preferred stock contained in the Registration Statement on </w:t>
            </w:r>
            <w:hyperlink r:id="rId11">
              <w:r>
                <w:rPr>
                  <w:rStyle w:val="InternetLink"/>
                  <w:rFonts w:ascii="Times New Roman" w:hAnsi="Times New Roman"/>
                  <w:sz w:val="20"/>
                </w:rPr>
                <w:t>Form 8-A</w:t>
              </w:r>
            </w:hyperlink>
            <w:r>
              <w:rPr>
                <w:rFonts w:ascii="Times New Roman" w:hAnsi="Times New Roman"/>
                <w:sz w:val="20"/>
              </w:rPr>
              <w:t xml:space="preserve">, filed on May 20, 1998, under Section  12(b) of the Securities Exchange Act of 1934, as amended, as updated by </w:t>
            </w:r>
            <w:hyperlink r:id="rId12">
              <w:r>
                <w:rPr>
                  <w:rStyle w:val="InternetLink"/>
                  <w:rFonts w:ascii="Times New Roman" w:hAnsi="Times New Roman"/>
                  <w:sz w:val="20"/>
                </w:rPr>
                <w:t>Exhibit 4.2</w:t>
              </w:r>
            </w:hyperlink>
            <w:r>
              <w:rPr>
                <w:rFonts w:ascii="Times New Roman" w:hAnsi="Times New Roman"/>
                <w:sz w:val="20"/>
              </w:rPr>
              <w:t xml:space="preserve"> to the Corporation’s Annual Report on Form 10-K for the fiscal year ended December 31, 2025, as filed with the SEC on February 18, 2026, including any subsequent amendment or report filed for the purpose of updating such description, and as updated by the Registration Statement on </w:t>
            </w:r>
            <w:hyperlink r:id="rId13">
              <w:r>
                <w:rPr>
                  <w:rStyle w:val="InternetLink"/>
                  <w:rFonts w:ascii="Times New Roman" w:hAnsi="Times New Roman"/>
                  <w:sz w:val="20"/>
                </w:rPr>
                <w:t>Form 8-A</w:t>
              </w:r>
            </w:hyperlink>
            <w:r>
              <w:rPr>
                <w:rFonts w:ascii="Times New Roman" w:hAnsi="Times New Roman"/>
                <w:sz w:val="20"/>
              </w:rPr>
              <w:t xml:space="preserve">, filed on July 21,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any of these filings, other than an exhibit to a filing unless that exhibit is specifically incorporated by reference into that filing, at no cost, by writing to or telephoning us at the following address and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M&amp;T Bank Corporation </w:t>
      </w:r>
    </w:p>
    <w:p>
      <w:pPr>
        <w:pStyle w:val="TextBody"/>
        <w:bidi w:val="0"/>
        <w:spacing w:before="0" w:after="0"/>
        <w:jc w:val="center"/>
        <w:rPr>
          <w:rFonts w:ascii="Times New Roman" w:hAnsi="Times New Roman"/>
          <w:sz w:val="20"/>
        </w:rPr>
      </w:pPr>
      <w:r>
        <w:rPr>
          <w:rFonts w:ascii="Times New Roman" w:hAnsi="Times New Roman"/>
          <w:sz w:val="20"/>
        </w:rPr>
        <w:t xml:space="preserve">One M&amp;T Plaza </w:t>
      </w:r>
    </w:p>
    <w:p>
      <w:pPr>
        <w:pStyle w:val="TextBody"/>
        <w:bidi w:val="0"/>
        <w:spacing w:before="0" w:after="0"/>
        <w:jc w:val="center"/>
        <w:rPr>
          <w:rFonts w:ascii="Times New Roman" w:hAnsi="Times New Roman"/>
          <w:sz w:val="20"/>
        </w:rPr>
      </w:pPr>
      <w:r>
        <w:rPr>
          <w:rFonts w:ascii="Times New Roman" w:hAnsi="Times New Roman"/>
          <w:sz w:val="20"/>
        </w:rPr>
        <w:t xml:space="preserve">Buffalo, New York 14203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Number: (716) 842-5138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4226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certain risks. Before you invest in any of our securities, in addition to the other information included in, or incorporated by reference into, this prospectus, you should carefully consider the risk factors contained in Item 1A under the caption “</w:t>
      </w:r>
      <w:r>
        <w:rPr>
          <w:rFonts w:ascii="Times New Roman" w:hAnsi="Times New Roman"/>
          <w:i/>
          <w:sz w:val="20"/>
        </w:rPr>
        <w:t>Risk Factors</w:t>
      </w:r>
      <w:r>
        <w:rPr>
          <w:rFonts w:ascii="Times New Roman" w:hAnsi="Times New Roman"/>
          <w:sz w:val="20"/>
        </w:rPr>
        <w:t>” and elsewhere in our Annual Report on Form 10-K for the year ended December 31, 2025, which is incorporated into this prospectus by reference, as updated by our annual or quarterly reports for subsequent fiscal years or fiscal quarters that we file with the SEC and that are so incorporated. See “</w:t>
      </w:r>
      <w:r>
        <w:rPr>
          <w:rFonts w:ascii="Times New Roman" w:hAnsi="Times New Roman"/>
          <w:i/>
          <w:sz w:val="20"/>
        </w:rPr>
        <w:t>Where You Can Find More Information</w:t>
      </w:r>
      <w:r>
        <w:rPr>
          <w:rFonts w:ascii="Times New Roman" w:hAnsi="Times New Roman"/>
          <w:sz w:val="20"/>
        </w:rPr>
        <w:t xml:space="preserve">” for information about how to obtain a copy of these documents. You should also carefully consider the risks and other information that may be contained in, or incorporated by reference into, any prospectus supplement relating to specific offerings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4226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any securities offered by us under this prospectus in the manner and for the purpose as set forth in the applicable prospectus supplement. Unless set forth in an accompanying prospectus supplement, we will not receive any proceeds in the event that securities are sold by a selling securityholder.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4226_7"/>
      <w:bookmarkEnd w:id="9"/>
      <w:r>
        <w:rPr>
          <w:rFonts w:ascii="Times New Roman" w:hAnsi="Times New Roman"/>
          <w:b/>
          <w:sz w:val="20"/>
        </w:rPr>
        <w:t xml:space="preserve">VALIDITY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will be passed upon for us by Squire Patton Boggs (US) LLP or by counsel identified in the applicable prospectus supplement, and for any underwriters or agents by counsel selected by such underwriters or agents identified in the applicable prospectus supplement or, if necessary, the applicable pricing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4226_8"/>
      <w:bookmarkEnd w:id="1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of M&amp;T Bank Corporation for the year ended December 31, 2025 have been so incorporated in reliance on the report (which included a paragraph describing a change in the manner of accounting for Cash and Cash Equivalents in the 2025 financial statements)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720" w:after="0"/>
        <w:jc w:val="center"/>
        <w:rPr>
          <w:rFonts w:ascii="Times New Roman" w:hAnsi="Times New Roman"/>
          <w:b/>
          <w:sz w:val="48"/>
        </w:rPr>
      </w:pPr>
      <w:r>
        <w:rPr>
          <w:rFonts w:ascii="Times New Roman" w:hAnsi="Times New Roman"/>
          <w:b/>
          <w:sz w:val="48"/>
        </w:rPr>
        <w:t xml:space="preserve">M&amp;T BANK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sz w:val="20"/>
        </w:rPr>
      </w:pPr>
      <w:r>
        <w:rPr>
          <w:rFonts w:ascii="Times New Roman" w:hAnsi="Times New Roman"/>
          <w:b/>
          <w:sz w:val="20"/>
        </w:rPr>
        <w:t>ITEM 14.</w:t>
      </w:r>
      <w:r>
        <w:rPr>
          <w:rFonts w:ascii="Times New Roman" w:hAnsi="Times New Roman"/>
          <w:sz w:val="20"/>
        </w:rPr>
        <w:t xml:space="preserve"> </w:t>
      </w:r>
      <w:r>
        <w:rPr>
          <w:rFonts w:ascii="Times New Roman" w:hAnsi="Times New Roman"/>
          <w:b/>
          <w:i/>
          <w:sz w:val="20"/>
        </w:rPr>
        <w:t>OTHER EXPENSES OF ISSUANCE AND DISTRIBUTION.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an itemized statement of the estimated fees and expenses in connection with the offering of the securities registered hereunder.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84"/>
        <w:gridCol w:w="473"/>
        <w:gridCol w:w="140"/>
        <w:gridCol w:w="385"/>
        <w:gridCol w:w="157"/>
      </w:tblGrid>
      <w:tr>
        <w:trPr/>
        <w:tc>
          <w:tcPr>
            <w:tcW w:w="5784" w:type="dxa"/>
            <w:tcBorders/>
            <w:vAlign w:val="center"/>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Registration Statement filing fees</w:t>
            </w:r>
          </w:p>
        </w:tc>
        <w:tc>
          <w:tcPr>
            <w:tcW w:w="4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5" w:type="dxa"/>
            <w:tcBorders/>
            <w:shd w:fill="CCEEFF" w:val="clear"/>
            <w:vAlign w:val="bottom"/>
          </w:tcPr>
          <w:p>
            <w:pPr>
              <w:pStyle w:val="TableContents"/>
              <w:bidi w:val="0"/>
              <w:spacing w:before="0" w:after="283"/>
              <w:jc w:val="right"/>
              <w:rPr/>
            </w:pPr>
            <w:r>
              <w:rPr/>
              <w:t>(1</w:t>
            </w:r>
          </w:p>
        </w:tc>
        <w:tc>
          <w:tcPr>
            <w:tcW w:w="157" w:type="dxa"/>
            <w:tcBorders/>
            <w:shd w:fill="CCEEFF" w:val="clear"/>
            <w:vAlign w:val="bottom"/>
          </w:tcPr>
          <w:p>
            <w:pPr>
              <w:pStyle w:val="TableContents"/>
              <w:bidi w:val="0"/>
              <w:spacing w:before="0" w:after="283"/>
              <w:jc w:val="left"/>
              <w:rPr/>
            </w:pPr>
            <w:r>
              <w:rPr/>
              <w:t>) </w:t>
            </w:r>
          </w:p>
        </w:tc>
      </w:tr>
      <w:tr>
        <w:trPr/>
        <w:tc>
          <w:tcPr>
            <w:tcW w:w="5784" w:type="dxa"/>
            <w:tcBorders/>
          </w:tcPr>
          <w:p>
            <w:pPr>
              <w:pStyle w:val="TableContents"/>
              <w:bidi w:val="0"/>
              <w:spacing w:before="0" w:after="0"/>
              <w:jc w:val="left"/>
              <w:rPr>
                <w:rFonts w:ascii="Times New Roman" w:hAnsi="Times New Roman"/>
                <w:sz w:val="20"/>
              </w:rPr>
            </w:pPr>
            <w:r>
              <w:rPr>
                <w:rFonts w:ascii="Times New Roman" w:hAnsi="Times New Roman"/>
                <w:sz w:val="20"/>
              </w:rPr>
              <w:t>Blue Sky fees and expenses</w:t>
            </w:r>
          </w:p>
        </w:tc>
        <w:tc>
          <w:tcPr>
            <w:tcW w:w="4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(2</w:t>
            </w:r>
          </w:p>
        </w:tc>
        <w:tc>
          <w:tcPr>
            <w:tcW w:w="157" w:type="dxa"/>
            <w:tcBorders/>
            <w:vAlign w:val="bottom"/>
          </w:tcPr>
          <w:p>
            <w:pPr>
              <w:pStyle w:val="TableContents"/>
              <w:bidi w:val="0"/>
              <w:spacing w:before="0" w:after="283"/>
              <w:jc w:val="left"/>
              <w:rPr/>
            </w:pPr>
            <w:r>
              <w:rPr/>
              <w:t>) </w:t>
            </w:r>
          </w:p>
        </w:tc>
      </w:tr>
      <w:tr>
        <w:trPr/>
        <w:tc>
          <w:tcPr>
            <w:tcW w:w="5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4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(2</w:t>
            </w:r>
          </w:p>
        </w:tc>
        <w:tc>
          <w:tcPr>
            <w:tcW w:w="157" w:type="dxa"/>
            <w:tcBorders/>
            <w:shd w:fill="CCEEFF" w:val="clear"/>
            <w:vAlign w:val="bottom"/>
          </w:tcPr>
          <w:p>
            <w:pPr>
              <w:pStyle w:val="TableContents"/>
              <w:bidi w:val="0"/>
              <w:spacing w:before="0" w:after="283"/>
              <w:jc w:val="left"/>
              <w:rPr/>
            </w:pPr>
            <w:r>
              <w:rPr/>
              <w:t>) </w:t>
            </w:r>
          </w:p>
        </w:tc>
      </w:tr>
      <w:tr>
        <w:trPr/>
        <w:tc>
          <w:tcPr>
            <w:tcW w:w="5784" w:type="dxa"/>
            <w:tcBorders/>
          </w:tcPr>
          <w:p>
            <w:pPr>
              <w:pStyle w:val="TableContents"/>
              <w:bidi w:val="0"/>
              <w:spacing w:before="0" w:after="0"/>
              <w:jc w:val="left"/>
              <w:rPr>
                <w:rFonts w:ascii="Times New Roman" w:hAnsi="Times New Roman"/>
                <w:sz w:val="20"/>
              </w:rPr>
            </w:pPr>
            <w:r>
              <w:rPr>
                <w:rFonts w:ascii="Times New Roman" w:hAnsi="Times New Roman"/>
                <w:sz w:val="20"/>
              </w:rPr>
              <w:t>Trustee, registrar and transfer agent, depositary and warrant agent fees and expenses</w:t>
            </w:r>
          </w:p>
        </w:tc>
        <w:tc>
          <w:tcPr>
            <w:tcW w:w="4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(2</w:t>
            </w:r>
          </w:p>
        </w:tc>
        <w:tc>
          <w:tcPr>
            <w:tcW w:w="157" w:type="dxa"/>
            <w:tcBorders/>
            <w:vAlign w:val="bottom"/>
          </w:tcPr>
          <w:p>
            <w:pPr>
              <w:pStyle w:val="TableContents"/>
              <w:bidi w:val="0"/>
              <w:spacing w:before="0" w:after="283"/>
              <w:jc w:val="left"/>
              <w:rPr/>
            </w:pPr>
            <w:r>
              <w:rPr/>
              <w:t>) </w:t>
            </w:r>
          </w:p>
        </w:tc>
      </w:tr>
      <w:tr>
        <w:trPr/>
        <w:tc>
          <w:tcPr>
            <w:tcW w:w="5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(2</w:t>
            </w:r>
          </w:p>
        </w:tc>
        <w:tc>
          <w:tcPr>
            <w:tcW w:w="157" w:type="dxa"/>
            <w:tcBorders/>
            <w:shd w:fill="CCEEFF" w:val="clear"/>
            <w:vAlign w:val="bottom"/>
          </w:tcPr>
          <w:p>
            <w:pPr>
              <w:pStyle w:val="TableContents"/>
              <w:bidi w:val="0"/>
              <w:spacing w:before="0" w:after="283"/>
              <w:jc w:val="left"/>
              <w:rPr/>
            </w:pPr>
            <w:r>
              <w:rPr/>
              <w:t>) </w:t>
            </w:r>
          </w:p>
        </w:tc>
      </w:tr>
      <w:tr>
        <w:trPr/>
        <w:tc>
          <w:tcPr>
            <w:tcW w:w="5784"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(2</w:t>
            </w:r>
          </w:p>
        </w:tc>
        <w:tc>
          <w:tcPr>
            <w:tcW w:w="157" w:type="dxa"/>
            <w:tcBorders/>
            <w:vAlign w:val="bottom"/>
          </w:tcPr>
          <w:p>
            <w:pPr>
              <w:pStyle w:val="TableContents"/>
              <w:bidi w:val="0"/>
              <w:spacing w:before="0" w:after="283"/>
              <w:jc w:val="left"/>
              <w:rPr/>
            </w:pPr>
            <w:r>
              <w:rPr/>
              <w:t>) </w:t>
            </w:r>
          </w:p>
        </w:tc>
      </w:tr>
      <w:tr>
        <w:trPr/>
        <w:tc>
          <w:tcPr>
            <w:tcW w:w="5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Rating agency fees</w:t>
            </w:r>
          </w:p>
        </w:tc>
        <w:tc>
          <w:tcPr>
            <w:tcW w:w="4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(2</w:t>
            </w:r>
          </w:p>
        </w:tc>
        <w:tc>
          <w:tcPr>
            <w:tcW w:w="157" w:type="dxa"/>
            <w:tcBorders/>
            <w:shd w:fill="CCEEFF" w:val="clear"/>
            <w:vAlign w:val="bottom"/>
          </w:tcPr>
          <w:p>
            <w:pPr>
              <w:pStyle w:val="TableContents"/>
              <w:bidi w:val="0"/>
              <w:spacing w:before="0" w:after="283"/>
              <w:jc w:val="left"/>
              <w:rPr/>
            </w:pPr>
            <w:r>
              <w:rPr/>
              <w:t>) </w:t>
            </w:r>
          </w:p>
        </w:tc>
      </w:tr>
      <w:tr>
        <w:trPr/>
        <w:tc>
          <w:tcPr>
            <w:tcW w:w="5784"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4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(2</w:t>
            </w:r>
          </w:p>
        </w:tc>
        <w:tc>
          <w:tcPr>
            <w:tcW w:w="157" w:type="dxa"/>
            <w:tcBorders/>
            <w:vAlign w:val="bottom"/>
          </w:tcPr>
          <w:p>
            <w:pPr>
              <w:pStyle w:val="TableContents"/>
              <w:bidi w:val="0"/>
              <w:spacing w:before="0" w:after="283"/>
              <w:jc w:val="left"/>
              <w:rPr/>
            </w:pPr>
            <w:r>
              <w:rPr/>
              <w:t>) </w:t>
            </w:r>
          </w:p>
        </w:tc>
      </w:tr>
      <w:tr>
        <w:trPr/>
        <w:tc>
          <w:tcPr>
            <w:tcW w:w="5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5"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is registering an indeterminate amount of securities under this Registration Statement and in accordance with Rules 456(b) and 457(r) under the Securities Act, the registrant is deferring payment of any registration fee until the time the securities are sold under this Registration Statement pursuant to a prospectus supplement.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an indeterminate amount of securities is covered by this Registration Statement, the expenses in connection with the issuance and distribution of the securities are not currently determinable. </w:t>
            </w:r>
          </w:p>
        </w:tc>
      </w:tr>
    </w:tbl>
    <w:p>
      <w:pPr>
        <w:pStyle w:val="TextBody"/>
        <w:bidi w:val="0"/>
        <w:spacing w:before="360" w:after="0"/>
        <w:jc w:val="left"/>
        <w:rPr>
          <w:rFonts w:ascii="Times New Roman" w:hAnsi="Times New Roman"/>
          <w:sz w:val="20"/>
        </w:rPr>
      </w:pPr>
      <w:r>
        <w:rPr>
          <w:rFonts w:ascii="Times New Roman" w:hAnsi="Times New Roman"/>
          <w:b/>
          <w:sz w:val="20"/>
        </w:rPr>
        <w:t>ITEM 15.</w:t>
      </w:r>
      <w:r>
        <w:rPr>
          <w:rFonts w:ascii="Times New Roman" w:hAnsi="Times New Roman"/>
          <w:sz w:val="20"/>
        </w:rPr>
        <w:t xml:space="preserve"> </w:t>
      </w:r>
      <w:r>
        <w:rPr>
          <w:rFonts w:ascii="Times New Roman" w:hAnsi="Times New Roman"/>
          <w:b/>
          <w:i/>
          <w:sz w:val="20"/>
        </w:rPr>
        <w:t>INDEMNIFICATION OF DIRECTORS AND OFFICERS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certain limitations, Sections 721 through 726 of the New York Business Corporation Law permit a corporation to indemnify a director or officer made a party to an action (i) by a corporation or in its right in order to procure a judgment in its favor unless such director or officer shall have breached his or her duties to such corporation, or (ii) other than an action by or in the right of the corporation in order to procure a judgment in its favor, if such director or officer acted in good faith and in a manner he or she reasonably believed to be in or, in certain cases, not opposed to such corporation’s best interests, and additionally, in criminal actions or proceedings, has no reasonable cause to believe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The Amended and Restated Bylaws of M&amp;T Bank Corporation (the “Bylaws”) (Article V) provide the following: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i/>
          <w:sz w:val="20"/>
        </w:rPr>
        <w:t>Right of Indemnification:</w:t>
      </w:r>
      <w:r>
        <w:rPr>
          <w:rFonts w:ascii="Times New Roman" w:hAnsi="Times New Roman"/>
          <w:sz w:val="20"/>
        </w:rPr>
        <w:t xml:space="preserve"> Each director and officer of the Corporation, whether or not then in office, and any person whose testator or intestate was such a director or officer, shall be indemnified by the Corporation for the defense of, or in connection with, any threatened, pending or completed actions or proceedings and appeals therein, whether civil, criminal, governmental, administrative or investigative, in accordance with and to the fullest extent permitted by the Business Corporation Law of New York or other applicable law, as such law now exists or may hereafter be amended; provided, however, that the Corporation shall provide indemnification in connection with an action or proceeding (or part thereof) initiated by such a director or officer only if such action or proceeding (or part thereof) was authorized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i/>
          <w:sz w:val="20"/>
        </w:rPr>
        <w:t>Advancement of Expenses</w:t>
      </w:r>
      <w:r>
        <w:rPr>
          <w:rFonts w:ascii="Times New Roman" w:hAnsi="Times New Roman"/>
          <w:sz w:val="20"/>
        </w:rPr>
        <w:t xml:space="preserve">: Expenses incurred by a director or officer in connection with any action or proceeding as to which indemnification may be given under Section 1 of Article V of the Bylaws may be paid by the Corporation in advance of the final disposition of such action or proceeding upon (a) receipt of an undertaking by or on behalf of such director or officer to repay such advancement in the event that such director or officer is ultimately found not to be entitled to indemnification as authorized by Article V of the Bylaws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approval by the Board of Directors acting by a quorum consisting of directors who are not parties to such action or proceeding or, if such a quorum is not obtainable, then approval by stockholders. To the extent permitted by law, the Board of Directors or, if applicable, the stockholders, shall not be required under Section 2 of the Bylaws, to find that the director or officer has met the applicable standard of conduct provided by law for indemnification in connection with such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i/>
          <w:sz w:val="20"/>
        </w:rPr>
        <w:t>Availability and Interpretation:</w:t>
      </w:r>
      <w:r>
        <w:rPr>
          <w:rFonts w:ascii="Times New Roman" w:hAnsi="Times New Roman"/>
          <w:sz w:val="20"/>
        </w:rPr>
        <w:t xml:space="preserve"> To the extent permitted under applicable law, the rights of indemnification and to the advancement of expenses provided in Article V of the Bylaws (a) shall be available with respect to events occurring prior to the adoption of Article V of the Bylaws, (b) shall continue to exist after any recision or restrictive amendment of Article V of the Bylaws with respect to events occurring prior to such recision or amendment, (c) may be interpreted on the basis of applicable law in effect at the time of the occurrence of the event or events giving rise to the action or proceeding, or on the basis of applicable law in effect at the time such rights are claimed, and (d) are in the nature of contract rights which may be enforced in any court of competent jurisdiction as if the Corporation and the director or officer for whom such rights are sought were parties to a separate written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i/>
          <w:sz w:val="20"/>
        </w:rPr>
        <w:t>Other Rights:</w:t>
      </w:r>
      <w:r>
        <w:rPr>
          <w:rFonts w:ascii="Times New Roman" w:hAnsi="Times New Roman"/>
          <w:sz w:val="20"/>
        </w:rPr>
        <w:t xml:space="preserve"> The rights of indemnification and to the advancement of expenses provided in Article V of the Bylaws shall not be deemed exclusive of any other rights to which any such director, officer or other person may now or hereafter be otherwise entitled whether contained in the certificate of incorporation, the Bylaws, a resolution of stockholders, a resolution of the Board of Directors, or an agreement providing such indemnification, the creation of such other rights being hereby expressly authorized. Without limiting the generality of the foregoing, the rights of indemnification and to the advancement of expenses provided in Article V of the Bylaws shall not be deemed exclusive of any rights, pursuant to statute or otherwise, of any such director, officer or other person in any such action or proceeding to have assessed or allowed in his or her favor, against the Corporation or otherwise, his or her costs and expenses incurred therein or in connection therewith or any part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i/>
          <w:sz w:val="20"/>
        </w:rPr>
        <w:t>Severability:</w:t>
      </w:r>
      <w:r>
        <w:rPr>
          <w:rFonts w:ascii="Times New Roman" w:hAnsi="Times New Roman"/>
          <w:sz w:val="20"/>
        </w:rPr>
        <w:t xml:space="preserve"> If Article V of the Bylaws or any part hereof shall be held unenforceable in any respect by a court of competent jurisdiction, it shall be deemed modified to the minimum extent necessary to make it enforceable, and the remainder of Article V of the Bylaws shall remain fully enforceable.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Section 402(b) of the New York Business Corporation Law, Article SEVENTH of M&amp;T Bank Corporation’s Restated Certificate of Incorporation, as amended, provides as follows: </w:t>
      </w:r>
    </w:p>
    <w:p>
      <w:pPr>
        <w:pStyle w:val="TextBody"/>
        <w:bidi w:val="0"/>
        <w:spacing w:before="120" w:after="0"/>
        <w:jc w:val="left"/>
        <w:rPr>
          <w:rFonts w:ascii="Times New Roman" w:hAnsi="Times New Roman"/>
          <w:sz w:val="20"/>
        </w:rPr>
      </w:pPr>
      <w:r>
        <w:rPr>
          <w:rFonts w:ascii="Times New Roman" w:hAnsi="Times New Roman"/>
          <w:sz w:val="20"/>
        </w:rPr>
        <w:t xml:space="preserve">SEVENTH: As to any act or omission occurring after the adoption of this provision, a director of the Corporation shall, to the maximum extent permitted by the laws of the State of New York, have no personal liability to the Corporation or any of its stockholders for damages for any breach of duty as a director, provided that this Article SEVENTH shall not eliminate or reduce the liability of a director in any case where such elimination or reduction is not permitted by law. </w:t>
      </w:r>
    </w:p>
    <w:p>
      <w:pPr>
        <w:pStyle w:val="TextBody"/>
        <w:bidi w:val="0"/>
        <w:spacing w:before="360" w:after="0"/>
        <w:jc w:val="left"/>
        <w:rPr>
          <w:rFonts w:ascii="Times New Roman" w:hAnsi="Times New Roman"/>
          <w:sz w:val="20"/>
        </w:rPr>
      </w:pPr>
      <w:r>
        <w:rPr>
          <w:rFonts w:ascii="Times New Roman" w:hAnsi="Times New Roman"/>
          <w:b/>
          <w:sz w:val="20"/>
        </w:rPr>
        <w:t>ITEM 16.</w:t>
      </w:r>
      <w:r>
        <w:rPr>
          <w:rFonts w:ascii="Times New Roman" w:hAnsi="Times New Roman"/>
          <w:sz w:val="20"/>
        </w:rPr>
        <w:t xml:space="preserve"> </w:t>
      </w:r>
      <w:r>
        <w:rPr>
          <w:rFonts w:ascii="Times New Roman" w:hAnsi="Times New Roman"/>
          <w:b/>
          <w:i/>
          <w:sz w:val="20"/>
        </w:rPr>
        <w:t>EXHIBITS.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exhibits filed (unless otherwise noted) as a part of this Registration Statement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4"/>
        <w:gridCol w:w="802"/>
        <w:gridCol w:w="8669"/>
      </w:tblGrid>
      <w:tr>
        <w:trPr/>
        <w:tc>
          <w:tcPr>
            <w:tcW w:w="734" w:type="dxa"/>
            <w:tcBorders/>
            <w:vAlign w:val="center"/>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734"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bidi w:val="0"/>
              <w:spacing w:before="0" w:after="20"/>
              <w:jc w:val="left"/>
              <w:rPr>
                <w:rFonts w:ascii="Times New Roman" w:hAnsi="Times New Roman"/>
                <w:b/>
                <w:sz w:val="16"/>
              </w:rPr>
            </w:pPr>
            <w:r>
              <w:rPr>
                <w:rFonts w:ascii="Times New Roman" w:hAnsi="Times New Roman"/>
                <w:b/>
                <w:sz w:val="16"/>
              </w:rPr>
              <w:t>NO</w:t>
            </w:r>
          </w:p>
        </w:tc>
        <w:tc>
          <w:tcPr>
            <w:tcW w:w="80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EXHIBIT</w:t>
            </w:r>
          </w:p>
        </w:tc>
      </w:tr>
      <w:tr>
        <w:trPr>
          <w:trHeight w:val="120" w:hRule="atLeast"/>
        </w:trPr>
        <w:tc>
          <w:tcPr>
            <w:tcW w:w="734" w:type="dxa"/>
            <w:tcBorders/>
            <w:vAlign w:val="center"/>
          </w:tcPr>
          <w:p>
            <w:pPr>
              <w:pStyle w:val="TableContents"/>
              <w:bidi w:val="0"/>
              <w:spacing w:before="0" w:after="283"/>
              <w:jc w:val="left"/>
              <w:rPr>
                <w:sz w:val="4"/>
                <w:szCs w:val="4"/>
              </w:rPr>
            </w:pPr>
            <w:r>
              <w:rPr>
                <w:sz w:val="4"/>
                <w:szCs w:val="4"/>
              </w:rPr>
            </w:r>
          </w:p>
        </w:tc>
        <w:tc>
          <w:tcPr>
            <w:tcW w:w="9471" w:type="dxa"/>
            <w:gridSpan w:val="2"/>
            <w:tcBorders/>
            <w:vAlign w:val="center"/>
          </w:tcPr>
          <w:p>
            <w:pPr>
              <w:pStyle w:val="TableContents"/>
              <w:bidi w:val="0"/>
              <w:spacing w:before="0" w:after="283"/>
              <w:jc w:val="left"/>
              <w:rPr>
                <w:sz w:val="4"/>
                <w:szCs w:val="4"/>
              </w:rPr>
            </w:pPr>
            <w:r>
              <w:rPr>
                <w:sz w:val="4"/>
                <w:szCs w:val="4"/>
              </w:rPr>
            </w:r>
          </w:p>
        </w:tc>
      </w:tr>
      <w:tr>
        <w:trPr/>
        <w:tc>
          <w:tcPr>
            <w:tcW w:w="734" w:type="dxa"/>
            <w:tcBorders/>
          </w:tcPr>
          <w:p>
            <w:pPr>
              <w:pStyle w:val="TableContents"/>
              <w:bidi w:val="0"/>
              <w:spacing w:before="0" w:after="283"/>
              <w:jc w:val="left"/>
              <w:rPr/>
            </w:pPr>
            <w:r>
              <w:rPr/>
              <w:t>(1)(a)</w:t>
            </w:r>
          </w:p>
        </w:tc>
        <w:tc>
          <w:tcPr>
            <w:tcW w:w="802"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hyperlink r:id="rId14">
              <w:r>
                <w:rPr>
                  <w:rStyle w:val="InternetLink"/>
                </w:rPr>
                <w:t>Form of Underwriting Agreement for Common Stock, Preferred Stock, Depositary Shares and Warrants, incorporated by reference to Exhibit 1(c) to Registration Statement on Form S-3 (File No. 333-122147), filed with the SEC on January 19, 2005.</w:t>
              </w:r>
            </w:hyperlink>
          </w:p>
        </w:tc>
      </w:tr>
      <w:tr>
        <w:trPr>
          <w:trHeight w:val="120" w:hRule="atLeast"/>
        </w:trPr>
        <w:tc>
          <w:tcPr>
            <w:tcW w:w="734" w:type="dxa"/>
            <w:tcBorders/>
            <w:vAlign w:val="center"/>
          </w:tcPr>
          <w:p>
            <w:pPr>
              <w:pStyle w:val="TableContents"/>
              <w:bidi w:val="0"/>
              <w:spacing w:before="0" w:after="283"/>
              <w:jc w:val="left"/>
              <w:rPr>
                <w:sz w:val="4"/>
                <w:szCs w:val="4"/>
              </w:rPr>
            </w:pPr>
            <w:r>
              <w:rPr>
                <w:sz w:val="4"/>
                <w:szCs w:val="4"/>
              </w:rPr>
            </w:r>
          </w:p>
        </w:tc>
        <w:tc>
          <w:tcPr>
            <w:tcW w:w="9471" w:type="dxa"/>
            <w:gridSpan w:val="2"/>
            <w:tcBorders/>
            <w:vAlign w:val="center"/>
          </w:tcPr>
          <w:p>
            <w:pPr>
              <w:pStyle w:val="TableContents"/>
              <w:bidi w:val="0"/>
              <w:spacing w:before="0" w:after="283"/>
              <w:jc w:val="left"/>
              <w:rPr>
                <w:sz w:val="4"/>
                <w:szCs w:val="4"/>
              </w:rPr>
            </w:pPr>
            <w:r>
              <w:rPr>
                <w:sz w:val="4"/>
                <w:szCs w:val="4"/>
              </w:rPr>
            </w:r>
          </w:p>
        </w:tc>
      </w:tr>
      <w:tr>
        <w:trPr/>
        <w:tc>
          <w:tcPr>
            <w:tcW w:w="734" w:type="dxa"/>
            <w:tcBorders/>
          </w:tcPr>
          <w:p>
            <w:pPr>
              <w:pStyle w:val="TableContents"/>
              <w:bidi w:val="0"/>
              <w:spacing w:before="0" w:after="283"/>
              <w:jc w:val="left"/>
              <w:rPr/>
            </w:pPr>
            <w:r>
              <w:rPr/>
              <w:t>(1)(b)</w:t>
            </w:r>
          </w:p>
        </w:tc>
        <w:tc>
          <w:tcPr>
            <w:tcW w:w="802"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hyperlink r:id="rId15">
              <w:r>
                <w:rPr>
                  <w:rStyle w:val="InternetLink"/>
                </w:rPr>
                <w:t>Form of Underwriting Agreement for Debt Securities, incorporated by reference to Exhibit 1(b) to Registration Statement on Form S-3 (File No. 333-122147), filed with the SEC on January 19, 2005.</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36"/>
        <w:gridCol w:w="797"/>
        <w:gridCol w:w="8672"/>
      </w:tblGrid>
      <w:tr>
        <w:trPr/>
        <w:tc>
          <w:tcPr>
            <w:tcW w:w="736" w:type="dxa"/>
            <w:tcBorders/>
            <w:vAlign w:val="center"/>
          </w:tcPr>
          <w:p>
            <w:pPr>
              <w:pStyle w:val="TableContents"/>
              <w:bidi w:val="0"/>
              <w:spacing w:before="0" w:after="283"/>
              <w:jc w:val="left"/>
              <w:rPr>
                <w:sz w:val="4"/>
                <w:szCs w:val="4"/>
              </w:rPr>
            </w:pPr>
            <w:r>
              <w:rPr>
                <w:sz w:val="4"/>
                <w:szCs w:val="4"/>
              </w:rPr>
            </w:r>
          </w:p>
        </w:tc>
        <w:tc>
          <w:tcPr>
            <w:tcW w:w="797" w:type="dxa"/>
            <w:tcBorders/>
            <w:vAlign w:val="bottom"/>
          </w:tcPr>
          <w:p>
            <w:pPr>
              <w:pStyle w:val="TableContents"/>
              <w:bidi w:val="0"/>
              <w:spacing w:before="0" w:after="283"/>
              <w:jc w:val="left"/>
              <w:rPr>
                <w:sz w:val="4"/>
                <w:szCs w:val="4"/>
              </w:rPr>
            </w:pPr>
            <w:r>
              <w:rPr>
                <w:sz w:val="4"/>
                <w:szCs w:val="4"/>
              </w:rPr>
            </w:r>
          </w:p>
        </w:tc>
        <w:tc>
          <w:tcPr>
            <w:tcW w:w="8672" w:type="dxa"/>
            <w:tcBorders/>
            <w:vAlign w:val="center"/>
          </w:tcPr>
          <w:p>
            <w:pPr>
              <w:pStyle w:val="TableContents"/>
              <w:bidi w:val="0"/>
              <w:spacing w:before="0" w:after="283"/>
              <w:jc w:val="left"/>
              <w:rPr>
                <w:sz w:val="4"/>
                <w:szCs w:val="4"/>
              </w:rPr>
            </w:pPr>
            <w:r>
              <w:rPr>
                <w:sz w:val="4"/>
                <w:szCs w:val="4"/>
              </w:rPr>
            </w:r>
          </w:p>
        </w:tc>
      </w:tr>
      <w:tr>
        <w:trPr/>
        <w:tc>
          <w:tcPr>
            <w:tcW w:w="736"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bidi w:val="0"/>
              <w:spacing w:before="0" w:after="20"/>
              <w:jc w:val="left"/>
              <w:rPr>
                <w:rFonts w:ascii="Times New Roman" w:hAnsi="Times New Roman"/>
                <w:b/>
                <w:sz w:val="16"/>
              </w:rPr>
            </w:pPr>
            <w:r>
              <w:rPr>
                <w:rFonts w:ascii="Times New Roman" w:hAnsi="Times New Roman"/>
                <w:b/>
                <w:sz w:val="16"/>
              </w:rPr>
              <w:t>NO</w:t>
            </w:r>
          </w:p>
        </w:tc>
        <w:tc>
          <w:tcPr>
            <w:tcW w:w="797" w:type="dxa"/>
            <w:tcBorders/>
            <w:vAlign w:val="bottom"/>
          </w:tcPr>
          <w:p>
            <w:pPr>
              <w:pStyle w:val="TableContents"/>
              <w:bidi w:val="0"/>
              <w:spacing w:before="0" w:after="283"/>
              <w:jc w:val="left"/>
              <w:rPr/>
            </w:pPr>
            <w:r>
              <w:rPr/>
              <w:t> </w:t>
            </w:r>
          </w:p>
        </w:tc>
        <w:tc>
          <w:tcPr>
            <w:tcW w:w="8672" w:type="dxa"/>
            <w:tcBorders/>
            <w:vAlign w:val="bottom"/>
          </w:tcPr>
          <w:p>
            <w:pPr>
              <w:pStyle w:val="TableContents"/>
              <w:bidi w:val="0"/>
              <w:spacing w:before="0" w:after="283"/>
              <w:jc w:val="left"/>
              <w:rPr>
                <w:b/>
              </w:rPr>
            </w:pPr>
            <w:r>
              <w:rPr>
                <w:b/>
              </w:rPr>
              <w:t>EXHIBIT</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9469" w:type="dxa"/>
            <w:gridSpan w:val="2"/>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(4)(a)</w:t>
            </w:r>
          </w:p>
        </w:tc>
        <w:tc>
          <w:tcPr>
            <w:tcW w:w="797"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283"/>
              <w:jc w:val="left"/>
              <w:rPr/>
            </w:pPr>
            <w:hyperlink r:id="rId16">
              <w:r>
                <w:rPr>
                  <w:rStyle w:val="InternetLink"/>
                </w:rPr>
                <w:t>Restated Certificate of Incorporation of M&amp;T Bank Corporation dated November  16, 2022, incorporated by reference to Exhibit 3.1 to M&amp;T’s Current Report on Form 8-K (File No. 1-9861), filed with the SEC on November  18, 2022.</w:t>
              </w:r>
            </w:hyperlink>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9469" w:type="dxa"/>
            <w:gridSpan w:val="2"/>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(4)(b)</w:t>
            </w:r>
          </w:p>
        </w:tc>
        <w:tc>
          <w:tcPr>
            <w:tcW w:w="797"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283"/>
              <w:jc w:val="left"/>
              <w:rPr/>
            </w:pPr>
            <w:hyperlink r:id="rId17">
              <w:r>
                <w:rPr>
                  <w:rStyle w:val="InternetLink"/>
                </w:rPr>
                <w:t>Certificate of Amendment to Restated Certificate of Incorporation of M&amp;T Bank Corporation, with respect to Perpetual 7.500% Non-Cumulative Preferred Stock, Series J, filed with the New York Department of State on May  9, 2024, incorporated by reference to Exhibit 3.1 of the Form 8-K dated May 13, 2024.</w:t>
              </w:r>
            </w:hyperlink>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9469" w:type="dxa"/>
            <w:gridSpan w:val="2"/>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(4)(c)</w:t>
            </w:r>
          </w:p>
        </w:tc>
        <w:tc>
          <w:tcPr>
            <w:tcW w:w="797"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283"/>
              <w:jc w:val="left"/>
              <w:rPr/>
            </w:pPr>
            <w:hyperlink r:id="rId18">
              <w:r>
                <w:rPr>
                  <w:rStyle w:val="InternetLink"/>
                </w:rPr>
                <w:t>Certificate of Amendment to Restated Certificate of Incorporation of M&amp;T Bank Corporation, with respect to Perpetual 6.350% Non-Cumulative Preferred Stock, Series K, filed with the New York Department of State on October  29, 2025, incorporated by reference to Exhibit 3.1 of the Form 8-K dated October 31, 2025.</w:t>
              </w:r>
            </w:hyperlink>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9469" w:type="dxa"/>
            <w:gridSpan w:val="2"/>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(4)(d)</w:t>
            </w:r>
          </w:p>
        </w:tc>
        <w:tc>
          <w:tcPr>
            <w:tcW w:w="797"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283"/>
              <w:jc w:val="left"/>
              <w:rPr/>
            </w:pPr>
            <w:hyperlink r:id="rId19">
              <w:r>
                <w:rPr>
                  <w:rStyle w:val="InternetLink"/>
                </w:rPr>
                <w:t>Certificate of Amendment to Restated Certificate of Incorporation of M&amp;T Bank Corporation, with respect to Perpetual 6.625% Non-Cumulative Preferred Stock, Series L, filed with the New York Department of State on July  17, 2026, incorporated by reference to Exhibit 3.1 of the Form 8-K dated July 17, 2026.</w:t>
              </w:r>
            </w:hyperlink>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9469" w:type="dxa"/>
            <w:gridSpan w:val="2"/>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(4)(e)</w:t>
            </w:r>
          </w:p>
        </w:tc>
        <w:tc>
          <w:tcPr>
            <w:tcW w:w="797"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283"/>
              <w:jc w:val="left"/>
              <w:rPr/>
            </w:pPr>
            <w:hyperlink r:id="rId20">
              <w:r>
                <w:rPr>
                  <w:rStyle w:val="InternetLink"/>
                </w:rPr>
                <w:t>Amended and Restated Bylaws of M&amp;T Bank Corporation, effective February  21, 2024, incorporated by reference to Exhibit 3.2 of the Form 10-K for the year ended December 31, 2023.</w:t>
              </w:r>
            </w:hyperlink>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9469" w:type="dxa"/>
            <w:gridSpan w:val="2"/>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(4)(f)</w:t>
            </w:r>
          </w:p>
        </w:tc>
        <w:tc>
          <w:tcPr>
            <w:tcW w:w="797"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283"/>
              <w:jc w:val="left"/>
              <w:rPr/>
            </w:pPr>
            <w:hyperlink r:id="rId21">
              <w:r>
                <w:rPr>
                  <w:rStyle w:val="InternetLink"/>
                </w:rPr>
                <w:t>Form of Deposit Agreement (including Form of Depositary Receipt), incorporated by reference to Exhibit 4(a) to Registration Statement on Form S-3 (File No. 333-122147), filed with the SEC on January 19, 2005.</w:t>
              </w:r>
            </w:hyperlink>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9469" w:type="dxa"/>
            <w:gridSpan w:val="2"/>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(4)(g)</w:t>
            </w:r>
          </w:p>
        </w:tc>
        <w:tc>
          <w:tcPr>
            <w:tcW w:w="797"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283"/>
              <w:jc w:val="left"/>
              <w:rPr/>
            </w:pPr>
            <w:hyperlink r:id="rId22">
              <w:r>
                <w:rPr>
                  <w:rStyle w:val="InternetLink"/>
                </w:rPr>
                <w:t>Form of Senior Indenture, incorporated by reference to Exhibit 4(b) to Registration Statement on Form S-3 (File No. 333-122147), filed with the SEC on January 19, 2005.</w:t>
              </w:r>
            </w:hyperlink>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9469" w:type="dxa"/>
            <w:gridSpan w:val="2"/>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(4)(h)</w:t>
            </w:r>
          </w:p>
        </w:tc>
        <w:tc>
          <w:tcPr>
            <w:tcW w:w="797"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283"/>
              <w:jc w:val="left"/>
              <w:rPr/>
            </w:pPr>
            <w:hyperlink r:id="rId23">
              <w:r>
                <w:rPr>
                  <w:rStyle w:val="InternetLink"/>
                </w:rPr>
                <w:t>Form of Senior Debt Security, incorporated by reference to Exhibit 4(c) to Registration Statement on Form S-3 (File No. 333-122147), filed with the SEC on January 19, 2005.</w:t>
              </w:r>
            </w:hyperlink>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9469" w:type="dxa"/>
            <w:gridSpan w:val="2"/>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(4)(i)</w:t>
            </w:r>
          </w:p>
        </w:tc>
        <w:tc>
          <w:tcPr>
            <w:tcW w:w="797"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283"/>
              <w:jc w:val="left"/>
              <w:rPr/>
            </w:pPr>
            <w:hyperlink r:id="rId24">
              <w:r>
                <w:rPr>
                  <w:rStyle w:val="InternetLink"/>
                </w:rPr>
                <w:t>Indenture, dated as of May  24, 2007, by and between M&amp;T Bank Corporation and The Bank of New York (as Trustee) (now doing business as The Bank of New York Mellon), incorporated by reference to Exhibit 4.2 to M&amp;T’s Current Report on Form 8-K (File No. 001-09861), filed with the SEC on May 29, 2007.</w:t>
              </w:r>
            </w:hyperlink>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9469" w:type="dxa"/>
            <w:gridSpan w:val="2"/>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(4)(j)</w:t>
            </w:r>
          </w:p>
        </w:tc>
        <w:tc>
          <w:tcPr>
            <w:tcW w:w="797"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283"/>
              <w:jc w:val="left"/>
              <w:rPr/>
            </w:pPr>
            <w:hyperlink r:id="rId25">
              <w:r>
                <w:rPr>
                  <w:rStyle w:val="InternetLink"/>
                </w:rPr>
                <w:t>First Supplemental Indenture, dated as of May  24, 2007, by and between M&amp;T Bank Corporation and The Bank of New York (as Trustee) (now doing business as The Bank of New York Mellon), incorporated by reference to Exhibit 4.1 to M&amp;T’s Current Report on Form 8-K (File No. 001-09861), filed with the SEC on May 29, 2007.</w:t>
              </w:r>
            </w:hyperlink>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9469" w:type="dxa"/>
            <w:gridSpan w:val="2"/>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(4)(k)</w:t>
            </w:r>
          </w:p>
        </w:tc>
        <w:tc>
          <w:tcPr>
            <w:tcW w:w="797"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283"/>
              <w:jc w:val="left"/>
              <w:rPr/>
            </w:pPr>
            <w:hyperlink r:id="rId26">
              <w:r>
                <w:rPr>
                  <w:rStyle w:val="InternetLink"/>
                </w:rPr>
                <w:t>Second Supplemental Indenture, dated as of July  26, 2018, by and between M&amp;T Bank Corporation and The Bank of New York Mellon, incorporated by reference to Exhibit 4.1 to M&amp;T’s Current Report on Form 8-K (File No. 001-09861), filed with the SEC on July 26, 2018.</w:t>
              </w:r>
            </w:hyperlink>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9469" w:type="dxa"/>
            <w:gridSpan w:val="2"/>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(4)(l)</w:t>
            </w:r>
          </w:p>
        </w:tc>
        <w:tc>
          <w:tcPr>
            <w:tcW w:w="797"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283"/>
              <w:jc w:val="left"/>
              <w:rPr/>
            </w:pPr>
            <w:hyperlink r:id="rId27">
              <w:r>
                <w:rPr>
                  <w:rStyle w:val="InternetLink"/>
                </w:rPr>
                <w:t>Third Supplemental Indenture, dated as of August  16, 2022 by and between M&amp;T Bank Corporation and The Bank of New York Mellon, incorporated by reference to Exhibit 4.1 to M&amp;T’s Current Report on Form 8-K (File No. 001-09861), filed with the SEC on August 16, 2022.</w:t>
              </w:r>
            </w:hyperlink>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9469" w:type="dxa"/>
            <w:gridSpan w:val="2"/>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(4)(m)</w:t>
            </w:r>
          </w:p>
        </w:tc>
        <w:tc>
          <w:tcPr>
            <w:tcW w:w="797"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283"/>
              <w:jc w:val="left"/>
              <w:rPr/>
            </w:pPr>
            <w:hyperlink r:id="rId28">
              <w:r>
                <w:rPr>
                  <w:rStyle w:val="InternetLink"/>
                </w:rPr>
                <w:t>Fourth Supplemental Indenture, dated as of January  27, 2023, by and between M&amp;T Bank Corporation and The Bank of New York Mellon, incorporated by reference to Exhibit 4.1 to M&amp;T’s Current Report on Form 8-K (File No. 001-09861), filed with the SEC on January 27, 2023.</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16"/>
        <w:gridCol w:w="716"/>
        <w:gridCol w:w="8773"/>
      </w:tblGrid>
      <w:tr>
        <w:trPr/>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8773" w:type="dxa"/>
            <w:tcBorders/>
            <w:vAlign w:val="center"/>
          </w:tcPr>
          <w:p>
            <w:pPr>
              <w:pStyle w:val="TableContents"/>
              <w:bidi w:val="0"/>
              <w:spacing w:before="0" w:after="283"/>
              <w:jc w:val="left"/>
              <w:rPr>
                <w:sz w:val="4"/>
                <w:szCs w:val="4"/>
              </w:rPr>
            </w:pPr>
            <w:r>
              <w:rPr>
                <w:sz w:val="4"/>
                <w:szCs w:val="4"/>
              </w:rPr>
            </w:r>
          </w:p>
        </w:tc>
      </w:tr>
      <w:tr>
        <w:trPr/>
        <w:tc>
          <w:tcPr>
            <w:tcW w:w="716"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bidi w:val="0"/>
              <w:spacing w:before="0" w:after="20"/>
              <w:jc w:val="left"/>
              <w:rPr>
                <w:rFonts w:ascii="Times New Roman" w:hAnsi="Times New Roman"/>
                <w:b/>
                <w:sz w:val="16"/>
              </w:rPr>
            </w:pPr>
            <w:r>
              <w:rPr>
                <w:rFonts w:ascii="Times New Roman" w:hAnsi="Times New Roman"/>
                <w:b/>
                <w:sz w:val="16"/>
              </w:rPr>
              <w:t>NO</w:t>
            </w:r>
          </w:p>
        </w:tc>
        <w:tc>
          <w:tcPr>
            <w:tcW w:w="716" w:type="dxa"/>
            <w:tcBorders/>
            <w:vAlign w:val="bottom"/>
          </w:tcPr>
          <w:p>
            <w:pPr>
              <w:pStyle w:val="TableContents"/>
              <w:bidi w:val="0"/>
              <w:spacing w:before="0" w:after="283"/>
              <w:jc w:val="left"/>
              <w:rPr/>
            </w:pPr>
            <w:r>
              <w:rPr/>
              <w:t> </w:t>
            </w:r>
          </w:p>
        </w:tc>
        <w:tc>
          <w:tcPr>
            <w:tcW w:w="8773" w:type="dxa"/>
            <w:tcBorders/>
            <w:vAlign w:val="bottom"/>
          </w:tcPr>
          <w:p>
            <w:pPr>
              <w:pStyle w:val="TableContents"/>
              <w:bidi w:val="0"/>
              <w:spacing w:before="0" w:after="283"/>
              <w:jc w:val="left"/>
              <w:rPr>
                <w:b/>
              </w:rPr>
            </w:pPr>
            <w:r>
              <w:rPr>
                <w:b/>
              </w:rPr>
              <w:t>EXHIBIT</w:t>
            </w:r>
          </w:p>
        </w:tc>
      </w:tr>
      <w:tr>
        <w:trPr>
          <w:trHeight w:val="120" w:hRule="atLeast"/>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(4)(n)</w:t>
            </w:r>
          </w:p>
        </w:tc>
        <w:tc>
          <w:tcPr>
            <w:tcW w:w="716"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hyperlink r:id="rId29">
              <w:r>
                <w:rPr>
                  <w:rStyle w:val="InternetLink"/>
                </w:rPr>
                <w:t>Subordinated Indenture, dated as of September  22, 2023, by and between M&amp;T Bank Corporation and The Bank of New York Mellon, incorporated by reference to Exhibit 4(k) to M&amp;T’s Form S-3, filed with the SEC on September 22, 2023.</w:t>
              </w:r>
            </w:hyperlink>
          </w:p>
        </w:tc>
      </w:tr>
      <w:tr>
        <w:trPr>
          <w:trHeight w:val="120" w:hRule="atLeast"/>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(4)(o)</w:t>
            </w:r>
          </w:p>
        </w:tc>
        <w:tc>
          <w:tcPr>
            <w:tcW w:w="716"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hyperlink r:id="rId30">
              <w:r>
                <w:rPr>
                  <w:rStyle w:val="InternetLink"/>
                </w:rPr>
                <w:t>Form of Subordinated Debt Security, incorporated by reference to Exhibit 4(e) to Registration Statement on Form S-3 (No. 333-122147), filed with the SEC on January 19, 2005.</w:t>
              </w:r>
            </w:hyperlink>
          </w:p>
        </w:tc>
      </w:tr>
      <w:tr>
        <w:trPr>
          <w:trHeight w:val="120" w:hRule="atLeast"/>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(4)(p)</w:t>
            </w:r>
          </w:p>
        </w:tc>
        <w:tc>
          <w:tcPr>
            <w:tcW w:w="716"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hyperlink r:id="rId31">
              <w:r>
                <w:rPr>
                  <w:rStyle w:val="InternetLink"/>
                </w:rPr>
                <w:t>Form of Warrant Agreement (including Form of Warrant Certificate), incorporated by reference to Exhibit 4(f) to Registration Statement on Form S-3 (No. 333-122147), filed with the SEC on January 19, 2005.</w:t>
              </w:r>
            </w:hyperlink>
          </w:p>
        </w:tc>
      </w:tr>
      <w:tr>
        <w:trPr>
          <w:trHeight w:val="120" w:hRule="atLeast"/>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(4)(q)</w:t>
            </w:r>
          </w:p>
        </w:tc>
        <w:tc>
          <w:tcPr>
            <w:tcW w:w="716"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Form of Floating Rate Senior Note.**</w:t>
            </w:r>
          </w:p>
        </w:tc>
      </w:tr>
      <w:tr>
        <w:trPr>
          <w:trHeight w:val="120" w:hRule="atLeast"/>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(4)(r)</w:t>
            </w:r>
          </w:p>
        </w:tc>
        <w:tc>
          <w:tcPr>
            <w:tcW w:w="716"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Form of Floating Rate Subordinated Note.**</w:t>
            </w:r>
          </w:p>
        </w:tc>
      </w:tr>
      <w:tr>
        <w:trPr>
          <w:trHeight w:val="120" w:hRule="atLeast"/>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(4)(s)</w:t>
            </w:r>
          </w:p>
        </w:tc>
        <w:tc>
          <w:tcPr>
            <w:tcW w:w="716"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Form of Fixed Rate Senior Note.**</w:t>
            </w:r>
          </w:p>
        </w:tc>
      </w:tr>
      <w:tr>
        <w:trPr>
          <w:trHeight w:val="120" w:hRule="atLeast"/>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(4)(t)</w:t>
            </w:r>
          </w:p>
        </w:tc>
        <w:tc>
          <w:tcPr>
            <w:tcW w:w="716"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Form of Fixed Rate Subordinated Note.**</w:t>
            </w:r>
          </w:p>
        </w:tc>
      </w:tr>
      <w:tr>
        <w:trPr>
          <w:trHeight w:val="120" w:hRule="atLeast"/>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(4)(u)</w:t>
            </w:r>
          </w:p>
        </w:tc>
        <w:tc>
          <w:tcPr>
            <w:tcW w:w="716"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Senior Master Global Note.**</w:t>
            </w:r>
          </w:p>
        </w:tc>
      </w:tr>
      <w:tr>
        <w:trPr>
          <w:trHeight w:val="120" w:hRule="atLeast"/>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(4)(v)</w:t>
            </w:r>
          </w:p>
        </w:tc>
        <w:tc>
          <w:tcPr>
            <w:tcW w:w="716"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Subordinated Master Global Note**</w:t>
            </w:r>
          </w:p>
        </w:tc>
      </w:tr>
      <w:tr>
        <w:trPr>
          <w:trHeight w:val="120" w:hRule="atLeast"/>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(5)(a)</w:t>
            </w:r>
          </w:p>
        </w:tc>
        <w:tc>
          <w:tcPr>
            <w:tcW w:w="716"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hyperlink w:anchor="d14226dex5a.htm">
              <w:r>
                <w:rPr>
                  <w:rStyle w:val="InternetLink"/>
                </w:rPr>
                <w:t xml:space="preserve">Opinion of Squire Patton Boggs (US) LLP.* </w:t>
              </w:r>
            </w:hyperlink>
          </w:p>
        </w:tc>
      </w:tr>
      <w:tr>
        <w:trPr>
          <w:trHeight w:val="120" w:hRule="atLeast"/>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(23)(a)</w:t>
            </w:r>
          </w:p>
        </w:tc>
        <w:tc>
          <w:tcPr>
            <w:tcW w:w="716"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hyperlink w:anchor="d14226dex23a.htm">
              <w:r>
                <w:rPr>
                  <w:rStyle w:val="InternetLink"/>
                </w:rPr>
                <w:t xml:space="preserve">Consent of PricewaterhouseCoopers LLP.* </w:t>
              </w:r>
            </w:hyperlink>
          </w:p>
        </w:tc>
      </w:tr>
      <w:tr>
        <w:trPr>
          <w:trHeight w:val="120" w:hRule="atLeast"/>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(23)(b)</w:t>
            </w:r>
          </w:p>
        </w:tc>
        <w:tc>
          <w:tcPr>
            <w:tcW w:w="716"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hyperlink w:anchor="d14226dex5a.htm">
              <w:r>
                <w:rPr>
                  <w:rStyle w:val="InternetLink"/>
                </w:rPr>
                <w:t xml:space="preserve">Consent of Squire Patton Boggs (US) LLP (included in Exhibit (5)(a)).* </w:t>
              </w:r>
            </w:hyperlink>
          </w:p>
        </w:tc>
      </w:tr>
      <w:tr>
        <w:trPr>
          <w:trHeight w:val="120" w:hRule="atLeast"/>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(24)(a)</w:t>
            </w:r>
          </w:p>
        </w:tc>
        <w:tc>
          <w:tcPr>
            <w:tcW w:w="716"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hyperlink w:anchor="ii14226_sig">
              <w:r>
                <w:rPr>
                  <w:rStyle w:val="InternetLink"/>
                </w:rPr>
                <w:t xml:space="preserve">Power of Attorney (included on the signature page to the Registration Statement).* </w:t>
              </w:r>
            </w:hyperlink>
          </w:p>
        </w:tc>
      </w:tr>
      <w:tr>
        <w:trPr>
          <w:trHeight w:val="120" w:hRule="atLeast"/>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(25)(a)</w:t>
            </w:r>
          </w:p>
        </w:tc>
        <w:tc>
          <w:tcPr>
            <w:tcW w:w="716"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Form T-1 Statement of Eligibility to act as trustee under the form of Senior Indenture.**</w:t>
            </w:r>
          </w:p>
        </w:tc>
      </w:tr>
      <w:tr>
        <w:trPr>
          <w:trHeight w:val="120" w:hRule="atLeast"/>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(25)(b)</w:t>
            </w:r>
          </w:p>
        </w:tc>
        <w:tc>
          <w:tcPr>
            <w:tcW w:w="716"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hyperlink w:anchor="d14226dex25b.htm">
              <w:r>
                <w:rPr>
                  <w:rStyle w:val="InternetLink"/>
                </w:rPr>
                <w:t>Form T-1 Statement of Eligibility of The Bank of New York Mellon to act as trustee under the Subordinated Indenture dated as of September 22, 2023.*</w:t>
              </w:r>
            </w:hyperlink>
          </w:p>
        </w:tc>
      </w:tr>
      <w:tr>
        <w:trPr>
          <w:trHeight w:val="120" w:hRule="atLeast"/>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(25)(c)</w:t>
            </w:r>
          </w:p>
        </w:tc>
        <w:tc>
          <w:tcPr>
            <w:tcW w:w="716"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hyperlink w:anchor="d14226dex25c.htm">
              <w:r>
                <w:rPr>
                  <w:rStyle w:val="InternetLink"/>
                </w:rPr>
                <w:t xml:space="preserve">Form T-1 Statement of Eligibility of The Bank of New York Mellon to act as trustee under the Indenture dated as of May 24, 2007.* </w:t>
              </w:r>
            </w:hyperlink>
          </w:p>
        </w:tc>
      </w:tr>
      <w:tr>
        <w:trPr>
          <w:trHeight w:val="120" w:hRule="atLeast"/>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107</w:t>
            </w:r>
          </w:p>
        </w:tc>
        <w:tc>
          <w:tcPr>
            <w:tcW w:w="716"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hyperlink w:anchor="d14226dexfilingfees.htm">
              <w:r>
                <w:rPr>
                  <w:rStyle w:val="InternetLink"/>
                </w:rPr>
                <w:t xml:space="preserve">Calculation of 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an amendment, or as an exhibit to a Current Report on Form 8-K and incorporated herein by reference, or pursuant to Section 305(b)(2) of the Trust Indenture Act of 1939. </w:t>
            </w:r>
          </w:p>
        </w:tc>
      </w:tr>
    </w:tbl>
    <w:p>
      <w:pPr>
        <w:pStyle w:val="TextBody"/>
        <w:bidi w:val="0"/>
        <w:spacing w:before="360" w:after="0"/>
        <w:jc w:val="left"/>
        <w:rPr>
          <w:rFonts w:ascii="Times New Roman" w:hAnsi="Times New Roman"/>
          <w:sz w:val="20"/>
        </w:rPr>
      </w:pPr>
      <w:r>
        <w:rPr>
          <w:rFonts w:ascii="Times New Roman" w:hAnsi="Times New Roman"/>
          <w:b/>
          <w:sz w:val="20"/>
        </w:rPr>
        <w:t>ITEM 17.</w:t>
      </w:r>
      <w:r>
        <w:rPr>
          <w:rFonts w:ascii="Times New Roman" w:hAnsi="Times New Roman"/>
          <w:sz w:val="20"/>
        </w:rPr>
        <w:t xml:space="preserve"> </w:t>
      </w:r>
      <w:r>
        <w:rPr>
          <w:rFonts w:ascii="Times New Roman" w:hAnsi="Times New Roman"/>
          <w:b/>
          <w:i/>
          <w:sz w:val="20"/>
        </w:rPr>
        <w:t>UNDERTAKINGS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this Registration Statement or any material change to such information in this Registration Statement; </w:t>
      </w:r>
    </w:p>
    <w:p>
      <w:pPr>
        <w:pStyle w:val="TextBody"/>
        <w:bidi w:val="0"/>
        <w:spacing w:before="240" w:after="0"/>
        <w:jc w:val="left"/>
        <w:rPr>
          <w:rFonts w:ascii="Times New Roman" w:hAnsi="Times New Roman"/>
          <w:i/>
          <w:sz w:val="20"/>
        </w:rPr>
      </w:pPr>
      <w:r>
        <w:rPr>
          <w:rFonts w:ascii="Times New Roman" w:hAnsi="Times New Roman"/>
          <w:i/>
          <w:sz w:val="20"/>
        </w:rPr>
        <w:t xml:space="preserve">provided, however, that paragraphs (1)(i), (1)(ii) and (1)(iii) above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any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r>
        <w:rPr>
          <w:rFonts w:ascii="Times New Roman" w:hAnsi="Times New Roman"/>
          <w:i/>
          <w:sz w:val="20"/>
        </w:rPr>
        <w:t>Provided, however</w:t>
      </w:r>
      <w:r>
        <w:rPr>
          <w:rFonts w:ascii="Times New Roman" w:hAnsi="Times New Roman"/>
          <w:sz w:val="20"/>
        </w:rPr>
        <w:t xml:space="preserve">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24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24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(6) That, for the purposes of determining any liability under the Securities Act, each filing of the registrant’s annual report pursuant to Section 13(a) or 15(d) of the Securities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(7) Insofar as indemnification for liabilities arising under the Securities Act may be permitted to directors, officers and controlling persons of the registrant pursuant to the provisions described under Item 15 of the Registration Statement,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(8) To file an application for the purpose of determining the eligibility of the trustees to act under subsection (a) of Section 310 of the Trust Indenture Act in accordance with the rules and the registrant regulations prescribed by the SEC under Section 305(b)(2) of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ii14226_sig"/>
      <w:bookmarkEnd w:id="11"/>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undersigned registrant certifies that it has reasonable grounds to believe that it meets all of the requirements for filing on Form S-3 and has duly caused this Registration Statement to be signed on its behalf by the undersigned, thereunto duly authorized, in the City of Buffalo, State of New York, on September 22,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M&amp;T BANK CORPORATION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By: /s/ Daryl N. Bible</w:t>
            </w:r>
          </w:p>
          <w:p>
            <w:pPr>
              <w:pStyle w:val="TableContents"/>
              <w:bidi w:val="0"/>
              <w:spacing w:before="0" w:after="20"/>
              <w:jc w:val="left"/>
              <w:rPr/>
            </w:pPr>
            <w:r>
              <w:rPr/>
              <w:t> </w:t>
            </w:r>
          </w:p>
        </w:tc>
      </w:tr>
      <w:tr>
        <w:trPr/>
        <w:tc>
          <w:tcPr>
            <w:tcW w:w="4082" w:type="dxa"/>
            <w:tcBorders/>
          </w:tcPr>
          <w:p>
            <w:pPr>
              <w:pStyle w:val="TableContents"/>
              <w:bidi w:val="0"/>
              <w:spacing w:before="0" w:after="283"/>
              <w:jc w:val="left"/>
              <w:rPr/>
            </w:pPr>
            <w:r>
              <w:rPr/>
              <w:t>Daryl N. Bible</w:t>
            </w:r>
          </w:p>
        </w:tc>
      </w:tr>
      <w:tr>
        <w:trPr/>
        <w:tc>
          <w:tcPr>
            <w:tcW w:w="4082" w:type="dxa"/>
            <w:tcBorders/>
            <w:vAlign w:val="bottom"/>
          </w:tcPr>
          <w:p>
            <w:pPr>
              <w:pStyle w:val="TableContents"/>
              <w:bidi w:val="0"/>
              <w:spacing w:before="0" w:after="283"/>
              <w:jc w:val="left"/>
              <w:rPr/>
            </w:pPr>
            <w:r>
              <w:rPr/>
              <w:t>Senior Executive Vice President and Chief Financial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of the individuals whose signatures appear below constitute and appoint René F. Jones, Daryl N. Bible and Laura O’Hara and each of them, his or her true and lawful attorney-in-fact and agents with full and several power of substitution and resubstitution,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that each of said attorney-in-fact and agents or any of them, or their substitutes, may lawfully do or cause to be done.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indicated on September 15,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6"/>
        <w:gridCol w:w="207"/>
        <w:gridCol w:w="5312"/>
      </w:tblGrid>
      <w:tr>
        <w:trPr/>
        <w:tc>
          <w:tcPr>
            <w:tcW w:w="468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12" w:type="dxa"/>
            <w:tcBorders/>
            <w:vAlign w:val="center"/>
          </w:tcPr>
          <w:p>
            <w:pPr>
              <w:pStyle w:val="TableContents"/>
              <w:bidi w:val="0"/>
              <w:spacing w:before="0" w:after="283"/>
              <w:jc w:val="left"/>
              <w:rPr>
                <w:sz w:val="4"/>
                <w:szCs w:val="4"/>
              </w:rPr>
            </w:pPr>
            <w:r>
              <w:rPr>
                <w:sz w:val="4"/>
                <w:szCs w:val="4"/>
              </w:rPr>
            </w:r>
          </w:p>
        </w:tc>
      </w:tr>
      <w:tr>
        <w:trPr/>
        <w:tc>
          <w:tcPr>
            <w:tcW w:w="4686" w:type="dxa"/>
            <w:tcBorders/>
            <w:vAlign w:val="bottom"/>
          </w:tcPr>
          <w:p>
            <w:pPr>
              <w:pStyle w:val="TableContents"/>
              <w:bidi w:val="0"/>
              <w:spacing w:before="0" w:after="283"/>
              <w:jc w:val="center"/>
              <w:rPr>
                <w:b/>
              </w:rPr>
            </w:pPr>
            <w:r>
              <w:rPr>
                <w:b/>
              </w:rPr>
              <w:t>Signature</w:t>
            </w:r>
          </w:p>
        </w:tc>
        <w:tc>
          <w:tcPr>
            <w:tcW w:w="207" w:type="dxa"/>
            <w:tcBorders/>
            <w:vAlign w:val="bottom"/>
          </w:tcPr>
          <w:p>
            <w:pPr>
              <w:pStyle w:val="TableContents"/>
              <w:bidi w:val="0"/>
              <w:spacing w:before="0" w:after="283"/>
              <w:jc w:val="left"/>
              <w:rPr/>
            </w:pPr>
            <w:r>
              <w:rPr/>
              <w:t>  </w:t>
            </w:r>
          </w:p>
        </w:tc>
        <w:tc>
          <w:tcPr>
            <w:tcW w:w="5312" w:type="dxa"/>
            <w:tcBorders/>
            <w:vAlign w:val="bottom"/>
          </w:tcPr>
          <w:p>
            <w:pPr>
              <w:pStyle w:val="TableContents"/>
              <w:bidi w:val="0"/>
              <w:spacing w:before="0" w:after="283"/>
              <w:jc w:val="center"/>
              <w:rPr>
                <w:b/>
              </w:rPr>
            </w:pPr>
            <w:r>
              <w:rPr>
                <w:b/>
              </w:rPr>
              <w:t>Title</w:t>
            </w:r>
          </w:p>
        </w:tc>
      </w:tr>
      <w:tr>
        <w:trPr>
          <w:trHeight w:val="12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René F. Jones</w:t>
            </w:r>
          </w:p>
          <w:p>
            <w:pPr>
              <w:pStyle w:val="TableContents"/>
              <w:bidi w:val="0"/>
              <w:spacing w:before="0" w:after="20"/>
              <w:jc w:val="left"/>
              <w:rPr>
                <w:rFonts w:ascii="Times New Roman" w:hAnsi="Times New Roman"/>
                <w:sz w:val="20"/>
              </w:rPr>
            </w:pPr>
            <w:r>
              <w:rPr>
                <w:rFonts w:ascii="Times New Roman" w:hAnsi="Times New Roman"/>
                <w:sz w:val="20"/>
              </w:rPr>
              <w:t>René F. Jones</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Chairman of the Board, Chief Executive Officer and Director</w:t>
              <w:br/>
              <w:t>(Principal Executive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Daryl N. Bible</w:t>
            </w:r>
          </w:p>
          <w:p>
            <w:pPr>
              <w:pStyle w:val="TableContents"/>
              <w:bidi w:val="0"/>
              <w:spacing w:before="0" w:after="20"/>
              <w:jc w:val="left"/>
              <w:rPr>
                <w:rFonts w:ascii="Times New Roman" w:hAnsi="Times New Roman"/>
                <w:sz w:val="20"/>
              </w:rPr>
            </w:pPr>
            <w:r>
              <w:rPr>
                <w:rFonts w:ascii="Times New Roman" w:hAnsi="Times New Roman"/>
                <w:sz w:val="20"/>
              </w:rPr>
              <w:t>Daryl N. Bible</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Senior Executive Vice President and Chief Financial Officer</w:t>
              <w:br/>
              <w:t>(Principal Financial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John Taylor</w:t>
            </w:r>
          </w:p>
          <w:p>
            <w:pPr>
              <w:pStyle w:val="TableContents"/>
              <w:bidi w:val="0"/>
              <w:spacing w:before="0" w:after="20"/>
              <w:jc w:val="left"/>
              <w:rPr>
                <w:rFonts w:ascii="Times New Roman" w:hAnsi="Times New Roman"/>
                <w:sz w:val="20"/>
              </w:rPr>
            </w:pPr>
            <w:r>
              <w:rPr>
                <w:rFonts w:ascii="Times New Roman" w:hAnsi="Times New Roman"/>
                <w:sz w:val="20"/>
              </w:rPr>
              <w:t>John Taylor</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Executive Vice President and Controller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John P. Barnes</w:t>
            </w:r>
          </w:p>
          <w:p>
            <w:pPr>
              <w:pStyle w:val="TableContents"/>
              <w:bidi w:val="0"/>
              <w:spacing w:before="0" w:after="20"/>
              <w:jc w:val="left"/>
              <w:rPr>
                <w:rFonts w:ascii="Times New Roman" w:hAnsi="Times New Roman"/>
                <w:sz w:val="20"/>
              </w:rPr>
            </w:pPr>
            <w:r>
              <w:rPr>
                <w:rFonts w:ascii="Times New Roman" w:hAnsi="Times New Roman"/>
                <w:sz w:val="20"/>
              </w:rPr>
              <w:t>John P. Barnes</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Carlton J. Charles</w:t>
            </w:r>
          </w:p>
          <w:p>
            <w:pPr>
              <w:pStyle w:val="TableContents"/>
              <w:bidi w:val="0"/>
              <w:spacing w:before="0" w:after="20"/>
              <w:jc w:val="left"/>
              <w:rPr>
                <w:rFonts w:ascii="Times New Roman" w:hAnsi="Times New Roman"/>
                <w:sz w:val="20"/>
              </w:rPr>
            </w:pPr>
            <w:r>
              <w:rPr>
                <w:rFonts w:ascii="Times New Roman" w:hAnsi="Times New Roman"/>
                <w:sz w:val="20"/>
              </w:rPr>
              <w:t>Carlton J. Charles</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Jane Chwick</w:t>
            </w:r>
          </w:p>
          <w:p>
            <w:pPr>
              <w:pStyle w:val="TableContents"/>
              <w:bidi w:val="0"/>
              <w:spacing w:before="0" w:after="20"/>
              <w:jc w:val="left"/>
              <w:rPr>
                <w:rFonts w:ascii="Times New Roman" w:hAnsi="Times New Roman"/>
                <w:sz w:val="20"/>
              </w:rPr>
            </w:pPr>
            <w:r>
              <w:rPr>
                <w:rFonts w:ascii="Times New Roman" w:hAnsi="Times New Roman"/>
                <w:sz w:val="20"/>
              </w:rPr>
              <w:t>Jane Chwick</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William F. Cruger, Jr.</w:t>
            </w:r>
          </w:p>
          <w:p>
            <w:pPr>
              <w:pStyle w:val="TableContents"/>
              <w:bidi w:val="0"/>
              <w:spacing w:before="0" w:after="20"/>
              <w:jc w:val="left"/>
              <w:rPr>
                <w:rFonts w:ascii="Times New Roman" w:hAnsi="Times New Roman"/>
                <w:sz w:val="20"/>
              </w:rPr>
            </w:pPr>
            <w:r>
              <w:rPr>
                <w:rFonts w:ascii="Times New Roman" w:hAnsi="Times New Roman"/>
                <w:sz w:val="20"/>
              </w:rPr>
              <w:t>William F. Cruger, Jr.</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687"/>
        <w:gridCol w:w="207"/>
        <w:gridCol w:w="5311"/>
      </w:tblGrid>
      <w:tr>
        <w:trPr/>
        <w:tc>
          <w:tcPr>
            <w:tcW w:w="4687"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4687" w:type="dxa"/>
            <w:tcBorders/>
            <w:vAlign w:val="bottom"/>
          </w:tcPr>
          <w:p>
            <w:pPr>
              <w:pStyle w:val="TableContents"/>
              <w:bidi w:val="0"/>
              <w:spacing w:before="0" w:after="283"/>
              <w:jc w:val="center"/>
              <w:rPr>
                <w:b/>
              </w:rPr>
            </w:pPr>
            <w:r>
              <w:rPr>
                <w:b/>
              </w:rPr>
              <w:t>Signature</w:t>
            </w:r>
          </w:p>
        </w:tc>
        <w:tc>
          <w:tcPr>
            <w:tcW w:w="207" w:type="dxa"/>
            <w:tcBorders/>
            <w:vAlign w:val="bottom"/>
          </w:tcPr>
          <w:p>
            <w:pPr>
              <w:pStyle w:val="TableContents"/>
              <w:bidi w:val="0"/>
              <w:spacing w:before="0" w:after="283"/>
              <w:jc w:val="left"/>
              <w:rPr/>
            </w:pPr>
            <w:r>
              <w:rPr/>
              <w:t>  </w:t>
            </w:r>
          </w:p>
        </w:tc>
        <w:tc>
          <w:tcPr>
            <w:tcW w:w="5311" w:type="dxa"/>
            <w:tcBorders/>
            <w:vAlign w:val="bottom"/>
          </w:tcPr>
          <w:p>
            <w:pPr>
              <w:pStyle w:val="TableContents"/>
              <w:bidi w:val="0"/>
              <w:spacing w:before="0" w:after="283"/>
              <w:jc w:val="center"/>
              <w:rPr>
                <w:b/>
              </w:rPr>
            </w:pPr>
            <w:r>
              <w:rPr>
                <w:b/>
              </w:rPr>
              <w:t>Title</w:t>
            </w:r>
          </w:p>
        </w:tc>
      </w:tr>
      <w:tr>
        <w:trPr>
          <w:trHeight w:val="12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Leslie V. Godridge</w:t>
            </w:r>
          </w:p>
          <w:p>
            <w:pPr>
              <w:pStyle w:val="TableContents"/>
              <w:bidi w:val="0"/>
              <w:spacing w:before="0" w:after="20"/>
              <w:jc w:val="left"/>
              <w:rPr>
                <w:rFonts w:ascii="Times New Roman" w:hAnsi="Times New Roman"/>
                <w:sz w:val="20"/>
              </w:rPr>
            </w:pPr>
            <w:r>
              <w:rPr>
                <w:rFonts w:ascii="Times New Roman" w:hAnsi="Times New Roman"/>
                <w:sz w:val="20"/>
              </w:rPr>
              <w:t>Leslie V. Godridge</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Jeremy M. Jacobs, Jr.</w:t>
            </w:r>
          </w:p>
          <w:p>
            <w:pPr>
              <w:pStyle w:val="TableContents"/>
              <w:bidi w:val="0"/>
              <w:spacing w:before="0" w:after="20"/>
              <w:jc w:val="left"/>
              <w:rPr>
                <w:rFonts w:ascii="Times New Roman" w:hAnsi="Times New Roman"/>
                <w:sz w:val="20"/>
              </w:rPr>
            </w:pPr>
            <w:r>
              <w:rPr>
                <w:rFonts w:ascii="Times New Roman" w:hAnsi="Times New Roman"/>
                <w:sz w:val="20"/>
              </w:rPr>
              <w:t>Jeremy M. Jacobs, Jr.</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Richard H. Ledgett, Jr.</w:t>
            </w:r>
          </w:p>
          <w:p>
            <w:pPr>
              <w:pStyle w:val="TableContents"/>
              <w:bidi w:val="0"/>
              <w:spacing w:before="0" w:after="20"/>
              <w:jc w:val="left"/>
              <w:rPr>
                <w:rFonts w:ascii="Times New Roman" w:hAnsi="Times New Roman"/>
                <w:sz w:val="20"/>
              </w:rPr>
            </w:pPr>
            <w:r>
              <w:rPr>
                <w:rFonts w:ascii="Times New Roman" w:hAnsi="Times New Roman"/>
                <w:sz w:val="20"/>
              </w:rPr>
              <w:t>Richard H. Ledgett, Jr.</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Melinda R. Rich</w:t>
            </w:r>
          </w:p>
          <w:p>
            <w:pPr>
              <w:pStyle w:val="TableContents"/>
              <w:bidi w:val="0"/>
              <w:spacing w:before="0" w:after="20"/>
              <w:jc w:val="left"/>
              <w:rPr>
                <w:rFonts w:ascii="Times New Roman" w:hAnsi="Times New Roman"/>
                <w:sz w:val="20"/>
              </w:rPr>
            </w:pPr>
            <w:r>
              <w:rPr>
                <w:rFonts w:ascii="Times New Roman" w:hAnsi="Times New Roman"/>
                <w:sz w:val="20"/>
              </w:rPr>
              <w:t>Melinda R. Rich</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Denis J. Salamone</w:t>
            </w:r>
          </w:p>
          <w:p>
            <w:pPr>
              <w:pStyle w:val="TableContents"/>
              <w:bidi w:val="0"/>
              <w:spacing w:before="0" w:after="20"/>
              <w:jc w:val="left"/>
              <w:rPr>
                <w:rFonts w:ascii="Times New Roman" w:hAnsi="Times New Roman"/>
                <w:sz w:val="20"/>
              </w:rPr>
            </w:pPr>
            <w:r>
              <w:rPr>
                <w:rFonts w:ascii="Times New Roman" w:hAnsi="Times New Roman"/>
                <w:sz w:val="20"/>
              </w:rPr>
              <w:t>Denis J. Salamone</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Rudina Seseri</w:t>
            </w:r>
          </w:p>
          <w:p>
            <w:pPr>
              <w:pStyle w:val="TableContents"/>
              <w:bidi w:val="0"/>
              <w:spacing w:before="0" w:after="20"/>
              <w:jc w:val="left"/>
              <w:rPr>
                <w:rFonts w:ascii="Times New Roman" w:hAnsi="Times New Roman"/>
                <w:sz w:val="20"/>
              </w:rPr>
            </w:pPr>
            <w:r>
              <w:rPr>
                <w:rFonts w:ascii="Times New Roman" w:hAnsi="Times New Roman"/>
                <w:sz w:val="20"/>
              </w:rPr>
              <w:t>Rudina Seseri</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Kirk W. Walters</w:t>
            </w:r>
          </w:p>
          <w:p>
            <w:pPr>
              <w:pStyle w:val="TableContents"/>
              <w:bidi w:val="0"/>
              <w:spacing w:before="0" w:after="20"/>
              <w:jc w:val="left"/>
              <w:rPr>
                <w:rFonts w:ascii="Times New Roman" w:hAnsi="Times New Roman"/>
                <w:sz w:val="20"/>
              </w:rPr>
            </w:pPr>
            <w:r>
              <w:rPr>
                <w:rFonts w:ascii="Times New Roman" w:hAnsi="Times New Roman"/>
                <w:sz w:val="20"/>
              </w:rPr>
              <w:t>Kirk W. Walters</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Herbert L. Washington</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p>
    <w:p>
      <w:pPr>
        <w:pStyle w:val="TextBody"/>
        <w:bidi w:val="0"/>
        <w:spacing w:before="0" w:after="0"/>
        <w:jc w:val="right"/>
        <w:rPr>
          <w:rFonts w:ascii="Times New Roman" w:hAnsi="Times New Roman"/>
          <w:b/>
          <w:sz w:val="20"/>
        </w:rPr>
      </w:pPr>
      <w:bookmarkStart w:id="12" w:name="d14226dex5a.htm"/>
      <w:bookmarkStart w:id="13" w:name="ksd14226dex5a"/>
      <w:bookmarkEnd w:id="12"/>
      <w:bookmarkEnd w:id="13"/>
      <w:r>
        <w:rPr>
          <w:rFonts w:ascii="Times New Roman" w:hAnsi="Times New Roman"/>
          <w:b/>
          <w:sz w:val="20"/>
        </w:rPr>
        <w:t xml:space="preserve">Exhibit 5(a)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41"/>
        <w:gridCol w:w="120"/>
        <w:gridCol w:w="2171"/>
        <w:gridCol w:w="120"/>
        <w:gridCol w:w="2171"/>
        <w:gridCol w:w="120"/>
        <w:gridCol w:w="2562"/>
      </w:tblGrid>
      <w:tr>
        <w:trPr/>
        <w:tc>
          <w:tcPr>
            <w:tcW w:w="29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r>
      <w:tr>
        <w:trPr/>
        <w:tc>
          <w:tcPr>
            <w:tcW w:w="2941" w:type="dxa"/>
            <w:tcBorders/>
          </w:tcPr>
          <w:p>
            <w:pPr>
              <w:pStyle w:val="TableContents"/>
              <w:bidi w:val="0"/>
              <w:spacing w:before="0" w:after="283"/>
              <w:jc w:val="left"/>
              <w:rPr/>
            </w:pPr>
            <w:r>
              <w:rPr/>
              <w:drawing>
                <wp:inline distT="0" distB="0" distL="0" distR="0">
                  <wp:extent cx="15049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2"/>
                          <a:stretch>
                            <a:fillRect/>
                          </a:stretch>
                        </pic:blipFill>
                        <pic:spPr bwMode="auto">
                          <a:xfrm>
                            <a:off x="0" y="0"/>
                            <a:ext cx="1504950" cy="5810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17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7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62" w:type="dxa"/>
            <w:tcBorders/>
          </w:tcPr>
          <w:p>
            <w:pPr>
              <w:pStyle w:val="TableContents"/>
              <w:bidi w:val="0"/>
              <w:spacing w:before="0" w:after="0"/>
              <w:jc w:val="left"/>
              <w:rPr>
                <w:rFonts w:ascii="Times New Roman" w:hAnsi="Times New Roman"/>
                <w:sz w:val="20"/>
              </w:rPr>
            </w:pPr>
            <w:r>
              <w:rPr>
                <w:rFonts w:ascii="Times New Roman" w:hAnsi="Times New Roman"/>
                <w:sz w:val="20"/>
              </w:rPr>
              <w:t>Squire Patton Boggs (US) LLP</w:t>
            </w:r>
          </w:p>
          <w:p>
            <w:pPr>
              <w:pStyle w:val="TableContents"/>
              <w:bidi w:val="0"/>
              <w:spacing w:before="0" w:after="0"/>
              <w:jc w:val="left"/>
              <w:rPr>
                <w:rFonts w:ascii="Times New Roman" w:hAnsi="Times New Roman"/>
                <w:sz w:val="20"/>
              </w:rPr>
            </w:pPr>
            <w:r>
              <w:rPr>
                <w:rFonts w:ascii="Times New Roman" w:hAnsi="Times New Roman"/>
                <w:sz w:val="20"/>
              </w:rPr>
              <w:t>201 E. Fourth St., Suite 1900</w:t>
            </w:r>
          </w:p>
          <w:p>
            <w:pPr>
              <w:pStyle w:val="TableContents"/>
              <w:bidi w:val="0"/>
              <w:spacing w:before="0" w:after="0"/>
              <w:jc w:val="left"/>
              <w:rPr>
                <w:rFonts w:ascii="Times New Roman" w:hAnsi="Times New Roman"/>
                <w:sz w:val="20"/>
              </w:rPr>
            </w:pPr>
            <w:r>
              <w:rPr>
                <w:rFonts w:ascii="Times New Roman" w:hAnsi="Times New Roman"/>
                <w:sz w:val="20"/>
              </w:rPr>
              <w:t>Cincinnati, Ohio 45202</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  +1 513 361 1200</w:t>
            </w:r>
          </w:p>
          <w:p>
            <w:pPr>
              <w:pStyle w:val="TableContents"/>
              <w:bidi w:val="0"/>
              <w:spacing w:before="0" w:after="0"/>
              <w:jc w:val="left"/>
              <w:rPr>
                <w:rFonts w:ascii="Times New Roman" w:hAnsi="Times New Roman"/>
                <w:sz w:val="20"/>
              </w:rPr>
            </w:pPr>
            <w:r>
              <w:rPr>
                <w:rFonts w:ascii="Times New Roman" w:hAnsi="Times New Roman"/>
                <w:sz w:val="20"/>
              </w:rPr>
              <w:t>F  +1 513 361 1201</w:t>
            </w:r>
          </w:p>
          <w:p>
            <w:pPr>
              <w:pStyle w:val="TableContents"/>
              <w:bidi w:val="0"/>
              <w:spacing w:before="0" w:after="20"/>
              <w:jc w:val="left"/>
              <w:rPr>
                <w:rFonts w:ascii="Times New Roman" w:hAnsi="Times New Roman"/>
                <w:sz w:val="20"/>
              </w:rPr>
            </w:pPr>
            <w:r>
              <w:rPr>
                <w:rFonts w:ascii="Times New Roman" w:hAnsi="Times New Roman"/>
                <w:sz w:val="20"/>
              </w:rPr>
              <w:t>squirepattonboggs.com</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September 22, 2026 </w:t>
      </w:r>
    </w:p>
    <w:p>
      <w:pPr>
        <w:pStyle w:val="TextBody"/>
        <w:bidi w:val="0"/>
        <w:spacing w:before="240" w:after="0"/>
        <w:jc w:val="left"/>
        <w:rPr>
          <w:rFonts w:ascii="Times New Roman" w:hAnsi="Times New Roman"/>
          <w:sz w:val="20"/>
        </w:rPr>
      </w:pPr>
      <w:r>
        <w:rPr>
          <w:rFonts w:ascii="Times New Roman" w:hAnsi="Times New Roman"/>
          <w:sz w:val="20"/>
        </w:rPr>
        <w:t xml:space="preserve">M&amp;T Bank Corporation </w:t>
      </w:r>
    </w:p>
    <w:p>
      <w:pPr>
        <w:pStyle w:val="TextBody"/>
        <w:bidi w:val="0"/>
        <w:spacing w:before="0" w:after="0"/>
        <w:jc w:val="left"/>
        <w:rPr>
          <w:rFonts w:ascii="Times New Roman" w:hAnsi="Times New Roman"/>
          <w:sz w:val="20"/>
        </w:rPr>
      </w:pPr>
      <w:r>
        <w:rPr>
          <w:rFonts w:ascii="Times New Roman" w:hAnsi="Times New Roman"/>
          <w:sz w:val="20"/>
        </w:rPr>
        <w:t xml:space="preserve">One M&amp;T Plaza </w:t>
      </w:r>
    </w:p>
    <w:p>
      <w:pPr>
        <w:pStyle w:val="TextBody"/>
        <w:bidi w:val="0"/>
        <w:spacing w:before="0" w:after="0"/>
        <w:jc w:val="left"/>
        <w:rPr>
          <w:rFonts w:ascii="Times New Roman" w:hAnsi="Times New Roman"/>
          <w:sz w:val="20"/>
        </w:rPr>
      </w:pPr>
      <w:r>
        <w:rPr>
          <w:rFonts w:ascii="Times New Roman" w:hAnsi="Times New Roman"/>
          <w:sz w:val="20"/>
        </w:rPr>
        <w:t xml:space="preserve">Buffalo, New York 14203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M&amp;T Bank Corporation, a New York corporation (the “Company”), in connection with a new automatic shelf Registration Statement on Form S-3ASR (the “Registration Statement”) filed by the Company with the Securities and Exchange Commission (the “Commission”) on the date hereof, for the registration of (i) the Company’s unsecured debt securities (“Debt Securities”); (ii) shares of the Company’s common stock, par value $0.50 per shares (“Common Stock”); (iii) shares of the Company’s preferred stock, par value $1.00 per share (“Preferred Stock”); (iv) depositary shares representing Preferred Stock (“Depositary Shares”) to be evidenced by depositary receipts to be issued pursuant to a Deposit Agreement (as hereinafter defined) in the event the Company elects to offer fractional interests in shares of Preferred Stock; (v) warrants for the purchase of Debt Securities, Common Stock, Depository Shares or Preferred Stock (“Warrants”); and (vi) any other securities authorized to be issued by the Board or any appropriately authorized committee of the Board, plus (i) shares of the Common Stock issuable (A) upon conversion of shares of the Preferred Stock, to the extent any of such shares of Preferred Stock are by their terms convertible into Common Stock or (B) upon exercise of Warrants; (ii) shares of Preferred Stock (A) in the form of Depositary Shares and (B) upon exercise of Warrants; and (iii) Debt Securities issuable upon exercise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Common Stock, Preferred Stock, Depositary Shares and Warrants are referred to herein collectively as the “Securities.” The Securities may be issued and sold or delivered from time to time as set forth in the Registration Statement, any amendment thereto, the prospectus contained therein (the “Prospectus”) and any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such documents, including the resolutions of the Board of Directors of the Company (the “Board”) adopted on September 15, 2026 (the “Resolutions”), and have reviewed such questions of law, as we have considered necessary and appropriate for the purposes of our opinion set forth below. In such examination and in rendering our opinions set forth below, we have assumed the authenticity of all documents submitted to us as originals, the genuineness of all signatures, the accuracy and completeness of all documents submitted to us, and the </w:t>
      </w:r>
    </w:p>
    <w:p>
      <w:pPr>
        <w:pStyle w:val="TextBody"/>
        <w:bidi w:val="0"/>
        <w:spacing w:before="0" w:after="0"/>
        <w:jc w:val="left"/>
        <w:rPr/>
      </w:pPr>
      <w:r>
        <w:rPr/>
        <w:t> </w:t>
      </w:r>
    </w:p>
    <w:p>
      <w:pPr>
        <w:pStyle w:val="TextBody"/>
        <w:bidi w:val="0"/>
        <w:spacing w:before="0" w:after="0"/>
        <w:jc w:val="left"/>
        <w:rPr>
          <w:rFonts w:ascii="Times New Roman" w:hAnsi="Times New Roman"/>
          <w:sz w:val="16"/>
        </w:rPr>
      </w:pPr>
      <w:r>
        <w:rPr>
          <w:rFonts w:ascii="Times New Roman" w:hAnsi="Times New Roman"/>
          <w:sz w:val="16"/>
        </w:rPr>
        <w:t xml:space="preserve">Over 40 Offices across 4 Continents </w:t>
      </w:r>
    </w:p>
    <w:p>
      <w:pPr>
        <w:pStyle w:val="TextBody"/>
        <w:bidi w:val="0"/>
        <w:spacing w:before="120" w:after="0"/>
        <w:jc w:val="left"/>
        <w:rPr>
          <w:rFonts w:ascii="Times New Roman" w:hAnsi="Times New Roman"/>
          <w:sz w:val="16"/>
        </w:rPr>
      </w:pPr>
      <w:r>
        <w:rPr>
          <w:rFonts w:ascii="Times New Roman" w:hAnsi="Times New Roman"/>
          <w:sz w:val="16"/>
        </w:rPr>
        <w:t xml:space="preserve">Squire Patton Boggs (US) LLP is part of the international legal practice Squire Patton Boggs, which operates worldwide through a number of separate legal entities. </w:t>
      </w:r>
    </w:p>
    <w:p>
      <w:pPr>
        <w:pStyle w:val="TextBody"/>
        <w:bidi w:val="0"/>
        <w:spacing w:before="120" w:after="0"/>
        <w:jc w:val="left"/>
        <w:rPr>
          <w:rFonts w:ascii="Times New Roman" w:hAnsi="Times New Roman"/>
          <w:sz w:val="16"/>
        </w:rPr>
      </w:pPr>
      <w:r>
        <w:rPr>
          <w:rFonts w:ascii="Times New Roman" w:hAnsi="Times New Roman"/>
          <w:sz w:val="16"/>
        </w:rPr>
        <w:t xml:space="preserve">Please visit squirepattonboggs.com for more information.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81"/>
        <w:gridCol w:w="110"/>
        <w:gridCol w:w="3321"/>
        <w:gridCol w:w="123"/>
        <w:gridCol w:w="3170"/>
      </w:tblGrid>
      <w:tr>
        <w:trPr/>
        <w:tc>
          <w:tcPr>
            <w:tcW w:w="3481"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70" w:type="dxa"/>
            <w:tcBorders/>
            <w:vAlign w:val="center"/>
          </w:tcPr>
          <w:p>
            <w:pPr>
              <w:pStyle w:val="TableContents"/>
              <w:bidi w:val="0"/>
              <w:spacing w:before="0" w:after="283"/>
              <w:jc w:val="left"/>
              <w:rPr>
                <w:sz w:val="4"/>
                <w:szCs w:val="4"/>
              </w:rPr>
            </w:pPr>
            <w:r>
              <w:rPr>
                <w:sz w:val="4"/>
                <w:szCs w:val="4"/>
              </w:rPr>
            </w:r>
          </w:p>
        </w:tc>
      </w:tr>
      <w:tr>
        <w:trPr/>
        <w:tc>
          <w:tcPr>
            <w:tcW w:w="3481" w:type="dxa"/>
            <w:tcBorders/>
          </w:tcPr>
          <w:p>
            <w:pPr>
              <w:pStyle w:val="TableContents"/>
              <w:bidi w:val="0"/>
              <w:spacing w:before="0" w:after="283"/>
              <w:jc w:val="left"/>
              <w:rPr/>
            </w:pPr>
            <w:r>
              <w:rPr/>
              <w:t>M&amp;T Bank Corporation</w:t>
            </w:r>
          </w:p>
        </w:tc>
        <w:tc>
          <w:tcPr>
            <w:tcW w:w="110"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70" w:type="dxa"/>
            <w:tcBorders/>
          </w:tcPr>
          <w:p>
            <w:pPr>
              <w:pStyle w:val="TableContents"/>
              <w:bidi w:val="0"/>
              <w:spacing w:before="0" w:after="283"/>
              <w:jc w:val="left"/>
              <w:rPr/>
            </w:pPr>
            <w:r>
              <w:rPr/>
              <w:t>Squire Patton Boggs (US) LLP</w:t>
            </w:r>
          </w:p>
        </w:tc>
      </w:tr>
      <w:tr>
        <w:trPr/>
        <w:tc>
          <w:tcPr>
            <w:tcW w:w="3481" w:type="dxa"/>
            <w:tcBorders/>
          </w:tcPr>
          <w:p>
            <w:pPr>
              <w:pStyle w:val="TableContents"/>
              <w:bidi w:val="0"/>
              <w:spacing w:before="0" w:after="0"/>
              <w:jc w:val="left"/>
              <w:rPr>
                <w:rFonts w:ascii="Times New Roman" w:hAnsi="Times New Roman"/>
                <w:sz w:val="20"/>
              </w:rPr>
            </w:pPr>
            <w:r>
              <w:rPr>
                <w:rFonts w:ascii="Times New Roman" w:hAnsi="Times New Roman"/>
                <w:sz w:val="20"/>
              </w:rPr>
              <w:t>September 22, 2026</w:t>
            </w:r>
          </w:p>
        </w:tc>
        <w:tc>
          <w:tcPr>
            <w:tcW w:w="110"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70" w:type="dxa"/>
            <w:tcBorders/>
            <w:vAlign w:val="bottom"/>
          </w:tcPr>
          <w:p>
            <w:pPr>
              <w:pStyle w:val="TableContents"/>
              <w:bidi w:val="0"/>
              <w:spacing w:before="0" w:after="283"/>
              <w:jc w:val="left"/>
              <w:rPr>
                <w:sz w:val="4"/>
                <w:szCs w:val="4"/>
              </w:rPr>
            </w:pPr>
            <w:r>
              <w:rPr>
                <w:sz w:val="4"/>
                <w:szCs w:val="4"/>
              </w:rPr>
            </w:r>
          </w:p>
        </w:tc>
      </w:tr>
      <w:tr>
        <w:trPr/>
        <w:tc>
          <w:tcPr>
            <w:tcW w:w="3481" w:type="dxa"/>
            <w:tcBorders/>
          </w:tcPr>
          <w:p>
            <w:pPr>
              <w:pStyle w:val="TableContents"/>
              <w:bidi w:val="0"/>
              <w:spacing w:before="0" w:after="0"/>
              <w:jc w:val="left"/>
              <w:rPr>
                <w:rFonts w:ascii="Times New Roman" w:hAnsi="Times New Roman"/>
                <w:sz w:val="20"/>
              </w:rPr>
            </w:pPr>
            <w:r>
              <w:rPr>
                <w:rFonts w:ascii="Times New Roman" w:hAnsi="Times New Roman"/>
                <w:sz w:val="20"/>
              </w:rPr>
              <w:t>Page 2</w:t>
            </w:r>
          </w:p>
        </w:tc>
        <w:tc>
          <w:tcPr>
            <w:tcW w:w="110"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7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conformity to authentic originals of all documents submitted to us as copies. We have also assumed the legal capacity for all purposes relevant hereto of all natural persons and, with respect to all parties to agreements or instruments relevant hereto other than the Company, that such parties had the requisite power and authority (corporate or otherwise) to execute, deliver and perform such agreements or instruments, that such agreements or instruments have been duly authorized by all requisite action (corporate or otherwise), executed and delivered by such parties and that such agreements or instruments are the valid, binding and enforceable obligations of such parties. As to questions of fact material to our opinion, we have relied upon certificates of officers of the Company and of public officials. Capitalized terms used herein and not otherwise defined herein shall have the meanings assigned to them in each form incorporated by reference as exhibits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When the specific terms of a series of Debt Securities have been specified in an Indenture, or a supplemental indenture or an Officer’s Certificate, which has been executed and delivered to the trustee by an authorized officer, such series of Debt Securities will have been duly authorized by all requisite corporate action and, when executed and authenticated as specified in the Indentures and delivered against payment therefor and as specified by an authorized officer, or when issued upon valid exercise of debt Warrants that have been duly authorized by all requisite corporate action and validly issued, will constitute valid and binding obligations of the Company, enforceable in accordance with the terms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2. When appropriate corporate action has been taken to authorize the issuance and fix the specific terms of one or more series of Preferred Stock in accordance with applicable law and the Company’s charter documents, such series of Preferred Stock will have been duly authorized by all requisite corporate action and, upon issuance, delivery and payment therefor as may be described in a supplement to the Prospectus, or when issued upon valid exercise of Equity Warrants that have been duly authorized by all requisite corporate action and validly issued, shares of such series of Preferred Stock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3. Upon issuance, delivery and payment therefor as may be described in a supplement to the Prospectus, or when issued upon valid exercise of equity Warrants that have been duly authorized by all requisite corporate action and validly issued, such Common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4. When the specific terms of a series of Depositary Shares have been specified in a Deposit Agreement, the Depositary Shares established in such Deposit Agreement will have been duly authorized by all requisite corporate action and, upon issuance, delivery and payment therefor as described in a supplement to the Prospectus, will be validly issued, fully paid and nonassessable.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81"/>
        <w:gridCol w:w="110"/>
        <w:gridCol w:w="3321"/>
        <w:gridCol w:w="123"/>
        <w:gridCol w:w="3170"/>
      </w:tblGrid>
      <w:tr>
        <w:trPr/>
        <w:tc>
          <w:tcPr>
            <w:tcW w:w="3481"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70" w:type="dxa"/>
            <w:tcBorders/>
            <w:vAlign w:val="center"/>
          </w:tcPr>
          <w:p>
            <w:pPr>
              <w:pStyle w:val="TableContents"/>
              <w:bidi w:val="0"/>
              <w:spacing w:before="0" w:after="283"/>
              <w:jc w:val="left"/>
              <w:rPr>
                <w:sz w:val="4"/>
                <w:szCs w:val="4"/>
              </w:rPr>
            </w:pPr>
            <w:r>
              <w:rPr>
                <w:sz w:val="4"/>
                <w:szCs w:val="4"/>
              </w:rPr>
            </w:r>
          </w:p>
        </w:tc>
      </w:tr>
      <w:tr>
        <w:trPr/>
        <w:tc>
          <w:tcPr>
            <w:tcW w:w="3481" w:type="dxa"/>
            <w:tcBorders/>
          </w:tcPr>
          <w:p>
            <w:pPr>
              <w:pStyle w:val="TableContents"/>
              <w:bidi w:val="0"/>
              <w:spacing w:before="0" w:after="283"/>
              <w:jc w:val="left"/>
              <w:rPr/>
            </w:pPr>
            <w:r>
              <w:rPr/>
              <w:t>M&amp;T Bank Corporation</w:t>
            </w:r>
          </w:p>
        </w:tc>
        <w:tc>
          <w:tcPr>
            <w:tcW w:w="110"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70" w:type="dxa"/>
            <w:tcBorders/>
          </w:tcPr>
          <w:p>
            <w:pPr>
              <w:pStyle w:val="TableContents"/>
              <w:bidi w:val="0"/>
              <w:spacing w:before="0" w:after="283"/>
              <w:jc w:val="left"/>
              <w:rPr/>
            </w:pPr>
            <w:r>
              <w:rPr/>
              <w:t>Squire Patton Boggs (US) LLP</w:t>
            </w:r>
          </w:p>
        </w:tc>
      </w:tr>
      <w:tr>
        <w:trPr/>
        <w:tc>
          <w:tcPr>
            <w:tcW w:w="3481" w:type="dxa"/>
            <w:tcBorders/>
          </w:tcPr>
          <w:p>
            <w:pPr>
              <w:pStyle w:val="TableContents"/>
              <w:bidi w:val="0"/>
              <w:spacing w:before="0" w:after="0"/>
              <w:jc w:val="left"/>
              <w:rPr>
                <w:rFonts w:ascii="Times New Roman" w:hAnsi="Times New Roman"/>
                <w:sz w:val="20"/>
              </w:rPr>
            </w:pPr>
            <w:r>
              <w:rPr>
                <w:rFonts w:ascii="Times New Roman" w:hAnsi="Times New Roman"/>
                <w:sz w:val="20"/>
              </w:rPr>
              <w:t>September 22, 2026</w:t>
            </w:r>
          </w:p>
        </w:tc>
        <w:tc>
          <w:tcPr>
            <w:tcW w:w="110"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70" w:type="dxa"/>
            <w:tcBorders/>
            <w:vAlign w:val="bottom"/>
          </w:tcPr>
          <w:p>
            <w:pPr>
              <w:pStyle w:val="TableContents"/>
              <w:bidi w:val="0"/>
              <w:spacing w:before="0" w:after="283"/>
              <w:jc w:val="left"/>
              <w:rPr>
                <w:sz w:val="4"/>
                <w:szCs w:val="4"/>
              </w:rPr>
            </w:pPr>
            <w:r>
              <w:rPr>
                <w:sz w:val="4"/>
                <w:szCs w:val="4"/>
              </w:rPr>
            </w:r>
          </w:p>
        </w:tc>
      </w:tr>
      <w:tr>
        <w:trPr/>
        <w:tc>
          <w:tcPr>
            <w:tcW w:w="3481" w:type="dxa"/>
            <w:tcBorders/>
          </w:tcPr>
          <w:p>
            <w:pPr>
              <w:pStyle w:val="TableContents"/>
              <w:bidi w:val="0"/>
              <w:spacing w:before="0" w:after="0"/>
              <w:jc w:val="left"/>
              <w:rPr>
                <w:rFonts w:ascii="Times New Roman" w:hAnsi="Times New Roman"/>
                <w:sz w:val="20"/>
              </w:rPr>
            </w:pPr>
            <w:r>
              <w:rPr>
                <w:rFonts w:ascii="Times New Roman" w:hAnsi="Times New Roman"/>
                <w:sz w:val="20"/>
              </w:rPr>
              <w:t>Page 3</w:t>
            </w:r>
          </w:p>
        </w:tc>
        <w:tc>
          <w:tcPr>
            <w:tcW w:w="110"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7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 When the specific terms of a series of Warrants have been specified in a Securities Warrant Agreement, the Warrants established in such Securities Warrant Agreement will have been duly authorized by all requisite corporate action and, when executed and authenticated as specified in such Warrant Agreement and delivered against payment therefor pursuant to any terms described in a supplement to the Prospectus, will constitute valid and binding obligations of the Company, enforceable in accordance with the terms of such Warrants. </w:t>
      </w:r>
    </w:p>
    <w:p>
      <w:pPr>
        <w:pStyle w:val="TextBody"/>
        <w:bidi w:val="0"/>
        <w:spacing w:before="240" w:after="0"/>
        <w:jc w:val="left"/>
        <w:rPr>
          <w:rFonts w:ascii="Times New Roman" w:hAnsi="Times New Roman"/>
          <w:sz w:val="20"/>
        </w:rPr>
      </w:pPr>
      <w:r>
        <w:rPr>
          <w:rFonts w:ascii="Times New Roman" w:hAnsi="Times New Roman"/>
          <w:sz w:val="20"/>
        </w:rPr>
        <w:t xml:space="preserve">The opinions set forth above are subject to the following qualifications and exceptions: </w:t>
      </w:r>
    </w:p>
    <w:p>
      <w:pPr>
        <w:pStyle w:val="TextBody"/>
        <w:bidi w:val="0"/>
        <w:spacing w:before="120" w:after="0"/>
        <w:jc w:val="left"/>
        <w:rPr>
          <w:rFonts w:ascii="Times New Roman" w:hAnsi="Times New Roman"/>
          <w:sz w:val="20"/>
        </w:rPr>
      </w:pPr>
      <w:r>
        <w:rPr>
          <w:rFonts w:ascii="Times New Roman" w:hAnsi="Times New Roman"/>
          <w:sz w:val="20"/>
        </w:rPr>
        <w:t xml:space="preserve">(a) Our opinions in paragraphs 1 and 5 above are subject to (i) the effect of any applicable bankruptcy, insolvency, reorganization, moratorium or other similar law of general application affecting creditors’ rights, (ii) the effect of general principles of equity, including (without limitation) concepts of materiality, reasonableness, good faith and fair dealing, and other similar doctrines affecting the enforceability of agreements generally (regardless of whether considered in a proceeding in equity or at law) and (iii) insofar as they relate to indemnification provisions, the effect of federal and state securities laws and public policy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(b) In rendering the opinions set forth above, we have assumed that, at the time of the authentication and delivery of a series of Securities, the Resolutions referred to above will not have been modified or rescinded, there will not have occurred any change in the law affecting the authorization, execution, delivery, validity or enforceability of the Securities, the Registration Statement will have been declared effective by the Commission and will continue to be effective, none of the particular terms of a series of Securities will violate any applicable law and neither the issuance and sale thereof nor the compliance by the Company with the terms thereof will result in a violation of any agreement or instrument then binding upon the Company or any order of any court or governmental body having jurisdiction over the Company.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of this opinion, a judgment for money in an action based on a debt security denominated in a foreign currency or currency unit in a federal or State court in the United States ordinarily would be enforced in the United States only in United States dollars. The date used to determine the rate of conversion into United States dollars of the foreign currency or currency unit in which a particular debt security is denominated will depend upon various factors, including which court renders the judgment. Under Section 27 of the New York Judiciary Law, a state court in the State of New York rendering a judgment on a debt security would be required to render such judgment in the foreign currency or currency unit in which such debt security is denominated, and such judgment would be converted into United States dollars at the exchange rate prevailing on the date of entry of the judgment. </w:t>
      </w:r>
    </w:p>
    <w:p>
      <w:pPr>
        <w:pStyle w:val="TextBody"/>
        <w:bidi w:val="0"/>
        <w:spacing w:before="240" w:after="0"/>
        <w:jc w:val="left"/>
        <w:rPr>
          <w:rFonts w:ascii="Times New Roman" w:hAnsi="Times New Roman"/>
          <w:sz w:val="20"/>
        </w:rPr>
      </w:pPr>
      <w:r>
        <w:rPr>
          <w:rFonts w:ascii="Times New Roman" w:hAnsi="Times New Roman"/>
          <w:sz w:val="20"/>
        </w:rPr>
        <w:t xml:space="preserve">Our opinions expressed above are limited to the laws of the State of New York and the federal laws of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with the Commission as an exhibit to the Registration Statement and to the reference to our firm under the caption “Validity of Securities” contained in the Prospectus included therein. In giving such consent, we do not admit that we are within the category of persons whose consent is required under Section 7 of the Securities Act of 1933, as amended,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Respectfully submitted,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Squire Patton Boggs (US) LLP</w:t>
            </w:r>
          </w:p>
        </w:tc>
      </w:tr>
    </w:tbl>
    <w:p>
      <w:pPr>
        <w:pStyle w:val="TextBody"/>
        <w:bidi w:val="0"/>
        <w:spacing w:before="0" w:after="0"/>
        <w:jc w:val="right"/>
        <w:rPr>
          <w:rFonts w:ascii="Times New Roman" w:hAnsi="Times New Roman"/>
          <w:b/>
          <w:sz w:val="20"/>
        </w:rPr>
      </w:pPr>
      <w:bookmarkStart w:id="14" w:name="d14226dex23a.htm"/>
      <w:bookmarkStart w:id="15" w:name="ksd14226dex23a"/>
      <w:bookmarkEnd w:id="14"/>
      <w:bookmarkEnd w:id="15"/>
      <w:r>
        <w:rPr>
          <w:rFonts w:ascii="Times New Roman" w:hAnsi="Times New Roman"/>
          <w:b/>
          <w:sz w:val="20"/>
        </w:rPr>
        <w:t xml:space="preserve">Exhibit 23(a)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S-3 of M&amp;T Bank Corporation of our report dated February 18, 2026 relating to the financial statements and the effectiveness of internal control over financial reporting, which appears in M&amp;T Bank Corporation’s Annual Report on Form 10-K for the year ended December 31, 2025.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240" w:after="0"/>
        <w:jc w:val="left"/>
        <w:rPr>
          <w:rFonts w:ascii="Times New Roman" w:hAnsi="Times New Roman"/>
          <w:sz w:val="20"/>
        </w:rPr>
      </w:pPr>
      <w:r>
        <w:rPr>
          <w:rFonts w:ascii="Times New Roman" w:hAnsi="Times New Roman"/>
          <w:sz w:val="20"/>
        </w:rPr>
        <w:t xml:space="preserve">Buffalo, New York </w:t>
      </w:r>
    </w:p>
    <w:p>
      <w:pPr>
        <w:pStyle w:val="TextBody"/>
        <w:bidi w:val="0"/>
        <w:spacing w:before="0" w:after="0"/>
        <w:jc w:val="left"/>
        <w:rPr>
          <w:rFonts w:ascii="Times New Roman" w:hAnsi="Times New Roman"/>
          <w:sz w:val="20"/>
        </w:rPr>
      </w:pPr>
      <w:r>
        <w:rPr>
          <w:rFonts w:ascii="Times New Roman" w:hAnsi="Times New Roman"/>
          <w:sz w:val="20"/>
        </w:rPr>
        <w:t xml:space="preserve">September 22, 2026 </w:t>
      </w:r>
    </w:p>
    <w:p>
      <w:pPr>
        <w:pStyle w:val="TextBody"/>
        <w:bidi w:val="0"/>
        <w:spacing w:before="0" w:after="0"/>
        <w:jc w:val="right"/>
        <w:rPr>
          <w:rFonts w:ascii="Times New Roman" w:hAnsi="Times New Roman"/>
          <w:b/>
          <w:sz w:val="20"/>
        </w:rPr>
      </w:pPr>
      <w:bookmarkStart w:id="16" w:name="d14226dex25b.htm"/>
      <w:bookmarkStart w:id="17" w:name="ksd14226dex25b"/>
      <w:bookmarkEnd w:id="16"/>
      <w:bookmarkEnd w:id="17"/>
      <w:r>
        <w:rPr>
          <w:rFonts w:ascii="Times New Roman" w:hAnsi="Times New Roman"/>
          <w:b/>
          <w:sz w:val="20"/>
        </w:rPr>
        <w:t xml:space="preserve">Exhibit 25(b)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T-1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STATEMENT OF ELIGIBILITY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TRUST INDENTURE ACT OF 1939 </w:t>
      </w:r>
    </w:p>
    <w:p>
      <w:pPr>
        <w:pStyle w:val="TextBody"/>
        <w:bidi w:val="0"/>
        <w:spacing w:before="0" w:after="0"/>
        <w:jc w:val="center"/>
        <w:rPr>
          <w:rFonts w:ascii="Times New Roman" w:hAnsi="Times New Roman"/>
          <w:b/>
          <w:sz w:val="24"/>
        </w:rPr>
      </w:pPr>
      <w:r>
        <w:rPr>
          <w:rFonts w:ascii="Times New Roman" w:hAnsi="Times New Roman"/>
          <w:b/>
          <w:sz w:val="24"/>
        </w:rPr>
        <w:t xml:space="preserve">OF A CORPORATION DESIGNATED TO ACT AS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THE BANK OF NEW YORK MELLON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New York</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13-5160382</w:t>
            </w:r>
          </w:p>
        </w:tc>
      </w:tr>
      <w:tr>
        <w:trPr/>
        <w:tc>
          <w:tcPr>
            <w:tcW w:w="5153" w:type="dxa"/>
            <w:tcBorders/>
          </w:tcPr>
          <w:p>
            <w:pPr>
              <w:pStyle w:val="TableContents"/>
              <w:bidi w:val="0"/>
              <w:spacing w:before="0" w:after="283"/>
              <w:jc w:val="center"/>
              <w:rPr>
                <w:b/>
              </w:rPr>
            </w:pPr>
            <w:r>
              <w:rPr>
                <w:b/>
              </w:rPr>
              <w:t xml:space="preserve">(Jurisdiction of incorporation </w:t>
              <w:br/>
              <w:t>if not a U.S. national bank)</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 xml:space="preserve">(I.R.S. employer </w:t>
              <w:b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 xml:space="preserve">240 Greenwich Street, New York, N.Y. </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 xml:space="preserve">10286 </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M&amp;T BANK CORPORATION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obligor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New York</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16-0968385</w:t>
            </w:r>
          </w:p>
        </w:tc>
      </w:tr>
      <w:tr>
        <w:trPr/>
        <w:tc>
          <w:tcPr>
            <w:tcW w:w="5153" w:type="dxa"/>
            <w:tcBorders/>
          </w:tcPr>
          <w:p>
            <w:pPr>
              <w:pStyle w:val="TableContents"/>
              <w:bidi w:val="0"/>
              <w:spacing w:before="0" w:after="283"/>
              <w:jc w:val="center"/>
              <w:rPr>
                <w:b/>
              </w:rPr>
            </w:pPr>
            <w:r>
              <w:rPr>
                <w:b/>
              </w:rPr>
              <w:t xml:space="preserve">(State or other jurisdiction of </w:t>
              <w:b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 xml:space="preserve">(I.R.S. employer </w:t>
              <w:b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 xml:space="preserve">One M&amp;T Plaza </w:t>
              <w:br/>
              <w:t xml:space="preserve">Buffalo, New York </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 xml:space="preserve">14203 </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Subordinated Debt Securities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the indenture securities)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information. Furnish the following information as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(a)</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and address of each examining or supervising authority to which it is subject.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9"/>
        <w:gridCol w:w="123"/>
        <w:gridCol w:w="4893"/>
      </w:tblGrid>
      <w:tr>
        <w:trPr/>
        <w:tc>
          <w:tcPr>
            <w:tcW w:w="518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93" w:type="dxa"/>
            <w:tcBorders/>
            <w:vAlign w:val="center"/>
          </w:tcPr>
          <w:p>
            <w:pPr>
              <w:pStyle w:val="TableContents"/>
              <w:bidi w:val="0"/>
              <w:spacing w:before="0" w:after="283"/>
              <w:jc w:val="left"/>
              <w:rPr>
                <w:sz w:val="4"/>
                <w:szCs w:val="4"/>
              </w:rPr>
            </w:pPr>
            <w:r>
              <w:rPr>
                <w:sz w:val="4"/>
                <w:szCs w:val="4"/>
              </w:rPr>
            </w:r>
          </w:p>
        </w:tc>
      </w:tr>
      <w:tr>
        <w:trPr/>
        <w:tc>
          <w:tcPr>
            <w:tcW w:w="51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Name</w:t>
            </w:r>
          </w:p>
        </w:tc>
        <w:tc>
          <w:tcPr>
            <w:tcW w:w="123" w:type="dxa"/>
            <w:tcBorders/>
            <w:vAlign w:val="bottom"/>
          </w:tcPr>
          <w:p>
            <w:pPr>
              <w:pStyle w:val="TableContents"/>
              <w:bidi w:val="0"/>
              <w:spacing w:before="0" w:after="283"/>
              <w:jc w:val="left"/>
              <w:rPr/>
            </w:pPr>
            <w:r>
              <w:rPr/>
              <w:t>  </w:t>
            </w:r>
          </w:p>
        </w:tc>
        <w:tc>
          <w:tcPr>
            <w:tcW w:w="489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Address</w:t>
            </w:r>
          </w:p>
        </w:tc>
      </w:tr>
      <w:tr>
        <w:trPr/>
        <w:tc>
          <w:tcPr>
            <w:tcW w:w="5189" w:type="dxa"/>
            <w:tcBorders/>
          </w:tcPr>
          <w:p>
            <w:pPr>
              <w:pStyle w:val="TableContents"/>
              <w:bidi w:val="0"/>
              <w:spacing w:before="0" w:after="0"/>
              <w:jc w:val="left"/>
              <w:rPr>
                <w:rFonts w:ascii="Times New Roman" w:hAnsi="Times New Roman"/>
                <w:sz w:val="20"/>
              </w:rPr>
            </w:pPr>
            <w:r>
              <w:rPr>
                <w:rFonts w:ascii="Times New Roman" w:hAnsi="Times New Roman"/>
                <w:sz w:val="20"/>
              </w:rPr>
              <w:t>Superintendent of the Department of Financial</w:t>
            </w:r>
          </w:p>
          <w:p>
            <w:pPr>
              <w:pStyle w:val="TableContents"/>
              <w:bidi w:val="0"/>
              <w:spacing w:before="0" w:after="20"/>
              <w:jc w:val="left"/>
              <w:rPr>
                <w:rFonts w:ascii="Times New Roman" w:hAnsi="Times New Roman"/>
                <w:sz w:val="20"/>
              </w:rPr>
            </w:pPr>
            <w:r>
              <w:rPr>
                <w:rFonts w:ascii="Times New Roman" w:hAnsi="Times New Roman"/>
                <w:sz w:val="20"/>
              </w:rPr>
              <w:t>Services of the State of New York</w:t>
            </w:r>
          </w:p>
        </w:tc>
        <w:tc>
          <w:tcPr>
            <w:tcW w:w="123" w:type="dxa"/>
            <w:tcBorders/>
            <w:vAlign w:val="bottom"/>
          </w:tcPr>
          <w:p>
            <w:pPr>
              <w:pStyle w:val="TableContents"/>
              <w:bidi w:val="0"/>
              <w:spacing w:before="0" w:after="283"/>
              <w:jc w:val="left"/>
              <w:rPr/>
            </w:pPr>
            <w:r>
              <w:rPr/>
              <w:t>  </w:t>
            </w:r>
          </w:p>
        </w:tc>
        <w:tc>
          <w:tcPr>
            <w:tcW w:w="4893" w:type="dxa"/>
            <w:tcBorders/>
          </w:tcPr>
          <w:p>
            <w:pPr>
              <w:pStyle w:val="TableContents"/>
              <w:bidi w:val="0"/>
              <w:spacing w:before="0" w:after="0"/>
              <w:jc w:val="left"/>
              <w:rPr>
                <w:rFonts w:ascii="Times New Roman" w:hAnsi="Times New Roman"/>
                <w:sz w:val="20"/>
              </w:rPr>
            </w:pPr>
            <w:r>
              <w:rPr>
                <w:rFonts w:ascii="Times New Roman" w:hAnsi="Times New Roman"/>
                <w:sz w:val="20"/>
              </w:rPr>
              <w:t>One State Street, New York, N.Y.</w:t>
            </w:r>
          </w:p>
          <w:p>
            <w:pPr>
              <w:pStyle w:val="TableContents"/>
              <w:bidi w:val="0"/>
              <w:spacing w:before="0" w:after="0"/>
              <w:jc w:val="left"/>
              <w:rPr>
                <w:rFonts w:ascii="Times New Roman" w:hAnsi="Times New Roman"/>
                <w:sz w:val="20"/>
              </w:rPr>
            </w:pPr>
            <w:r>
              <w:rPr>
                <w:rFonts w:ascii="Times New Roman" w:hAnsi="Times New Roman"/>
                <w:sz w:val="20"/>
              </w:rPr>
              <w:t>10004-1417, and Albany,</w:t>
            </w:r>
          </w:p>
          <w:p>
            <w:pPr>
              <w:pStyle w:val="TableContents"/>
              <w:bidi w:val="0"/>
              <w:spacing w:before="0" w:after="20"/>
              <w:jc w:val="left"/>
              <w:rPr>
                <w:rFonts w:ascii="Times New Roman" w:hAnsi="Times New Roman"/>
                <w:sz w:val="20"/>
              </w:rPr>
            </w:pPr>
            <w:r>
              <w:rPr>
                <w:rFonts w:ascii="Times New Roman" w:hAnsi="Times New Roman"/>
                <w:sz w:val="20"/>
              </w:rPr>
              <w:t>N.Y. 12223</w:t>
            </w:r>
          </w:p>
        </w:tc>
      </w:tr>
      <w:tr>
        <w:trPr>
          <w:trHeight w:val="120" w:hRule="atLeast"/>
        </w:trPr>
        <w:tc>
          <w:tcPr>
            <w:tcW w:w="5189"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r>
      <w:tr>
        <w:trPr/>
        <w:tc>
          <w:tcPr>
            <w:tcW w:w="5189" w:type="dxa"/>
            <w:tcBorders/>
          </w:tcPr>
          <w:p>
            <w:pPr>
              <w:pStyle w:val="TableContents"/>
              <w:bidi w:val="0"/>
              <w:spacing w:before="0" w:after="0"/>
              <w:jc w:val="left"/>
              <w:rPr>
                <w:rFonts w:ascii="Times New Roman" w:hAnsi="Times New Roman"/>
                <w:sz w:val="20"/>
              </w:rPr>
            </w:pPr>
            <w:r>
              <w:rPr>
                <w:rFonts w:ascii="Times New Roman" w:hAnsi="Times New Roman"/>
                <w:sz w:val="20"/>
              </w:rPr>
              <w:t>Federal Reserve Bank of New York</w:t>
            </w:r>
          </w:p>
        </w:tc>
        <w:tc>
          <w:tcPr>
            <w:tcW w:w="123" w:type="dxa"/>
            <w:tcBorders/>
            <w:vAlign w:val="bottom"/>
          </w:tcPr>
          <w:p>
            <w:pPr>
              <w:pStyle w:val="TableContents"/>
              <w:bidi w:val="0"/>
              <w:spacing w:before="0" w:after="283"/>
              <w:jc w:val="left"/>
              <w:rPr/>
            </w:pPr>
            <w:r>
              <w:rPr/>
              <w:t>  </w:t>
            </w:r>
          </w:p>
        </w:tc>
        <w:tc>
          <w:tcPr>
            <w:tcW w:w="4893" w:type="dxa"/>
            <w:tcBorders/>
          </w:tcPr>
          <w:p>
            <w:pPr>
              <w:pStyle w:val="TableContents"/>
              <w:bidi w:val="0"/>
              <w:spacing w:before="0" w:after="283"/>
              <w:jc w:val="left"/>
              <w:rPr/>
            </w:pPr>
            <w:r>
              <w:rPr/>
              <w:t>33 Liberty Street, New York, N.Y. 10045</w:t>
            </w:r>
          </w:p>
        </w:tc>
      </w:tr>
      <w:tr>
        <w:trPr>
          <w:trHeight w:val="120" w:hRule="atLeast"/>
        </w:trPr>
        <w:tc>
          <w:tcPr>
            <w:tcW w:w="5189"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r>
      <w:tr>
        <w:trPr/>
        <w:tc>
          <w:tcPr>
            <w:tcW w:w="5189" w:type="dxa"/>
            <w:tcBorders/>
          </w:tcPr>
          <w:p>
            <w:pPr>
              <w:pStyle w:val="TableContents"/>
              <w:bidi w:val="0"/>
              <w:spacing w:before="0" w:after="0"/>
              <w:jc w:val="left"/>
              <w:rPr>
                <w:rFonts w:ascii="Times New Roman" w:hAnsi="Times New Roman"/>
                <w:sz w:val="20"/>
              </w:rPr>
            </w:pPr>
            <w:r>
              <w:rPr>
                <w:rFonts w:ascii="Times New Roman" w:hAnsi="Times New Roman"/>
                <w:sz w:val="20"/>
              </w:rPr>
              <w:t>Federal Deposit Insurance Corporation</w:t>
            </w:r>
          </w:p>
        </w:tc>
        <w:tc>
          <w:tcPr>
            <w:tcW w:w="123" w:type="dxa"/>
            <w:tcBorders/>
            <w:vAlign w:val="bottom"/>
          </w:tcPr>
          <w:p>
            <w:pPr>
              <w:pStyle w:val="TableContents"/>
              <w:bidi w:val="0"/>
              <w:spacing w:before="0" w:after="283"/>
              <w:jc w:val="left"/>
              <w:rPr/>
            </w:pPr>
            <w:r>
              <w:rPr/>
              <w:t>  </w:t>
            </w:r>
          </w:p>
        </w:tc>
        <w:tc>
          <w:tcPr>
            <w:tcW w:w="4893" w:type="dxa"/>
            <w:tcBorders/>
          </w:tcPr>
          <w:p>
            <w:pPr>
              <w:pStyle w:val="TableContents"/>
              <w:bidi w:val="0"/>
              <w:spacing w:before="0" w:after="283"/>
              <w:jc w:val="left"/>
              <w:rPr/>
            </w:pPr>
            <w:r>
              <w:rPr/>
              <w:t xml:space="preserve">550 17th Street, NW </w:t>
              <w:br/>
              <w:t>Washington, D.C. 20429</w:t>
            </w:r>
          </w:p>
        </w:tc>
      </w:tr>
      <w:tr>
        <w:trPr>
          <w:trHeight w:val="120" w:hRule="atLeast"/>
        </w:trPr>
        <w:tc>
          <w:tcPr>
            <w:tcW w:w="5189"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r>
      <w:tr>
        <w:trPr/>
        <w:tc>
          <w:tcPr>
            <w:tcW w:w="5189" w:type="dxa"/>
            <w:tcBorders/>
          </w:tcPr>
          <w:p>
            <w:pPr>
              <w:pStyle w:val="TableContents"/>
              <w:bidi w:val="0"/>
              <w:spacing w:before="0" w:after="0"/>
              <w:jc w:val="left"/>
              <w:rPr>
                <w:rFonts w:ascii="Times New Roman" w:hAnsi="Times New Roman"/>
                <w:sz w:val="20"/>
              </w:rPr>
            </w:pPr>
            <w:r>
              <w:rPr>
                <w:rFonts w:ascii="Times New Roman" w:hAnsi="Times New Roman"/>
                <w:sz w:val="20"/>
              </w:rPr>
              <w:t>The Clearing House Association L.L.C.</w:t>
            </w:r>
          </w:p>
        </w:tc>
        <w:tc>
          <w:tcPr>
            <w:tcW w:w="123" w:type="dxa"/>
            <w:tcBorders/>
            <w:vAlign w:val="bottom"/>
          </w:tcPr>
          <w:p>
            <w:pPr>
              <w:pStyle w:val="TableContents"/>
              <w:bidi w:val="0"/>
              <w:spacing w:before="0" w:after="283"/>
              <w:jc w:val="left"/>
              <w:rPr/>
            </w:pPr>
            <w:r>
              <w:rPr/>
              <w:t>  </w:t>
            </w:r>
          </w:p>
        </w:tc>
        <w:tc>
          <w:tcPr>
            <w:tcW w:w="4893" w:type="dxa"/>
            <w:tcBorders/>
          </w:tcPr>
          <w:p>
            <w:pPr>
              <w:pStyle w:val="TableContents"/>
              <w:bidi w:val="0"/>
              <w:spacing w:before="0" w:after="283"/>
              <w:jc w:val="left"/>
              <w:rPr/>
            </w:pPr>
            <w:r>
              <w:rPr/>
              <w:t xml:space="preserve">100 Broad Street </w:t>
              <w:br/>
              <w:t>New York, N.Y. 10004</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(b)</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Whether it is authorized to exercise corporate trust powers.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Affiliations with Obligor.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If the obligor is an affiliate of the trustee, describe each such affiliation.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List of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Exhibits identified in parentheses below, on file with the Commission, are incorporated herein by reference as an exhibit hereto, pursuant to Rule 7a-29 under the Trust Indenture Act of 1939 (the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existing By-laws of the Trustee (Exhibit 4 to Form T-1 filed with Registration Statement No. 333-261533).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consent of the Trustee required by Section 321(b) of the Act (Exhibit 6 to Form T-1 filed with Registration Statement No. 333-229519).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latest report of condition of the Trustee published pursuant to law or to the requirements of its supervising or examining authority.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16th day of September,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0"/>
        <w:gridCol w:w="3638"/>
      </w:tblGrid>
      <w:tr>
        <w:trPr/>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THE BANK OF NEW YORK MELLON</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8" w:type="dxa"/>
            <w:tcBorders>
              <w:bottom w:val="single" w:sz="2" w:space="0" w:color="000000"/>
            </w:tcBorders>
            <w:tcMar>
              <w:bottom w:w="28" w:type="dxa"/>
            </w:tcMar>
          </w:tcPr>
          <w:p>
            <w:pPr>
              <w:pStyle w:val="TableContents"/>
              <w:bidi w:val="0"/>
              <w:spacing w:before="0" w:after="283"/>
              <w:jc w:val="left"/>
              <w:rPr/>
            </w:pPr>
            <w:r>
              <w:rPr/>
              <w:t>/s/ Glenn G. McKeever</w:t>
            </w:r>
          </w:p>
        </w:tc>
      </w:tr>
      <w:tr>
        <w:trPr/>
        <w:tc>
          <w:tcPr>
            <w:tcW w:w="3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8" w:type="dxa"/>
            <w:tcBorders/>
            <w:vAlign w:val="bottom"/>
          </w:tcPr>
          <w:p>
            <w:pPr>
              <w:pStyle w:val="TableContents"/>
              <w:bidi w:val="0"/>
              <w:spacing w:before="0" w:after="283"/>
              <w:jc w:val="left"/>
              <w:rPr/>
            </w:pPr>
            <w:r>
              <w:rPr/>
              <w:t>Name: Glenn G. McKeever</w:t>
            </w:r>
          </w:p>
        </w:tc>
      </w:tr>
      <w:tr>
        <w:trPr/>
        <w:tc>
          <w:tcPr>
            <w:tcW w:w="3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8" w:type="dxa"/>
            <w:tcBorders/>
            <w:vAlign w:val="bottom"/>
          </w:tcPr>
          <w:p>
            <w:pPr>
              <w:pStyle w:val="TableContents"/>
              <w:bidi w:val="0"/>
              <w:spacing w:before="0" w:after="283"/>
              <w:jc w:val="left"/>
              <w:rPr/>
            </w:pPr>
            <w:r>
              <w:rPr/>
              <w:t>Title: Vice President</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7 </w:t>
      </w:r>
    </w:p>
    <w:p>
      <w:pPr>
        <w:pStyle w:val="TextBody"/>
        <w:bidi w:val="0"/>
        <w:spacing w:before="240" w:after="0"/>
        <w:jc w:val="center"/>
        <w:rPr>
          <w:rFonts w:ascii="Times New Roman" w:hAnsi="Times New Roman"/>
          <w:sz w:val="20"/>
        </w:rPr>
      </w:pPr>
      <w:r>
        <w:rPr>
          <w:rFonts w:ascii="Times New Roman" w:hAnsi="Times New Roman"/>
          <w:sz w:val="20"/>
        </w:rPr>
        <w:t xml:space="preserve">Consolidated Report of Condition of </w:t>
      </w:r>
    </w:p>
    <w:p>
      <w:pPr>
        <w:pStyle w:val="TextBody"/>
        <w:bidi w:val="0"/>
        <w:spacing w:before="120" w:after="0"/>
        <w:jc w:val="center"/>
        <w:rPr>
          <w:rFonts w:ascii="Times New Roman" w:hAnsi="Times New Roman"/>
          <w:sz w:val="20"/>
        </w:rPr>
      </w:pPr>
      <w:r>
        <w:rPr>
          <w:rFonts w:ascii="Times New Roman" w:hAnsi="Times New Roman"/>
          <w:sz w:val="20"/>
        </w:rPr>
        <w:t xml:space="preserve">THE BANK OF NEW YORK MELLON </w:t>
      </w:r>
    </w:p>
    <w:p>
      <w:pPr>
        <w:pStyle w:val="TextBody"/>
        <w:bidi w:val="0"/>
        <w:spacing w:before="120" w:after="0"/>
        <w:jc w:val="center"/>
        <w:rPr>
          <w:rFonts w:ascii="Times New Roman" w:hAnsi="Times New Roman"/>
          <w:sz w:val="20"/>
        </w:rPr>
      </w:pPr>
      <w:r>
        <w:rPr>
          <w:rFonts w:ascii="Times New Roman" w:hAnsi="Times New Roman"/>
          <w:sz w:val="20"/>
        </w:rPr>
        <w:t xml:space="preserve">of 240 Greenwich Street, New York, N.Y. 10286 </w:t>
      </w:r>
    </w:p>
    <w:p>
      <w:pPr>
        <w:pStyle w:val="TextBody"/>
        <w:bidi w:val="0"/>
        <w:spacing w:before="0" w:after="0"/>
        <w:jc w:val="center"/>
        <w:rPr>
          <w:rFonts w:ascii="Times New Roman" w:hAnsi="Times New Roman"/>
          <w:sz w:val="20"/>
        </w:rPr>
      </w:pPr>
      <w:r>
        <w:rPr>
          <w:rFonts w:ascii="Times New Roman" w:hAnsi="Times New Roman"/>
          <w:sz w:val="20"/>
        </w:rPr>
        <w:t xml:space="preserve">And Foreign and Domestic Subsidiaries, </w:t>
      </w:r>
    </w:p>
    <w:p>
      <w:pPr>
        <w:pStyle w:val="TextBody"/>
        <w:bidi w:val="0"/>
        <w:spacing w:before="240" w:after="0"/>
        <w:jc w:val="left"/>
        <w:rPr>
          <w:rFonts w:ascii="Times New Roman" w:hAnsi="Times New Roman"/>
          <w:sz w:val="20"/>
        </w:rPr>
      </w:pPr>
      <w:r>
        <w:rPr>
          <w:rFonts w:ascii="Times New Roman" w:hAnsi="Times New Roman"/>
          <w:sz w:val="20"/>
        </w:rPr>
        <w:t xml:space="preserve">a member of the Federal Reserve System, at the close of business June 30, 2026, published in accordance with a call made by the Federal Reserve Bank of this District pursuant to the provisions of the Federal Reserve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32"/>
        <w:gridCol w:w="691"/>
        <w:gridCol w:w="127"/>
        <w:gridCol w:w="2593"/>
        <w:gridCol w:w="62"/>
      </w:tblGrid>
      <w:tr>
        <w:trPr/>
        <w:tc>
          <w:tcPr>
            <w:tcW w:w="6732" w:type="dxa"/>
            <w:tcBorders/>
            <w:vAlign w:val="center"/>
          </w:tcPr>
          <w:p>
            <w:pPr>
              <w:pStyle w:val="TableContents"/>
              <w:bidi w:val="0"/>
              <w:spacing w:before="0" w:after="283"/>
              <w:jc w:val="left"/>
              <w:rPr>
                <w:sz w:val="4"/>
                <w:szCs w:val="4"/>
              </w:rPr>
            </w:pPr>
            <w:r>
              <w:rPr>
                <w:sz w:val="4"/>
                <w:szCs w:val="4"/>
              </w:rPr>
            </w:r>
          </w:p>
        </w:tc>
        <w:tc>
          <w:tcPr>
            <w:tcW w:w="691" w:type="dxa"/>
            <w:tcBorders/>
            <w:vAlign w:val="bottom"/>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732"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2720" w:type="dxa"/>
            <w:gridSpan w:val="2"/>
            <w:tcBorders/>
            <w:vAlign w:val="bottom"/>
          </w:tcPr>
          <w:p>
            <w:pPr>
              <w:pStyle w:val="TableContents"/>
              <w:bidi w:val="0"/>
              <w:spacing w:before="0" w:after="283"/>
              <w:jc w:val="center"/>
              <w:rPr/>
            </w:pPr>
            <w:r>
              <w:rPr/>
              <w:t>Dollar amounts in thousands</w:t>
            </w:r>
          </w:p>
        </w:tc>
        <w:tc>
          <w:tcPr>
            <w:tcW w:w="62" w:type="dxa"/>
            <w:tcBorders/>
            <w:vAlign w:val="bottom"/>
          </w:tcPr>
          <w:p>
            <w:pPr>
              <w:pStyle w:val="TableContents"/>
              <w:bidi w:val="0"/>
              <w:spacing w:before="0" w:after="283"/>
              <w:jc w:val="left"/>
              <w:rPr/>
            </w:pPr>
            <w:r>
              <w:rPr/>
              <w:t> </w:t>
            </w:r>
          </w:p>
        </w:tc>
      </w:tr>
      <w:tr>
        <w:trPr/>
        <w:tc>
          <w:tcPr>
            <w:tcW w:w="67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9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sz w:val="4"/>
                <w:szCs w:val="4"/>
              </w:rPr>
            </w:pPr>
            <w:r>
              <w:rPr>
                <w:sz w:val="4"/>
                <w:szCs w:val="4"/>
              </w:rPr>
            </w:r>
          </w:p>
        </w:tc>
        <w:tc>
          <w:tcPr>
            <w:tcW w:w="2593"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6732" w:type="dxa"/>
            <w:tcBorders/>
          </w:tcPr>
          <w:p>
            <w:pPr>
              <w:pStyle w:val="TableContents"/>
              <w:bidi w:val="0"/>
              <w:spacing w:before="0" w:after="0"/>
              <w:jc w:val="left"/>
              <w:rPr>
                <w:rFonts w:ascii="Times New Roman" w:hAnsi="Times New Roman"/>
                <w:sz w:val="20"/>
              </w:rPr>
            </w:pPr>
            <w:r>
              <w:rPr>
                <w:rFonts w:ascii="Times New Roman" w:hAnsi="Times New Roman"/>
                <w:sz w:val="20"/>
              </w:rPr>
              <w:t>Cash and balances due from depository institutions:</w:t>
            </w:r>
          </w:p>
        </w:tc>
        <w:tc>
          <w:tcPr>
            <w:tcW w:w="69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sz w:val="4"/>
                <w:szCs w:val="4"/>
              </w:rPr>
            </w:pPr>
            <w:r>
              <w:rPr>
                <w:sz w:val="4"/>
                <w:szCs w:val="4"/>
              </w:rPr>
            </w:r>
          </w:p>
        </w:tc>
        <w:tc>
          <w:tcPr>
            <w:tcW w:w="2593"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Noninterest-bearing balances and currency and coin</w:t>
            </w:r>
          </w:p>
        </w:tc>
        <w:tc>
          <w:tcPr>
            <w:tcW w:w="69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593" w:type="dxa"/>
            <w:tcBorders/>
            <w:shd w:fill="CCEEFF" w:val="clear"/>
            <w:vAlign w:val="bottom"/>
          </w:tcPr>
          <w:p>
            <w:pPr>
              <w:pStyle w:val="TableContents"/>
              <w:bidi w:val="0"/>
              <w:spacing w:before="0" w:after="283"/>
              <w:jc w:val="right"/>
              <w:rPr/>
            </w:pPr>
            <w:r>
              <w:rPr/>
              <w:t>6,063,000</w:t>
            </w:r>
          </w:p>
        </w:tc>
        <w:tc>
          <w:tcPr>
            <w:tcW w:w="62" w:type="dxa"/>
            <w:tcBorders/>
            <w:shd w:fill="CCEEFF" w:val="clear"/>
            <w:vAlign w:val="bottom"/>
          </w:tcPr>
          <w:p>
            <w:pPr>
              <w:pStyle w:val="TableContents"/>
              <w:bidi w:val="0"/>
              <w:spacing w:before="0" w:after="283"/>
              <w:jc w:val="left"/>
              <w:rPr/>
            </w:pPr>
            <w:r>
              <w:rPr/>
              <w:t> </w:t>
            </w:r>
          </w:p>
        </w:tc>
      </w:tr>
      <w:tr>
        <w:trPr/>
        <w:tc>
          <w:tcPr>
            <w:tcW w:w="6732" w:type="dxa"/>
            <w:tcBorders/>
          </w:tcPr>
          <w:p>
            <w:pPr>
              <w:pStyle w:val="TableContents"/>
              <w:bidi w:val="0"/>
              <w:spacing w:before="0" w:after="0"/>
              <w:jc w:val="left"/>
              <w:rPr>
                <w:rFonts w:ascii="Times New Roman" w:hAnsi="Times New Roman"/>
                <w:sz w:val="20"/>
              </w:rPr>
            </w:pPr>
            <w:r>
              <w:rPr>
                <w:rFonts w:ascii="Times New Roman" w:hAnsi="Times New Roman"/>
                <w:sz w:val="20"/>
              </w:rPr>
              <w:t>Interest-bearing balances</w:t>
            </w:r>
          </w:p>
        </w:tc>
        <w:tc>
          <w:tcPr>
            <w:tcW w:w="69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593" w:type="dxa"/>
            <w:tcBorders/>
            <w:vAlign w:val="bottom"/>
          </w:tcPr>
          <w:p>
            <w:pPr>
              <w:pStyle w:val="TableContents"/>
              <w:bidi w:val="0"/>
              <w:spacing w:before="0" w:after="283"/>
              <w:jc w:val="right"/>
              <w:rPr/>
            </w:pPr>
            <w:r>
              <w:rPr/>
              <w:t>146,331,000</w:t>
            </w:r>
          </w:p>
        </w:tc>
        <w:tc>
          <w:tcPr>
            <w:tcW w:w="62" w:type="dxa"/>
            <w:tcBorders/>
            <w:vAlign w:val="bottom"/>
          </w:tcPr>
          <w:p>
            <w:pPr>
              <w:pStyle w:val="TableContents"/>
              <w:bidi w:val="0"/>
              <w:spacing w:before="0" w:after="283"/>
              <w:jc w:val="left"/>
              <w:rPr/>
            </w:pPr>
            <w:r>
              <w:rPr/>
              <w:t> </w:t>
            </w:r>
          </w:p>
        </w:tc>
      </w:tr>
      <w:tr>
        <w:trPr/>
        <w:tc>
          <w:tcPr>
            <w:tcW w:w="6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69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sz w:val="4"/>
                <w:szCs w:val="4"/>
              </w:rPr>
            </w:pPr>
            <w:r>
              <w:rPr>
                <w:sz w:val="4"/>
                <w:szCs w:val="4"/>
              </w:rPr>
            </w:r>
          </w:p>
        </w:tc>
        <w:tc>
          <w:tcPr>
            <w:tcW w:w="2593"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6732" w:type="dxa"/>
            <w:tcBorders/>
          </w:tcPr>
          <w:p>
            <w:pPr>
              <w:pStyle w:val="TableContents"/>
              <w:bidi w:val="0"/>
              <w:spacing w:before="0" w:after="0"/>
              <w:jc w:val="left"/>
              <w:rPr>
                <w:rFonts w:ascii="Times New Roman" w:hAnsi="Times New Roman"/>
                <w:sz w:val="20"/>
              </w:rPr>
            </w:pPr>
            <w:r>
              <w:rPr>
                <w:rFonts w:ascii="Times New Roman" w:hAnsi="Times New Roman"/>
                <w:sz w:val="20"/>
              </w:rPr>
              <w:t>Held-to-maturity securities</w:t>
            </w:r>
          </w:p>
        </w:tc>
        <w:tc>
          <w:tcPr>
            <w:tcW w:w="69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593" w:type="dxa"/>
            <w:tcBorders/>
            <w:vAlign w:val="bottom"/>
          </w:tcPr>
          <w:p>
            <w:pPr>
              <w:pStyle w:val="TableContents"/>
              <w:bidi w:val="0"/>
              <w:spacing w:before="0" w:after="283"/>
              <w:jc w:val="right"/>
              <w:rPr/>
            </w:pPr>
            <w:r>
              <w:rPr/>
              <w:t>48,256,000</w:t>
            </w:r>
          </w:p>
        </w:tc>
        <w:tc>
          <w:tcPr>
            <w:tcW w:w="62" w:type="dxa"/>
            <w:tcBorders/>
            <w:vAlign w:val="bottom"/>
          </w:tcPr>
          <w:p>
            <w:pPr>
              <w:pStyle w:val="TableContents"/>
              <w:bidi w:val="0"/>
              <w:spacing w:before="0" w:after="283"/>
              <w:jc w:val="left"/>
              <w:rPr/>
            </w:pPr>
            <w:r>
              <w:rPr/>
              <w:t> </w:t>
            </w:r>
          </w:p>
        </w:tc>
      </w:tr>
      <w:tr>
        <w:trPr/>
        <w:tc>
          <w:tcPr>
            <w:tcW w:w="6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Available-for-sale debt securities</w:t>
            </w:r>
          </w:p>
        </w:tc>
        <w:tc>
          <w:tcPr>
            <w:tcW w:w="69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593" w:type="dxa"/>
            <w:tcBorders/>
            <w:shd w:fill="CCEEFF" w:val="clear"/>
            <w:vAlign w:val="bottom"/>
          </w:tcPr>
          <w:p>
            <w:pPr>
              <w:pStyle w:val="TableContents"/>
              <w:bidi w:val="0"/>
              <w:spacing w:before="0" w:after="283"/>
              <w:jc w:val="right"/>
              <w:rPr/>
            </w:pPr>
            <w:r>
              <w:rPr/>
              <w:t>107,264,000</w:t>
            </w:r>
          </w:p>
        </w:tc>
        <w:tc>
          <w:tcPr>
            <w:tcW w:w="62" w:type="dxa"/>
            <w:tcBorders/>
            <w:shd w:fill="CCEEFF" w:val="clear"/>
            <w:vAlign w:val="bottom"/>
          </w:tcPr>
          <w:p>
            <w:pPr>
              <w:pStyle w:val="TableContents"/>
              <w:bidi w:val="0"/>
              <w:spacing w:before="0" w:after="283"/>
              <w:jc w:val="left"/>
              <w:rPr/>
            </w:pPr>
            <w:r>
              <w:rPr/>
              <w:t> </w:t>
            </w:r>
          </w:p>
        </w:tc>
      </w:tr>
      <w:tr>
        <w:trPr/>
        <w:tc>
          <w:tcPr>
            <w:tcW w:w="6732" w:type="dxa"/>
            <w:tcBorders/>
          </w:tcPr>
          <w:p>
            <w:pPr>
              <w:pStyle w:val="TableContents"/>
              <w:bidi w:val="0"/>
              <w:spacing w:before="0" w:after="0"/>
              <w:jc w:val="left"/>
              <w:rPr>
                <w:rFonts w:ascii="Times New Roman" w:hAnsi="Times New Roman"/>
                <w:sz w:val="20"/>
              </w:rPr>
            </w:pPr>
            <w:r>
              <w:rPr>
                <w:rFonts w:ascii="Times New Roman" w:hAnsi="Times New Roman"/>
                <w:sz w:val="20"/>
              </w:rPr>
              <w:t>Equity securities with readily determinable fair values not held for trading</w:t>
            </w:r>
          </w:p>
        </w:tc>
        <w:tc>
          <w:tcPr>
            <w:tcW w:w="69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593"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6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funds sold and securities purchased under agreements to resell:</w:t>
            </w:r>
          </w:p>
        </w:tc>
        <w:tc>
          <w:tcPr>
            <w:tcW w:w="69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sz w:val="4"/>
                <w:szCs w:val="4"/>
              </w:rPr>
            </w:pPr>
            <w:r>
              <w:rPr>
                <w:sz w:val="4"/>
                <w:szCs w:val="4"/>
              </w:rPr>
            </w:r>
          </w:p>
        </w:tc>
        <w:tc>
          <w:tcPr>
            <w:tcW w:w="2593"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6732" w:type="dxa"/>
            <w:tcBorders/>
          </w:tcPr>
          <w:p>
            <w:pPr>
              <w:pStyle w:val="TableContents"/>
              <w:bidi w:val="0"/>
              <w:spacing w:before="0" w:after="0"/>
              <w:jc w:val="left"/>
              <w:rPr>
                <w:rFonts w:ascii="Times New Roman" w:hAnsi="Times New Roman"/>
                <w:sz w:val="20"/>
              </w:rPr>
            </w:pPr>
            <w:r>
              <w:rPr>
                <w:rFonts w:ascii="Times New Roman" w:hAnsi="Times New Roman"/>
                <w:sz w:val="20"/>
              </w:rPr>
              <w:t>Federal funds sold in domestic offices</w:t>
            </w:r>
          </w:p>
        </w:tc>
        <w:tc>
          <w:tcPr>
            <w:tcW w:w="69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593"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6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 purchased under agreements to resell</w:t>
            </w:r>
          </w:p>
        </w:tc>
        <w:tc>
          <w:tcPr>
            <w:tcW w:w="69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593" w:type="dxa"/>
            <w:tcBorders/>
            <w:shd w:fill="CCEEFF" w:val="clear"/>
            <w:vAlign w:val="bottom"/>
          </w:tcPr>
          <w:p>
            <w:pPr>
              <w:pStyle w:val="TableContents"/>
              <w:bidi w:val="0"/>
              <w:spacing w:before="0" w:after="283"/>
              <w:jc w:val="right"/>
              <w:rPr/>
            </w:pPr>
            <w:r>
              <w:rPr/>
              <w:t>27,537,000</w:t>
            </w:r>
          </w:p>
        </w:tc>
        <w:tc>
          <w:tcPr>
            <w:tcW w:w="62" w:type="dxa"/>
            <w:tcBorders/>
            <w:shd w:fill="CCEEFF" w:val="clear"/>
            <w:vAlign w:val="bottom"/>
          </w:tcPr>
          <w:p>
            <w:pPr>
              <w:pStyle w:val="TableContents"/>
              <w:bidi w:val="0"/>
              <w:spacing w:before="0" w:after="283"/>
              <w:jc w:val="left"/>
              <w:rPr/>
            </w:pPr>
            <w:r>
              <w:rPr/>
              <w:t> </w:t>
            </w:r>
          </w:p>
        </w:tc>
      </w:tr>
      <w:tr>
        <w:trPr/>
        <w:tc>
          <w:tcPr>
            <w:tcW w:w="6732" w:type="dxa"/>
            <w:tcBorders/>
          </w:tcPr>
          <w:p>
            <w:pPr>
              <w:pStyle w:val="TableContents"/>
              <w:bidi w:val="0"/>
              <w:spacing w:before="0" w:after="0"/>
              <w:jc w:val="left"/>
              <w:rPr>
                <w:rFonts w:ascii="Times New Roman" w:hAnsi="Times New Roman"/>
                <w:sz w:val="20"/>
              </w:rPr>
            </w:pPr>
            <w:r>
              <w:rPr>
                <w:rFonts w:ascii="Times New Roman" w:hAnsi="Times New Roman"/>
                <w:sz w:val="20"/>
              </w:rPr>
              <w:t>Loans and lease financing receivables:</w:t>
            </w:r>
          </w:p>
        </w:tc>
        <w:tc>
          <w:tcPr>
            <w:tcW w:w="69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sz w:val="4"/>
                <w:szCs w:val="4"/>
              </w:rPr>
            </w:pPr>
            <w:r>
              <w:rPr>
                <w:sz w:val="4"/>
                <w:szCs w:val="4"/>
              </w:rPr>
            </w:r>
          </w:p>
        </w:tc>
        <w:tc>
          <w:tcPr>
            <w:tcW w:w="2593"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leases held for sale</w:t>
            </w:r>
          </w:p>
        </w:tc>
        <w:tc>
          <w:tcPr>
            <w:tcW w:w="69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593"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6732" w:type="dxa"/>
            <w:tcBorders/>
          </w:tcPr>
          <w:p>
            <w:pPr>
              <w:pStyle w:val="TableContents"/>
              <w:bidi w:val="0"/>
              <w:spacing w:before="0" w:after="0"/>
              <w:jc w:val="left"/>
              <w:rPr>
                <w:rFonts w:ascii="Times New Roman" w:hAnsi="Times New Roman"/>
                <w:sz w:val="20"/>
              </w:rPr>
            </w:pPr>
            <w:r>
              <w:rPr>
                <w:rFonts w:ascii="Times New Roman" w:hAnsi="Times New Roman"/>
                <w:sz w:val="20"/>
              </w:rPr>
              <w:t>Loans and leases held for investment</w:t>
            </w:r>
          </w:p>
        </w:tc>
        <w:tc>
          <w:tcPr>
            <w:tcW w:w="69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593" w:type="dxa"/>
            <w:tcBorders/>
            <w:vAlign w:val="bottom"/>
          </w:tcPr>
          <w:p>
            <w:pPr>
              <w:pStyle w:val="TableContents"/>
              <w:bidi w:val="0"/>
              <w:spacing w:before="0" w:after="283"/>
              <w:jc w:val="right"/>
              <w:rPr/>
            </w:pPr>
            <w:r>
              <w:rPr/>
              <w:t>46,659,000</w:t>
            </w:r>
          </w:p>
        </w:tc>
        <w:tc>
          <w:tcPr>
            <w:tcW w:w="62" w:type="dxa"/>
            <w:tcBorders/>
            <w:vAlign w:val="bottom"/>
          </w:tcPr>
          <w:p>
            <w:pPr>
              <w:pStyle w:val="TableContents"/>
              <w:bidi w:val="0"/>
              <w:spacing w:before="0" w:after="283"/>
              <w:jc w:val="left"/>
              <w:rPr/>
            </w:pPr>
            <w:r>
              <w:rPr/>
              <w:t> </w:t>
            </w:r>
          </w:p>
        </w:tc>
      </w:tr>
      <w:tr>
        <w:trPr/>
        <w:tc>
          <w:tcPr>
            <w:tcW w:w="6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Allowance for credit losses on loans and leases</w:t>
            </w:r>
          </w:p>
        </w:tc>
        <w:tc>
          <w:tcPr>
            <w:tcW w:w="69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593" w:type="dxa"/>
            <w:tcBorders/>
            <w:shd w:fill="CCEEFF" w:val="clear"/>
            <w:vAlign w:val="bottom"/>
          </w:tcPr>
          <w:p>
            <w:pPr>
              <w:pStyle w:val="TableContents"/>
              <w:bidi w:val="0"/>
              <w:spacing w:before="0" w:after="283"/>
              <w:jc w:val="right"/>
              <w:rPr/>
            </w:pPr>
            <w:r>
              <w:rPr/>
              <w:t>200,000</w:t>
            </w:r>
          </w:p>
        </w:tc>
        <w:tc>
          <w:tcPr>
            <w:tcW w:w="62" w:type="dxa"/>
            <w:tcBorders/>
            <w:shd w:fill="CCEEFF" w:val="clear"/>
            <w:vAlign w:val="bottom"/>
          </w:tcPr>
          <w:p>
            <w:pPr>
              <w:pStyle w:val="TableContents"/>
              <w:bidi w:val="0"/>
              <w:spacing w:before="0" w:after="283"/>
              <w:jc w:val="left"/>
              <w:rPr/>
            </w:pPr>
            <w:r>
              <w:rPr/>
              <w:t> </w:t>
            </w:r>
          </w:p>
        </w:tc>
      </w:tr>
      <w:tr>
        <w:trPr/>
        <w:tc>
          <w:tcPr>
            <w:tcW w:w="6732" w:type="dxa"/>
            <w:tcBorders/>
          </w:tcPr>
          <w:p>
            <w:pPr>
              <w:pStyle w:val="TableContents"/>
              <w:bidi w:val="0"/>
              <w:spacing w:before="0" w:after="0"/>
              <w:jc w:val="left"/>
              <w:rPr>
                <w:rFonts w:ascii="Times New Roman" w:hAnsi="Times New Roman"/>
                <w:sz w:val="20"/>
              </w:rPr>
            </w:pPr>
            <w:r>
              <w:rPr>
                <w:rFonts w:ascii="Times New Roman" w:hAnsi="Times New Roman"/>
                <w:sz w:val="20"/>
              </w:rPr>
              <w:t>Loans and leases held for investment, net of allowance</w:t>
            </w:r>
          </w:p>
        </w:tc>
        <w:tc>
          <w:tcPr>
            <w:tcW w:w="69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593" w:type="dxa"/>
            <w:tcBorders/>
            <w:vAlign w:val="bottom"/>
          </w:tcPr>
          <w:p>
            <w:pPr>
              <w:pStyle w:val="TableContents"/>
              <w:bidi w:val="0"/>
              <w:spacing w:before="0" w:after="283"/>
              <w:jc w:val="right"/>
              <w:rPr/>
            </w:pPr>
            <w:r>
              <w:rPr/>
              <w:t>46,459,000</w:t>
            </w:r>
          </w:p>
        </w:tc>
        <w:tc>
          <w:tcPr>
            <w:tcW w:w="62" w:type="dxa"/>
            <w:tcBorders/>
            <w:vAlign w:val="bottom"/>
          </w:tcPr>
          <w:p>
            <w:pPr>
              <w:pStyle w:val="TableContents"/>
              <w:bidi w:val="0"/>
              <w:spacing w:before="0" w:after="283"/>
              <w:jc w:val="left"/>
              <w:rPr/>
            </w:pPr>
            <w:r>
              <w:rPr/>
              <w:t> </w:t>
            </w:r>
          </w:p>
        </w:tc>
      </w:tr>
      <w:tr>
        <w:trPr/>
        <w:tc>
          <w:tcPr>
            <w:tcW w:w="6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Trading assets</w:t>
            </w:r>
          </w:p>
        </w:tc>
        <w:tc>
          <w:tcPr>
            <w:tcW w:w="69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593" w:type="dxa"/>
            <w:tcBorders/>
            <w:shd w:fill="CCEEFF" w:val="clear"/>
            <w:vAlign w:val="bottom"/>
          </w:tcPr>
          <w:p>
            <w:pPr>
              <w:pStyle w:val="TableContents"/>
              <w:bidi w:val="0"/>
              <w:spacing w:before="0" w:after="283"/>
              <w:jc w:val="right"/>
              <w:rPr/>
            </w:pPr>
            <w:r>
              <w:rPr/>
              <w:t>8,709,000</w:t>
            </w:r>
          </w:p>
        </w:tc>
        <w:tc>
          <w:tcPr>
            <w:tcW w:w="62" w:type="dxa"/>
            <w:tcBorders/>
            <w:shd w:fill="CCEEFF" w:val="clear"/>
            <w:vAlign w:val="bottom"/>
          </w:tcPr>
          <w:p>
            <w:pPr>
              <w:pStyle w:val="TableContents"/>
              <w:bidi w:val="0"/>
              <w:spacing w:before="0" w:after="283"/>
              <w:jc w:val="left"/>
              <w:rPr/>
            </w:pPr>
            <w:r>
              <w:rPr/>
              <w:t> </w:t>
            </w:r>
          </w:p>
        </w:tc>
      </w:tr>
      <w:tr>
        <w:trPr/>
        <w:tc>
          <w:tcPr>
            <w:tcW w:w="6732" w:type="dxa"/>
            <w:tcBorders/>
          </w:tcPr>
          <w:p>
            <w:pPr>
              <w:pStyle w:val="TableContents"/>
              <w:bidi w:val="0"/>
              <w:spacing w:before="0" w:after="0"/>
              <w:jc w:val="left"/>
              <w:rPr>
                <w:rFonts w:ascii="Times New Roman" w:hAnsi="Times New Roman"/>
                <w:sz w:val="20"/>
              </w:rPr>
            </w:pPr>
            <w:r>
              <w:rPr>
                <w:rFonts w:ascii="Times New Roman" w:hAnsi="Times New Roman"/>
                <w:sz w:val="20"/>
              </w:rPr>
              <w:t>Premises and fixed assets (including right-of-use assets)</w:t>
            </w:r>
          </w:p>
        </w:tc>
        <w:tc>
          <w:tcPr>
            <w:tcW w:w="69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593" w:type="dxa"/>
            <w:tcBorders/>
            <w:vAlign w:val="bottom"/>
          </w:tcPr>
          <w:p>
            <w:pPr>
              <w:pStyle w:val="TableContents"/>
              <w:bidi w:val="0"/>
              <w:spacing w:before="0" w:after="283"/>
              <w:jc w:val="right"/>
              <w:rPr/>
            </w:pPr>
            <w:r>
              <w:rPr/>
              <w:t>3,596,000</w:t>
            </w:r>
          </w:p>
        </w:tc>
        <w:tc>
          <w:tcPr>
            <w:tcW w:w="62" w:type="dxa"/>
            <w:tcBorders/>
            <w:vAlign w:val="bottom"/>
          </w:tcPr>
          <w:p>
            <w:pPr>
              <w:pStyle w:val="TableContents"/>
              <w:bidi w:val="0"/>
              <w:spacing w:before="0" w:after="283"/>
              <w:jc w:val="left"/>
              <w:rPr/>
            </w:pPr>
            <w:r>
              <w:rPr/>
              <w:t> </w:t>
            </w:r>
          </w:p>
        </w:tc>
      </w:tr>
      <w:tr>
        <w:trPr/>
        <w:tc>
          <w:tcPr>
            <w:tcW w:w="6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real estate owned</w:t>
            </w:r>
          </w:p>
        </w:tc>
        <w:tc>
          <w:tcPr>
            <w:tcW w:w="69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593"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6732"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in unconsolidated subsidiaries and associated companies</w:t>
            </w:r>
          </w:p>
        </w:tc>
        <w:tc>
          <w:tcPr>
            <w:tcW w:w="69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593" w:type="dxa"/>
            <w:tcBorders/>
            <w:vAlign w:val="bottom"/>
          </w:tcPr>
          <w:p>
            <w:pPr>
              <w:pStyle w:val="TableContents"/>
              <w:bidi w:val="0"/>
              <w:spacing w:before="0" w:after="283"/>
              <w:jc w:val="right"/>
              <w:rPr/>
            </w:pPr>
            <w:r>
              <w:rPr/>
              <w:t>2,380,000</w:t>
            </w:r>
          </w:p>
        </w:tc>
        <w:tc>
          <w:tcPr>
            <w:tcW w:w="62" w:type="dxa"/>
            <w:tcBorders/>
            <w:vAlign w:val="bottom"/>
          </w:tcPr>
          <w:p>
            <w:pPr>
              <w:pStyle w:val="TableContents"/>
              <w:bidi w:val="0"/>
              <w:spacing w:before="0" w:after="283"/>
              <w:jc w:val="left"/>
              <w:rPr/>
            </w:pPr>
            <w:r>
              <w:rPr/>
              <w:t> </w:t>
            </w:r>
          </w:p>
        </w:tc>
      </w:tr>
      <w:tr>
        <w:trPr/>
        <w:tc>
          <w:tcPr>
            <w:tcW w:w="6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and indirect investments in real estate ventures</w:t>
            </w:r>
          </w:p>
        </w:tc>
        <w:tc>
          <w:tcPr>
            <w:tcW w:w="69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593"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6732"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69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593" w:type="dxa"/>
            <w:tcBorders/>
            <w:vAlign w:val="bottom"/>
          </w:tcPr>
          <w:p>
            <w:pPr>
              <w:pStyle w:val="TableContents"/>
              <w:bidi w:val="0"/>
              <w:spacing w:before="0" w:after="283"/>
              <w:jc w:val="right"/>
              <w:rPr/>
            </w:pPr>
            <w:r>
              <w:rPr/>
              <w:t>7,330,000</w:t>
            </w:r>
          </w:p>
        </w:tc>
        <w:tc>
          <w:tcPr>
            <w:tcW w:w="62" w:type="dxa"/>
            <w:tcBorders/>
            <w:vAlign w:val="bottom"/>
          </w:tcPr>
          <w:p>
            <w:pPr>
              <w:pStyle w:val="TableContents"/>
              <w:bidi w:val="0"/>
              <w:spacing w:before="0" w:after="283"/>
              <w:jc w:val="left"/>
              <w:rPr/>
            </w:pPr>
            <w:r>
              <w:rPr/>
              <w:t> </w:t>
            </w:r>
          </w:p>
        </w:tc>
      </w:tr>
      <w:tr>
        <w:trPr/>
        <w:tc>
          <w:tcPr>
            <w:tcW w:w="6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69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593" w:type="dxa"/>
            <w:tcBorders/>
            <w:shd w:fill="CCEEFF" w:val="clear"/>
            <w:vAlign w:val="bottom"/>
          </w:tcPr>
          <w:p>
            <w:pPr>
              <w:pStyle w:val="TableContents"/>
              <w:bidi w:val="0"/>
              <w:spacing w:before="0" w:after="283"/>
              <w:jc w:val="right"/>
              <w:rPr/>
            </w:pPr>
            <w:r>
              <w:rPr/>
              <w:t>21,190,000</w:t>
            </w:r>
          </w:p>
        </w:tc>
        <w:tc>
          <w:tcPr>
            <w:tcW w:w="62" w:type="dxa"/>
            <w:tcBorders/>
            <w:shd w:fill="CCEEFF" w:val="clear"/>
            <w:vAlign w:val="bottom"/>
          </w:tcPr>
          <w:p>
            <w:pPr>
              <w:pStyle w:val="TableContents"/>
              <w:bidi w:val="0"/>
              <w:spacing w:before="0" w:after="283"/>
              <w:jc w:val="left"/>
              <w:rPr/>
            </w:pPr>
            <w:r>
              <w:rPr/>
              <w:t> </w:t>
            </w:r>
          </w:p>
        </w:tc>
      </w:tr>
      <w:tr>
        <w:trPr/>
        <w:tc>
          <w:tcPr>
            <w:tcW w:w="6732" w:type="dxa"/>
            <w:tcBorders/>
            <w:vAlign w:val="bottom"/>
          </w:tcPr>
          <w:p>
            <w:pPr>
              <w:pStyle w:val="TableContents"/>
              <w:bidi w:val="0"/>
              <w:spacing w:before="0" w:after="283"/>
              <w:jc w:val="left"/>
              <w:rPr>
                <w:sz w:val="4"/>
                <w:szCs w:val="4"/>
              </w:rPr>
            </w:pPr>
            <w:r>
              <w:rPr>
                <w:sz w:val="4"/>
                <w:szCs w:val="4"/>
              </w:rPr>
            </w:r>
          </w:p>
        </w:tc>
        <w:tc>
          <w:tcPr>
            <w:tcW w:w="691" w:type="dxa"/>
            <w:tcBorders/>
            <w:vAlign w:val="bottom"/>
          </w:tcPr>
          <w:p>
            <w:pPr>
              <w:pStyle w:val="TableContents"/>
              <w:bidi w:val="0"/>
              <w:spacing w:before="0" w:after="283"/>
              <w:jc w:val="left"/>
              <w:rPr/>
            </w:pPr>
            <w:r>
              <w:rPr/>
              <w:t>  </w:t>
            </w:r>
          </w:p>
        </w:tc>
        <w:tc>
          <w:tcPr>
            <w:tcW w:w="127" w:type="dxa"/>
            <w:tcBorders/>
            <w:vAlign w:val="bottom"/>
          </w:tcPr>
          <w:p>
            <w:pPr>
              <w:pStyle w:val="TableContents"/>
              <w:pBdr>
                <w:top w:val="single" w:sz="2" w:space="1" w:color="000000"/>
              </w:pBdr>
              <w:bidi w:val="0"/>
              <w:spacing w:before="0" w:after="0"/>
              <w:jc w:val="left"/>
              <w:rPr/>
            </w:pPr>
            <w:r>
              <w:rPr/>
              <w:t> </w:t>
            </w:r>
          </w:p>
        </w:tc>
        <w:tc>
          <w:tcPr>
            <w:tcW w:w="259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732"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69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593" w:type="dxa"/>
            <w:tcBorders/>
            <w:vAlign w:val="bottom"/>
          </w:tcPr>
          <w:p>
            <w:pPr>
              <w:pStyle w:val="TableContents"/>
              <w:bidi w:val="0"/>
              <w:spacing w:before="0" w:after="283"/>
              <w:jc w:val="right"/>
              <w:rPr/>
            </w:pPr>
            <w:r>
              <w:rPr/>
              <w:t>425,115,000</w:t>
            </w:r>
          </w:p>
        </w:tc>
        <w:tc>
          <w:tcPr>
            <w:tcW w:w="62" w:type="dxa"/>
            <w:tcBorders/>
            <w:vAlign w:val="bottom"/>
          </w:tcPr>
          <w:p>
            <w:pPr>
              <w:pStyle w:val="TableContents"/>
              <w:bidi w:val="0"/>
              <w:spacing w:before="0" w:after="283"/>
              <w:jc w:val="left"/>
              <w:rPr/>
            </w:pPr>
            <w:r>
              <w:rPr/>
              <w:t> </w:t>
            </w:r>
          </w:p>
        </w:tc>
      </w:tr>
      <w:tr>
        <w:trPr/>
        <w:tc>
          <w:tcPr>
            <w:tcW w:w="6732" w:type="dxa"/>
            <w:tcBorders/>
            <w:vAlign w:val="bottom"/>
          </w:tcPr>
          <w:p>
            <w:pPr>
              <w:pStyle w:val="TableContents"/>
              <w:bidi w:val="0"/>
              <w:spacing w:before="0" w:after="283"/>
              <w:jc w:val="left"/>
              <w:rPr>
                <w:sz w:val="4"/>
                <w:szCs w:val="4"/>
              </w:rPr>
            </w:pPr>
            <w:r>
              <w:rPr>
                <w:sz w:val="4"/>
                <w:szCs w:val="4"/>
              </w:rPr>
            </w:r>
          </w:p>
        </w:tc>
        <w:tc>
          <w:tcPr>
            <w:tcW w:w="691" w:type="dxa"/>
            <w:tcBorders/>
            <w:vAlign w:val="bottom"/>
          </w:tcPr>
          <w:p>
            <w:pPr>
              <w:pStyle w:val="TableContents"/>
              <w:bidi w:val="0"/>
              <w:spacing w:before="0" w:after="283"/>
              <w:jc w:val="left"/>
              <w:rPr/>
            </w:pPr>
            <w:r>
              <w:rPr/>
              <w:t>  </w:t>
            </w:r>
          </w:p>
        </w:tc>
        <w:tc>
          <w:tcPr>
            <w:tcW w:w="127" w:type="dxa"/>
            <w:tcBorders/>
            <w:vAlign w:val="bottom"/>
          </w:tcPr>
          <w:p>
            <w:pPr>
              <w:pStyle w:val="TableContents"/>
              <w:pBdr>
                <w:top w:val="double" w:sz="6" w:space="1" w:color="000000"/>
              </w:pBdr>
              <w:bidi w:val="0"/>
              <w:spacing w:before="0" w:after="0"/>
              <w:jc w:val="left"/>
              <w:rPr/>
            </w:pPr>
            <w:r>
              <w:rPr/>
              <w:t> </w:t>
            </w:r>
          </w:p>
        </w:tc>
        <w:tc>
          <w:tcPr>
            <w:tcW w:w="2593"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8712"/>
        <w:gridCol w:w="140"/>
        <w:gridCol w:w="60"/>
        <w:gridCol w:w="1231"/>
        <w:gridCol w:w="62"/>
      </w:tblGrid>
      <w:tr>
        <w:trPr/>
        <w:tc>
          <w:tcPr>
            <w:tcW w:w="8712"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7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 domestic offices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255,943,000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Noninterest-bearing</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84,330,000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Interest-bearing</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171,613,000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In foreign offices, Edge and Agreement subsidiaries, and IBFs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116,619,000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Noninterest-bearing</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9,678,000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Interest-bearing</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106,941,000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funds purchased and securities sold under agreements to repurchase: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Federal funds purchased in domestic offices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 sold under agreements to repurchase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5,787,000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Trading liabilities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2,988,000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borrowed money:</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(includes mortgage indebtedness)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6,395,000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 applicable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Not applicable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Subordinated notes and debentures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7,942,000</w:t>
            </w:r>
          </w:p>
        </w:tc>
        <w:tc>
          <w:tcPr>
            <w:tcW w:w="62" w:type="dxa"/>
            <w:tcBorders/>
            <w:vAlign w:val="bottom"/>
          </w:tcPr>
          <w:p>
            <w:pPr>
              <w:pStyle w:val="TableContents"/>
              <w:bidi w:val="0"/>
              <w:spacing w:before="0" w:after="283"/>
              <w:jc w:val="left"/>
              <w:rPr/>
            </w:pPr>
            <w:r>
              <w:rPr/>
              <w:t> </w:t>
            </w:r>
          </w:p>
        </w:tc>
      </w:tr>
      <w:tr>
        <w:trPr/>
        <w:tc>
          <w:tcPr>
            <w:tcW w:w="871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395,674,000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b/>
                <w:sz w:val="20"/>
              </w:rPr>
            </w:pPr>
            <w:r>
              <w:rPr>
                <w:rFonts w:ascii="Times New Roman" w:hAnsi="Times New Roman"/>
                <w:b/>
                <w:sz w:val="20"/>
              </w:rPr>
              <w:t>EQUITY CAPITAL</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Perpetual preferred stock and related surplus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1,135,000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Surplus (exclude all surplus related to preferred stock)</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13,277,000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17,014,000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-1,985,000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Other equity capital components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bank equity capital</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29,441,000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(minority) interests in consolidated subsidiaries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 capital</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29,441,000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equity capital</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425,115,000</w:t>
            </w:r>
          </w:p>
        </w:tc>
        <w:tc>
          <w:tcPr>
            <w:tcW w:w="62" w:type="dxa"/>
            <w:tcBorders/>
            <w:vAlign w:val="bottom"/>
          </w:tcPr>
          <w:p>
            <w:pPr>
              <w:pStyle w:val="TableContents"/>
              <w:bidi w:val="0"/>
              <w:spacing w:before="0" w:after="283"/>
              <w:jc w:val="left"/>
              <w:rPr/>
            </w:pPr>
            <w:r>
              <w:rPr/>
              <w:t> </w:t>
            </w:r>
          </w:p>
        </w:tc>
      </w:tr>
      <w:tr>
        <w:trPr/>
        <w:tc>
          <w:tcPr>
            <w:tcW w:w="871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 Dermot McDonogh, Chief Financial Officer of the above-named bank do hereby declare that this Report of Condition is true and correct to the best of my knowledge and belief. </w:t>
      </w:r>
    </w:p>
    <w:p>
      <w:pPr>
        <w:pStyle w:val="TextBody"/>
        <w:bidi w:val="0"/>
        <w:spacing w:before="240" w:after="0"/>
        <w:jc w:val="right"/>
        <w:rPr>
          <w:rFonts w:ascii="Times New Roman" w:hAnsi="Times New Roman"/>
          <w:sz w:val="20"/>
        </w:rPr>
      </w:pPr>
      <w:r>
        <w:rPr>
          <w:rFonts w:ascii="Times New Roman" w:hAnsi="Times New Roman"/>
          <w:sz w:val="20"/>
        </w:rPr>
        <w:t xml:space="preserve">Dermot McDonogh </w:t>
      </w:r>
    </w:p>
    <w:p>
      <w:pPr>
        <w:pStyle w:val="TextBody"/>
        <w:bidi w:val="0"/>
        <w:spacing w:before="0" w:after="0"/>
        <w:jc w:val="right"/>
        <w:rPr>
          <w:rFonts w:ascii="Times New Roman" w:hAnsi="Times New Roman"/>
          <w:sz w:val="20"/>
        </w:rPr>
      </w:pPr>
      <w:r>
        <w:rPr>
          <w:rFonts w:ascii="Times New Roman" w:hAnsi="Times New Roman"/>
          <w:sz w:val="20"/>
        </w:rPr>
        <w:t xml:space="preserve">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We, the undersigned directors, attest to the correctness of this statement of resources and liabilities. We declare that it has been examined by us, and to the best of our knowledge and belief has been prepared in conformance with the instructions and is true and correct.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64"/>
        <w:gridCol w:w="112"/>
        <w:gridCol w:w="268"/>
        <w:gridCol w:w="112"/>
        <w:gridCol w:w="1803"/>
        <w:gridCol w:w="131"/>
        <w:gridCol w:w="4815"/>
      </w:tblGrid>
      <w:tr>
        <w:trPr/>
        <w:tc>
          <w:tcPr>
            <w:tcW w:w="2964"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4815" w:type="dxa"/>
            <w:tcBorders/>
            <w:vAlign w:val="center"/>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283"/>
              <w:jc w:val="left"/>
              <w:rPr/>
            </w:pPr>
            <w:r>
              <w:rPr/>
              <w:t>Robin A. Vince</w:t>
            </w:r>
          </w:p>
        </w:tc>
        <w:tc>
          <w:tcPr>
            <w:tcW w:w="112" w:type="dxa"/>
            <w:tcBorders>
              <w:top w:val="single" w:sz="2" w:space="0" w:color="000000"/>
            </w:tcBorders>
            <w:tcMar>
              <w:top w:w="28" w:type="dxa"/>
            </w:tcMar>
            <w:vAlign w:val="bottom"/>
          </w:tcPr>
          <w:p>
            <w:pPr>
              <w:pStyle w:val="TableContents"/>
              <w:bidi w:val="0"/>
              <w:spacing w:before="0" w:after="283"/>
              <w:jc w:val="left"/>
              <w:rPr/>
            </w:pPr>
            <w:r>
              <w:rPr/>
              <w:t> </w:t>
            </w:r>
          </w:p>
        </w:tc>
        <w:tc>
          <w:tcPr>
            <w:tcW w:w="268" w:type="dxa"/>
            <w:tcBorders>
              <w:top w:val="single" w:sz="2" w:space="0" w:color="000000"/>
              <w:right w:val="single" w:sz="2" w:space="0" w:color="000000"/>
            </w:tcBorders>
            <w:tcMar>
              <w:top w:w="28" w:type="dxa"/>
              <w:right w:w="28" w:type="dxa"/>
            </w:tcMa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80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4815" w:type="dxa"/>
            <w:tcBorders/>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283"/>
              <w:jc w:val="left"/>
              <w:rPr/>
            </w:pPr>
            <w:r>
              <w:rPr/>
              <w:t>Jeffrey A. Goldstein</w:t>
            </w:r>
          </w:p>
        </w:tc>
        <w:tc>
          <w:tcPr>
            <w:tcW w:w="112" w:type="dxa"/>
            <w:tcBorders/>
            <w:vAlign w:val="bottom"/>
          </w:tcPr>
          <w:p>
            <w:pPr>
              <w:pStyle w:val="TableContents"/>
              <w:bidi w:val="0"/>
              <w:spacing w:before="0" w:after="283"/>
              <w:jc w:val="left"/>
              <w:rPr/>
            </w:pPr>
            <w:r>
              <w:rPr/>
              <w:t> </w:t>
            </w:r>
          </w:p>
        </w:tc>
        <w:tc>
          <w:tcPr>
            <w:tcW w:w="268" w:type="dxa"/>
            <w:tcBorders>
              <w:right w:val="single" w:sz="2" w:space="0" w:color="000000"/>
            </w:tcBorders>
            <w:tcMar>
              <w:right w:w="28" w:type="dxa"/>
            </w:tcMa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80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4815" w:type="dxa"/>
            <w:tcBorders/>
          </w:tcPr>
          <w:p>
            <w:pPr>
              <w:pStyle w:val="TableContents"/>
              <w:bidi w:val="0"/>
              <w:spacing w:before="0" w:after="283"/>
              <w:jc w:val="left"/>
              <w:rPr/>
            </w:pPr>
            <w:r>
              <w:rPr/>
              <w:t>Directors</w:t>
            </w:r>
          </w:p>
        </w:tc>
      </w:tr>
      <w:tr>
        <w:trPr/>
        <w:tc>
          <w:tcPr>
            <w:tcW w:w="2964" w:type="dxa"/>
            <w:tcBorders/>
          </w:tcPr>
          <w:p>
            <w:pPr>
              <w:pStyle w:val="TableContents"/>
              <w:bidi w:val="0"/>
              <w:spacing w:before="0" w:after="283"/>
              <w:jc w:val="left"/>
              <w:rPr/>
            </w:pPr>
            <w:r>
              <w:rPr/>
              <w:t>Joseph J. Echevarria</w:t>
            </w:r>
          </w:p>
        </w:tc>
        <w:tc>
          <w:tcPr>
            <w:tcW w:w="112" w:type="dxa"/>
            <w:tcBorders/>
            <w:vAlign w:val="bottom"/>
          </w:tcPr>
          <w:p>
            <w:pPr>
              <w:pStyle w:val="TableContents"/>
              <w:bidi w:val="0"/>
              <w:spacing w:before="0" w:after="283"/>
              <w:jc w:val="left"/>
              <w:rPr/>
            </w:pPr>
            <w:r>
              <w:rPr/>
              <w:t> </w:t>
            </w:r>
          </w:p>
        </w:tc>
        <w:tc>
          <w:tcPr>
            <w:tcW w:w="268" w:type="dxa"/>
            <w:tcBorders>
              <w:right w:val="single" w:sz="2" w:space="0" w:color="000000"/>
            </w:tcBorders>
            <w:tcMar>
              <w:right w:w="28" w:type="dxa"/>
            </w:tcMa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80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4815" w:type="dxa"/>
            <w:tcBorders/>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283"/>
              <w:jc w:val="left"/>
              <w:rPr>
                <w:sz w:val="4"/>
                <w:szCs w:val="4"/>
              </w:rPr>
            </w:pPr>
            <w:r>
              <w:rPr>
                <w:sz w:val="4"/>
                <w:szCs w:val="4"/>
              </w:rPr>
            </w:r>
          </w:p>
        </w:tc>
        <w:tc>
          <w:tcPr>
            <w:tcW w:w="112" w:type="dxa"/>
            <w:tcBorders>
              <w:bottom w:val="single" w:sz="2" w:space="0" w:color="000000"/>
            </w:tcBorders>
            <w:tcMar>
              <w:bottom w:w="28" w:type="dxa"/>
            </w:tcMar>
            <w:vAlign w:val="bottom"/>
          </w:tcPr>
          <w:p>
            <w:pPr>
              <w:pStyle w:val="TableContents"/>
              <w:bidi w:val="0"/>
              <w:spacing w:before="0" w:after="283"/>
              <w:jc w:val="left"/>
              <w:rPr/>
            </w:pPr>
            <w:r>
              <w:rPr/>
              <w:t> </w:t>
            </w:r>
          </w:p>
        </w:tc>
        <w:tc>
          <w:tcPr>
            <w:tcW w:w="26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803"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481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18" w:name="d14226dex25c.htm"/>
      <w:bookmarkStart w:id="19" w:name="ksd14226dex25c"/>
      <w:bookmarkEnd w:id="18"/>
      <w:bookmarkEnd w:id="19"/>
      <w:r>
        <w:rPr>
          <w:rFonts w:ascii="Times New Roman" w:hAnsi="Times New Roman"/>
          <w:b/>
          <w:sz w:val="20"/>
        </w:rPr>
        <w:t xml:space="preserve">Exhibit 25(c)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T-1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STATEMENT OF ELIGIBILITY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TRUST INDENTURE ACT OF 1939 </w:t>
      </w:r>
    </w:p>
    <w:p>
      <w:pPr>
        <w:pStyle w:val="TextBody"/>
        <w:bidi w:val="0"/>
        <w:spacing w:before="0" w:after="0"/>
        <w:jc w:val="center"/>
        <w:rPr>
          <w:rFonts w:ascii="Times New Roman" w:hAnsi="Times New Roman"/>
          <w:b/>
          <w:sz w:val="24"/>
        </w:rPr>
      </w:pPr>
      <w:r>
        <w:rPr>
          <w:rFonts w:ascii="Times New Roman" w:hAnsi="Times New Roman"/>
          <w:b/>
          <w:sz w:val="24"/>
        </w:rPr>
        <w:t xml:space="preserve">OF A CORPORATION DESIGNATED TO ACT AS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THE BANK OF NEW YORK MELLON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New York</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13-5160382</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(Jurisdiction of incorporation</w:t>
            </w:r>
          </w:p>
          <w:p>
            <w:pPr>
              <w:pStyle w:val="TableContents"/>
              <w:bidi w:val="0"/>
              <w:spacing w:before="0" w:after="20"/>
              <w:jc w:val="center"/>
              <w:rPr>
                <w:rFonts w:ascii="Times New Roman" w:hAnsi="Times New Roman"/>
                <w:b/>
                <w:sz w:val="16"/>
              </w:rPr>
            </w:pPr>
            <w:r>
              <w:rPr>
                <w:rFonts w:ascii="Times New Roman" w:hAnsi="Times New Roman"/>
                <w:b/>
                <w:sz w:val="16"/>
              </w:rPr>
              <w:t>if not a U.S. national bank)</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240 Greenwich Street, New York, N.Y.</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10286</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M&amp;T BANK CORPORATION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obligor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New York</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16-0968385</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One M&amp;T Plaza Buffalo, New York</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14203</w:t>
            </w:r>
          </w:p>
        </w:tc>
      </w:tr>
      <w:tr>
        <w:trPr/>
        <w:tc>
          <w:tcPr>
            <w:tcW w:w="5154" w:type="dxa"/>
            <w:tcBorders/>
          </w:tcPr>
          <w:p>
            <w:pPr>
              <w:pStyle w:val="TableContents"/>
              <w:bidi w:val="0"/>
              <w:spacing w:before="0" w:after="283"/>
              <w:jc w:val="center"/>
              <w:rPr>
                <w:b/>
              </w:rPr>
            </w:pPr>
            <w:r>
              <w:rPr>
                <w:b/>
              </w:rPr>
              <w:t>(Address of principal 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Senior Debt Securities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the indenture securities)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information. Furnish the following information as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(a)</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and address of each examining or supervising authority to which it is subject.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7"/>
        <w:gridCol w:w="121"/>
        <w:gridCol w:w="4877"/>
      </w:tblGrid>
      <w:tr>
        <w:trPr/>
        <w:tc>
          <w:tcPr>
            <w:tcW w:w="520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7" w:type="dxa"/>
            <w:tcBorders/>
            <w:vAlign w:val="center"/>
          </w:tcPr>
          <w:p>
            <w:pPr>
              <w:pStyle w:val="TableContents"/>
              <w:bidi w:val="0"/>
              <w:spacing w:before="0" w:after="283"/>
              <w:jc w:val="left"/>
              <w:rPr>
                <w:sz w:val="4"/>
                <w:szCs w:val="4"/>
              </w:rPr>
            </w:pPr>
            <w:r>
              <w:rPr>
                <w:sz w:val="4"/>
                <w:szCs w:val="4"/>
              </w:rPr>
            </w:r>
          </w:p>
        </w:tc>
      </w:tr>
      <w:tr>
        <w:trPr/>
        <w:tc>
          <w:tcPr>
            <w:tcW w:w="520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Name</w:t>
            </w:r>
          </w:p>
        </w:tc>
        <w:tc>
          <w:tcPr>
            <w:tcW w:w="121" w:type="dxa"/>
            <w:tcBorders/>
            <w:vAlign w:val="bottom"/>
          </w:tcPr>
          <w:p>
            <w:pPr>
              <w:pStyle w:val="TableContents"/>
              <w:bidi w:val="0"/>
              <w:spacing w:before="0" w:after="283"/>
              <w:jc w:val="left"/>
              <w:rPr/>
            </w:pPr>
            <w:r>
              <w:rPr/>
              <w:t>  </w:t>
            </w:r>
          </w:p>
        </w:tc>
        <w:tc>
          <w:tcPr>
            <w:tcW w:w="487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Address</w:t>
            </w:r>
          </w:p>
        </w:tc>
      </w:tr>
      <w:tr>
        <w:trPr>
          <w:trHeight w:val="120" w:hRule="atLeast"/>
        </w:trPr>
        <w:tc>
          <w:tcPr>
            <w:tcW w:w="5207"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Superintendent of the Department of Financial</w:t>
            </w:r>
          </w:p>
          <w:p>
            <w:pPr>
              <w:pStyle w:val="TableContents"/>
              <w:bidi w:val="0"/>
              <w:spacing w:before="0" w:after="20"/>
              <w:jc w:val="left"/>
              <w:rPr>
                <w:rFonts w:ascii="Times New Roman" w:hAnsi="Times New Roman"/>
                <w:sz w:val="20"/>
              </w:rPr>
            </w:pPr>
            <w:r>
              <w:rPr>
                <w:rFonts w:ascii="Times New Roman" w:hAnsi="Times New Roman"/>
                <w:sz w:val="20"/>
              </w:rPr>
              <w:t>Services of the State of New York</w:t>
            </w:r>
          </w:p>
        </w:tc>
        <w:tc>
          <w:tcPr>
            <w:tcW w:w="121" w:type="dxa"/>
            <w:tcBorders/>
            <w:vAlign w:val="bottom"/>
          </w:tcPr>
          <w:p>
            <w:pPr>
              <w:pStyle w:val="TableContents"/>
              <w:bidi w:val="0"/>
              <w:spacing w:before="0" w:after="283"/>
              <w:jc w:val="left"/>
              <w:rPr/>
            </w:pPr>
            <w:r>
              <w:rPr/>
              <w:t>  </w:t>
            </w:r>
          </w:p>
        </w:tc>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One State Street, New York, N.Y.</w:t>
            </w:r>
          </w:p>
          <w:p>
            <w:pPr>
              <w:pStyle w:val="TableContents"/>
              <w:bidi w:val="0"/>
              <w:spacing w:before="0" w:after="0"/>
              <w:jc w:val="left"/>
              <w:rPr>
                <w:rFonts w:ascii="Times New Roman" w:hAnsi="Times New Roman"/>
                <w:sz w:val="20"/>
              </w:rPr>
            </w:pPr>
            <w:r>
              <w:rPr>
                <w:rFonts w:ascii="Times New Roman" w:hAnsi="Times New Roman"/>
                <w:sz w:val="20"/>
              </w:rPr>
              <w:t>10004-1417, and Albany,</w:t>
            </w:r>
          </w:p>
          <w:p>
            <w:pPr>
              <w:pStyle w:val="TableContents"/>
              <w:bidi w:val="0"/>
              <w:spacing w:before="0" w:after="20"/>
              <w:jc w:val="left"/>
              <w:rPr>
                <w:rFonts w:ascii="Times New Roman" w:hAnsi="Times New Roman"/>
                <w:sz w:val="20"/>
              </w:rPr>
            </w:pPr>
            <w:r>
              <w:rPr>
                <w:rFonts w:ascii="Times New Roman" w:hAnsi="Times New Roman"/>
                <w:sz w:val="20"/>
              </w:rPr>
              <w:t>N.Y. 12223</w:t>
            </w:r>
          </w:p>
        </w:tc>
      </w:tr>
      <w:tr>
        <w:trPr>
          <w:trHeight w:val="120" w:hRule="atLeast"/>
        </w:trPr>
        <w:tc>
          <w:tcPr>
            <w:tcW w:w="5207"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Federal Reserve Bank of New York</w:t>
            </w:r>
          </w:p>
        </w:tc>
        <w:tc>
          <w:tcPr>
            <w:tcW w:w="121" w:type="dxa"/>
            <w:tcBorders/>
            <w:vAlign w:val="bottom"/>
          </w:tcPr>
          <w:p>
            <w:pPr>
              <w:pStyle w:val="TableContents"/>
              <w:bidi w:val="0"/>
              <w:spacing w:before="0" w:after="283"/>
              <w:jc w:val="left"/>
              <w:rPr/>
            </w:pPr>
            <w:r>
              <w:rPr/>
              <w:t>  </w:t>
            </w:r>
          </w:p>
        </w:tc>
        <w:tc>
          <w:tcPr>
            <w:tcW w:w="4877" w:type="dxa"/>
            <w:tcBorders/>
          </w:tcPr>
          <w:p>
            <w:pPr>
              <w:pStyle w:val="TableContents"/>
              <w:bidi w:val="0"/>
              <w:spacing w:before="0" w:after="283"/>
              <w:jc w:val="left"/>
              <w:rPr/>
            </w:pPr>
            <w:r>
              <w:rPr/>
              <w:t>33 Liberty Street, New York, N.Y. 10045</w:t>
            </w:r>
          </w:p>
        </w:tc>
      </w:tr>
      <w:tr>
        <w:trPr>
          <w:trHeight w:val="120" w:hRule="atLeast"/>
        </w:trPr>
        <w:tc>
          <w:tcPr>
            <w:tcW w:w="5207"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Federal Deposit Insurance Corporation</w:t>
            </w:r>
          </w:p>
        </w:tc>
        <w:tc>
          <w:tcPr>
            <w:tcW w:w="121" w:type="dxa"/>
            <w:tcBorders/>
            <w:vAlign w:val="bottom"/>
          </w:tcPr>
          <w:p>
            <w:pPr>
              <w:pStyle w:val="TableContents"/>
              <w:bidi w:val="0"/>
              <w:spacing w:before="0" w:after="283"/>
              <w:jc w:val="left"/>
              <w:rPr/>
            </w:pPr>
            <w:r>
              <w:rPr/>
              <w:t>  </w:t>
            </w:r>
          </w:p>
        </w:tc>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550 17th Street, NW</w:t>
            </w:r>
          </w:p>
          <w:p>
            <w:pPr>
              <w:pStyle w:val="TableContents"/>
              <w:bidi w:val="0"/>
              <w:spacing w:before="0" w:after="20"/>
              <w:jc w:val="left"/>
              <w:rPr>
                <w:rFonts w:ascii="Times New Roman" w:hAnsi="Times New Roman"/>
                <w:sz w:val="20"/>
              </w:rPr>
            </w:pPr>
            <w:r>
              <w:rPr>
                <w:rFonts w:ascii="Times New Roman" w:hAnsi="Times New Roman"/>
                <w:sz w:val="20"/>
              </w:rPr>
              <w:t>Washington, D.C. 20429</w:t>
            </w:r>
          </w:p>
        </w:tc>
      </w:tr>
      <w:tr>
        <w:trPr>
          <w:trHeight w:val="120" w:hRule="atLeast"/>
        </w:trPr>
        <w:tc>
          <w:tcPr>
            <w:tcW w:w="5207"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The Clearing House Association L.L.C.</w:t>
            </w:r>
          </w:p>
        </w:tc>
        <w:tc>
          <w:tcPr>
            <w:tcW w:w="121" w:type="dxa"/>
            <w:tcBorders/>
            <w:vAlign w:val="bottom"/>
          </w:tcPr>
          <w:p>
            <w:pPr>
              <w:pStyle w:val="TableContents"/>
              <w:bidi w:val="0"/>
              <w:spacing w:before="0" w:after="283"/>
              <w:jc w:val="left"/>
              <w:rPr/>
            </w:pPr>
            <w:r>
              <w:rPr/>
              <w:t>  </w:t>
            </w:r>
          </w:p>
        </w:tc>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100 Broad Street</w:t>
            </w:r>
          </w:p>
          <w:p>
            <w:pPr>
              <w:pStyle w:val="TableContents"/>
              <w:bidi w:val="0"/>
              <w:spacing w:before="0" w:after="20"/>
              <w:jc w:val="left"/>
              <w:rPr>
                <w:rFonts w:ascii="Times New Roman" w:hAnsi="Times New Roman"/>
                <w:sz w:val="20"/>
              </w:rPr>
            </w:pPr>
            <w:r>
              <w:rPr>
                <w:rFonts w:ascii="Times New Roman" w:hAnsi="Times New Roman"/>
                <w:sz w:val="20"/>
              </w:rPr>
              <w:t>New York, N.Y. 10004</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(b)</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Whether it is authorized to exercise corporate trust powers.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Affiliations with Obligor.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If the obligor is an affiliate of the trustee, describe each such affiliation.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List of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Exhibits identified in parentheses below, on file with the Commission, are incorporated herein by reference as an exhibit hereto, pursuant to Rule 7a-29 under the Trust Indenture Act of 1939 (the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existing By-laws of the Trustee (Exhibit 4 to Form T-1 filed with Registration Statement No. 333-261533).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consent of the Trustee required by Section 321(b) of the Act (Exhibit 6 to Form T-1 filed with Registration Statement No. 333-229519).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latest report of condition of the Trustee published pursuant to law or to the requirements of its supervising or examining authority.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16th day of September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0"/>
        <w:gridCol w:w="3638"/>
      </w:tblGrid>
      <w:tr>
        <w:trPr/>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8" w:type="dxa"/>
            <w:tcBorders>
              <w:bottom w:val="single" w:sz="2" w:space="0" w:color="000000"/>
            </w:tcBorders>
            <w:tcMar>
              <w:bottom w:w="28" w:type="dxa"/>
            </w:tcMar>
          </w:tcPr>
          <w:p>
            <w:pPr>
              <w:pStyle w:val="TableContents"/>
              <w:bidi w:val="0"/>
              <w:spacing w:before="0" w:after="283"/>
              <w:jc w:val="left"/>
              <w:rPr/>
            </w:pPr>
            <w:r>
              <w:rPr/>
              <w:t>/s/ Glenn G. McKeever</w:t>
            </w:r>
          </w:p>
        </w:tc>
      </w:tr>
      <w:tr>
        <w:trPr/>
        <w:tc>
          <w:tcPr>
            <w:tcW w:w="3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8" w:type="dxa"/>
            <w:tcBorders/>
          </w:tcPr>
          <w:p>
            <w:pPr>
              <w:pStyle w:val="TableContents"/>
              <w:bidi w:val="0"/>
              <w:spacing w:before="0" w:after="283"/>
              <w:jc w:val="left"/>
              <w:rPr/>
            </w:pPr>
            <w:r>
              <w:rPr/>
              <w:t>Name: Glenn G. McKeever</w:t>
            </w:r>
          </w:p>
        </w:tc>
      </w:tr>
      <w:tr>
        <w:trPr/>
        <w:tc>
          <w:tcPr>
            <w:tcW w:w="3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8"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7 </w:t>
      </w:r>
    </w:p>
    <w:p>
      <w:pPr>
        <w:pStyle w:val="TextBody"/>
        <w:bidi w:val="0"/>
        <w:spacing w:before="240" w:after="0"/>
        <w:jc w:val="center"/>
        <w:rPr>
          <w:rFonts w:ascii="Times New Roman" w:hAnsi="Times New Roman"/>
          <w:sz w:val="20"/>
        </w:rPr>
      </w:pPr>
      <w:r>
        <w:rPr>
          <w:rFonts w:ascii="Times New Roman" w:hAnsi="Times New Roman"/>
          <w:sz w:val="20"/>
        </w:rPr>
        <w:t xml:space="preserve">Consolidated Report of Condition of </w:t>
      </w:r>
    </w:p>
    <w:p>
      <w:pPr>
        <w:pStyle w:val="TextBody"/>
        <w:bidi w:val="0"/>
        <w:spacing w:before="120" w:after="0"/>
        <w:jc w:val="center"/>
        <w:rPr>
          <w:rFonts w:ascii="Times New Roman" w:hAnsi="Times New Roman"/>
          <w:sz w:val="20"/>
        </w:rPr>
      </w:pPr>
      <w:r>
        <w:rPr>
          <w:rFonts w:ascii="Times New Roman" w:hAnsi="Times New Roman"/>
          <w:sz w:val="20"/>
        </w:rPr>
        <w:t xml:space="preserve">THE BANK OF NEW YORK MELLON </w:t>
      </w:r>
    </w:p>
    <w:p>
      <w:pPr>
        <w:pStyle w:val="TextBody"/>
        <w:bidi w:val="0"/>
        <w:spacing w:before="120" w:after="0"/>
        <w:jc w:val="center"/>
        <w:rPr>
          <w:rFonts w:ascii="Times New Roman" w:hAnsi="Times New Roman"/>
          <w:sz w:val="20"/>
        </w:rPr>
      </w:pPr>
      <w:r>
        <w:rPr>
          <w:rFonts w:ascii="Times New Roman" w:hAnsi="Times New Roman"/>
          <w:sz w:val="20"/>
        </w:rPr>
        <w:t xml:space="preserve">of 240 Greenwich Street, New York, N.Y. 10286 </w:t>
      </w:r>
    </w:p>
    <w:p>
      <w:pPr>
        <w:pStyle w:val="TextBody"/>
        <w:bidi w:val="0"/>
        <w:spacing w:before="0" w:after="0"/>
        <w:jc w:val="center"/>
        <w:rPr>
          <w:rFonts w:ascii="Times New Roman" w:hAnsi="Times New Roman"/>
          <w:sz w:val="20"/>
        </w:rPr>
      </w:pPr>
      <w:r>
        <w:rPr>
          <w:rFonts w:ascii="Times New Roman" w:hAnsi="Times New Roman"/>
          <w:sz w:val="20"/>
        </w:rPr>
        <w:t xml:space="preserve">And Foreign and Domestic Subsidiaries, </w:t>
      </w:r>
    </w:p>
    <w:p>
      <w:pPr>
        <w:pStyle w:val="TextBody"/>
        <w:bidi w:val="0"/>
        <w:spacing w:before="240" w:after="0"/>
        <w:jc w:val="left"/>
        <w:rPr>
          <w:rFonts w:ascii="Times New Roman" w:hAnsi="Times New Roman"/>
          <w:sz w:val="20"/>
        </w:rPr>
      </w:pPr>
      <w:r>
        <w:rPr>
          <w:rFonts w:ascii="Times New Roman" w:hAnsi="Times New Roman"/>
          <w:sz w:val="20"/>
        </w:rPr>
        <w:t xml:space="preserve">a member of the Federal Reserve System, at the close of business June 30, 2026, published in accordance with a call made by the Federal Reserve Bank of this District pursuant to the provisions of the Federal Reserve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44"/>
        <w:gridCol w:w="139"/>
        <w:gridCol w:w="2722"/>
      </w:tblGrid>
      <w:tr>
        <w:trPr/>
        <w:tc>
          <w:tcPr>
            <w:tcW w:w="7344"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r>
      <w:tr>
        <w:trPr/>
        <w:tc>
          <w:tcPr>
            <w:tcW w:w="734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722" w:type="dxa"/>
            <w:tcBorders/>
            <w:vAlign w:val="bottom"/>
          </w:tcPr>
          <w:p>
            <w:pPr>
              <w:pStyle w:val="TableContents"/>
              <w:bidi w:val="0"/>
              <w:spacing w:before="0" w:after="283"/>
              <w:jc w:val="center"/>
              <w:rPr/>
            </w:pPr>
            <w:r>
              <w:rPr/>
              <w:t>Dollar amounts in thousands</w:t>
            </w:r>
          </w:p>
        </w:tc>
      </w:tr>
      <w:tr>
        <w:trPr/>
        <w:tc>
          <w:tcPr>
            <w:tcW w:w="73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39" w:type="dxa"/>
            <w:tcBorders/>
            <w:shd w:fill="CCEEFF" w:val="clear"/>
            <w:vAlign w:val="bottom"/>
          </w:tcPr>
          <w:p>
            <w:pPr>
              <w:pStyle w:val="TableContents"/>
              <w:bidi w:val="0"/>
              <w:spacing w:before="0" w:after="283"/>
              <w:jc w:val="left"/>
              <w:rPr/>
            </w:pPr>
            <w:r>
              <w:rPr/>
              <w:t>  </w:t>
            </w:r>
          </w:p>
        </w:tc>
        <w:tc>
          <w:tcPr>
            <w:tcW w:w="2722" w:type="dxa"/>
            <w:tcBorders/>
            <w:shd w:fill="CCEEFF" w:val="clear"/>
            <w:vAlign w:val="bottom"/>
          </w:tcPr>
          <w:p>
            <w:pPr>
              <w:pStyle w:val="TableContents"/>
              <w:bidi w:val="0"/>
              <w:spacing w:before="0" w:after="283"/>
              <w:jc w:val="left"/>
              <w:rPr>
                <w:sz w:val="4"/>
                <w:szCs w:val="4"/>
              </w:rPr>
            </w:pPr>
            <w:r>
              <w:rPr>
                <w:sz w:val="4"/>
                <w:szCs w:val="4"/>
              </w:rPr>
            </w:r>
          </w:p>
        </w:tc>
      </w:tr>
      <w:tr>
        <w:trPr/>
        <w:tc>
          <w:tcPr>
            <w:tcW w:w="7344" w:type="dxa"/>
            <w:tcBorders/>
          </w:tcPr>
          <w:p>
            <w:pPr>
              <w:pStyle w:val="TableContents"/>
              <w:bidi w:val="0"/>
              <w:spacing w:before="0" w:after="0"/>
              <w:jc w:val="left"/>
              <w:rPr>
                <w:rFonts w:ascii="Times New Roman" w:hAnsi="Times New Roman"/>
                <w:sz w:val="20"/>
              </w:rPr>
            </w:pPr>
            <w:r>
              <w:rPr>
                <w:rFonts w:ascii="Times New Roman" w:hAnsi="Times New Roman"/>
                <w:sz w:val="20"/>
              </w:rPr>
              <w:t>Cash and balances due from depository institutions:</w:t>
            </w:r>
          </w:p>
        </w:tc>
        <w:tc>
          <w:tcPr>
            <w:tcW w:w="139" w:type="dxa"/>
            <w:tcBorders/>
            <w:vAlign w:val="bottom"/>
          </w:tcPr>
          <w:p>
            <w:pPr>
              <w:pStyle w:val="TableContents"/>
              <w:bidi w:val="0"/>
              <w:spacing w:before="0" w:after="283"/>
              <w:jc w:val="left"/>
              <w:rPr/>
            </w:pPr>
            <w:r>
              <w:rPr/>
              <w:t>  </w:t>
            </w:r>
          </w:p>
        </w:tc>
        <w:tc>
          <w:tcPr>
            <w:tcW w:w="2722" w:type="dxa"/>
            <w:tcBorders/>
            <w:vAlign w:val="bottom"/>
          </w:tcPr>
          <w:p>
            <w:pPr>
              <w:pStyle w:val="TableContents"/>
              <w:bidi w:val="0"/>
              <w:spacing w:before="0" w:after="283"/>
              <w:jc w:val="left"/>
              <w:rPr>
                <w:sz w:val="4"/>
                <w:szCs w:val="4"/>
              </w:rPr>
            </w:pPr>
            <w:r>
              <w:rPr>
                <w:sz w:val="4"/>
                <w:szCs w:val="4"/>
              </w:rPr>
            </w:r>
          </w:p>
        </w:tc>
      </w:tr>
      <w:tr>
        <w:trPr/>
        <w:tc>
          <w:tcPr>
            <w:tcW w:w="7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Noninterest-bearing balances and currency and coin</w:t>
            </w:r>
          </w:p>
        </w:tc>
        <w:tc>
          <w:tcPr>
            <w:tcW w:w="139" w:type="dxa"/>
            <w:tcBorders/>
            <w:shd w:fill="CCEEFF" w:val="clear"/>
            <w:vAlign w:val="bottom"/>
          </w:tcPr>
          <w:p>
            <w:pPr>
              <w:pStyle w:val="TableContents"/>
              <w:bidi w:val="0"/>
              <w:spacing w:before="0" w:after="283"/>
              <w:jc w:val="left"/>
              <w:rPr/>
            </w:pPr>
            <w:r>
              <w:rPr/>
              <w:t>  </w:t>
            </w:r>
          </w:p>
        </w:tc>
        <w:tc>
          <w:tcPr>
            <w:tcW w:w="2722" w:type="dxa"/>
            <w:tcBorders/>
            <w:shd w:fill="CCEEFF" w:val="clear"/>
            <w:vAlign w:val="bottom"/>
          </w:tcPr>
          <w:p>
            <w:pPr>
              <w:pStyle w:val="TableContents"/>
              <w:bidi w:val="0"/>
              <w:spacing w:before="0" w:after="283"/>
              <w:jc w:val="right"/>
              <w:rPr/>
            </w:pPr>
            <w:r>
              <w:rPr/>
              <w:t>6,063,000</w:t>
            </w:r>
          </w:p>
        </w:tc>
      </w:tr>
      <w:tr>
        <w:trPr/>
        <w:tc>
          <w:tcPr>
            <w:tcW w:w="7344" w:type="dxa"/>
            <w:tcBorders/>
          </w:tcPr>
          <w:p>
            <w:pPr>
              <w:pStyle w:val="TableContents"/>
              <w:bidi w:val="0"/>
              <w:spacing w:before="0" w:after="0"/>
              <w:jc w:val="left"/>
              <w:rPr>
                <w:rFonts w:ascii="Times New Roman" w:hAnsi="Times New Roman"/>
                <w:sz w:val="20"/>
              </w:rPr>
            </w:pPr>
            <w:r>
              <w:rPr>
                <w:rFonts w:ascii="Times New Roman" w:hAnsi="Times New Roman"/>
                <w:sz w:val="20"/>
              </w:rPr>
              <w:t>Interest-bearing balances</w:t>
            </w:r>
          </w:p>
        </w:tc>
        <w:tc>
          <w:tcPr>
            <w:tcW w:w="139" w:type="dxa"/>
            <w:tcBorders/>
            <w:vAlign w:val="bottom"/>
          </w:tcPr>
          <w:p>
            <w:pPr>
              <w:pStyle w:val="TableContents"/>
              <w:bidi w:val="0"/>
              <w:spacing w:before="0" w:after="283"/>
              <w:jc w:val="left"/>
              <w:rPr/>
            </w:pPr>
            <w:r>
              <w:rPr/>
              <w:t>  </w:t>
            </w:r>
          </w:p>
        </w:tc>
        <w:tc>
          <w:tcPr>
            <w:tcW w:w="2722" w:type="dxa"/>
            <w:tcBorders/>
            <w:vAlign w:val="bottom"/>
          </w:tcPr>
          <w:p>
            <w:pPr>
              <w:pStyle w:val="TableContents"/>
              <w:bidi w:val="0"/>
              <w:spacing w:before="0" w:after="283"/>
              <w:jc w:val="right"/>
              <w:rPr/>
            </w:pPr>
            <w:r>
              <w:rPr/>
              <w:t>146,331,000</w:t>
            </w:r>
          </w:p>
        </w:tc>
      </w:tr>
      <w:tr>
        <w:trPr/>
        <w:tc>
          <w:tcPr>
            <w:tcW w:w="7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139" w:type="dxa"/>
            <w:tcBorders/>
            <w:shd w:fill="CCEEFF" w:val="clear"/>
            <w:vAlign w:val="bottom"/>
          </w:tcPr>
          <w:p>
            <w:pPr>
              <w:pStyle w:val="TableContents"/>
              <w:bidi w:val="0"/>
              <w:spacing w:before="0" w:after="283"/>
              <w:jc w:val="left"/>
              <w:rPr/>
            </w:pPr>
            <w:r>
              <w:rPr/>
              <w:t>  </w:t>
            </w:r>
          </w:p>
        </w:tc>
        <w:tc>
          <w:tcPr>
            <w:tcW w:w="2722" w:type="dxa"/>
            <w:tcBorders/>
            <w:shd w:fill="CCEEFF" w:val="clear"/>
            <w:vAlign w:val="bottom"/>
          </w:tcPr>
          <w:p>
            <w:pPr>
              <w:pStyle w:val="TableContents"/>
              <w:bidi w:val="0"/>
              <w:spacing w:before="0" w:after="283"/>
              <w:jc w:val="left"/>
              <w:rPr>
                <w:sz w:val="4"/>
                <w:szCs w:val="4"/>
              </w:rPr>
            </w:pPr>
            <w:r>
              <w:rPr>
                <w:sz w:val="4"/>
                <w:szCs w:val="4"/>
              </w:rPr>
            </w:r>
          </w:p>
        </w:tc>
      </w:tr>
      <w:tr>
        <w:trPr/>
        <w:tc>
          <w:tcPr>
            <w:tcW w:w="7344" w:type="dxa"/>
            <w:tcBorders/>
          </w:tcPr>
          <w:p>
            <w:pPr>
              <w:pStyle w:val="TableContents"/>
              <w:bidi w:val="0"/>
              <w:spacing w:before="0" w:after="0"/>
              <w:jc w:val="left"/>
              <w:rPr>
                <w:rFonts w:ascii="Times New Roman" w:hAnsi="Times New Roman"/>
                <w:sz w:val="20"/>
              </w:rPr>
            </w:pPr>
            <w:r>
              <w:rPr>
                <w:rFonts w:ascii="Times New Roman" w:hAnsi="Times New Roman"/>
                <w:sz w:val="20"/>
              </w:rPr>
              <w:t>Held-to-maturity securities</w:t>
            </w:r>
          </w:p>
        </w:tc>
        <w:tc>
          <w:tcPr>
            <w:tcW w:w="139" w:type="dxa"/>
            <w:tcBorders/>
            <w:vAlign w:val="bottom"/>
          </w:tcPr>
          <w:p>
            <w:pPr>
              <w:pStyle w:val="TableContents"/>
              <w:bidi w:val="0"/>
              <w:spacing w:before="0" w:after="283"/>
              <w:jc w:val="left"/>
              <w:rPr/>
            </w:pPr>
            <w:r>
              <w:rPr/>
              <w:t>  </w:t>
            </w:r>
          </w:p>
        </w:tc>
        <w:tc>
          <w:tcPr>
            <w:tcW w:w="2722" w:type="dxa"/>
            <w:tcBorders/>
            <w:vAlign w:val="bottom"/>
          </w:tcPr>
          <w:p>
            <w:pPr>
              <w:pStyle w:val="TableContents"/>
              <w:bidi w:val="0"/>
              <w:spacing w:before="0" w:after="283"/>
              <w:jc w:val="right"/>
              <w:rPr/>
            </w:pPr>
            <w:r>
              <w:rPr/>
              <w:t>48,256,000</w:t>
            </w:r>
          </w:p>
        </w:tc>
      </w:tr>
      <w:tr>
        <w:trPr/>
        <w:tc>
          <w:tcPr>
            <w:tcW w:w="7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Available-for-sale debt securities</w:t>
            </w:r>
          </w:p>
        </w:tc>
        <w:tc>
          <w:tcPr>
            <w:tcW w:w="139" w:type="dxa"/>
            <w:tcBorders/>
            <w:shd w:fill="CCEEFF" w:val="clear"/>
            <w:vAlign w:val="bottom"/>
          </w:tcPr>
          <w:p>
            <w:pPr>
              <w:pStyle w:val="TableContents"/>
              <w:bidi w:val="0"/>
              <w:spacing w:before="0" w:after="283"/>
              <w:jc w:val="left"/>
              <w:rPr/>
            </w:pPr>
            <w:r>
              <w:rPr/>
              <w:t>  </w:t>
            </w:r>
          </w:p>
        </w:tc>
        <w:tc>
          <w:tcPr>
            <w:tcW w:w="2722" w:type="dxa"/>
            <w:tcBorders/>
            <w:shd w:fill="CCEEFF" w:val="clear"/>
            <w:vAlign w:val="bottom"/>
          </w:tcPr>
          <w:p>
            <w:pPr>
              <w:pStyle w:val="TableContents"/>
              <w:bidi w:val="0"/>
              <w:spacing w:before="0" w:after="283"/>
              <w:jc w:val="right"/>
              <w:rPr/>
            </w:pPr>
            <w:r>
              <w:rPr/>
              <w:t>107,264,000</w:t>
            </w:r>
          </w:p>
        </w:tc>
      </w:tr>
      <w:tr>
        <w:trPr/>
        <w:tc>
          <w:tcPr>
            <w:tcW w:w="7344" w:type="dxa"/>
            <w:tcBorders/>
          </w:tcPr>
          <w:p>
            <w:pPr>
              <w:pStyle w:val="TableContents"/>
              <w:bidi w:val="0"/>
              <w:spacing w:before="0" w:after="0"/>
              <w:jc w:val="left"/>
              <w:rPr>
                <w:rFonts w:ascii="Times New Roman" w:hAnsi="Times New Roman"/>
                <w:sz w:val="20"/>
              </w:rPr>
            </w:pPr>
            <w:r>
              <w:rPr>
                <w:rFonts w:ascii="Times New Roman" w:hAnsi="Times New Roman"/>
                <w:sz w:val="20"/>
              </w:rPr>
              <w:t>Equity securities with readily determinable fair values not held for trading</w:t>
            </w:r>
          </w:p>
        </w:tc>
        <w:tc>
          <w:tcPr>
            <w:tcW w:w="139" w:type="dxa"/>
            <w:tcBorders/>
            <w:vAlign w:val="bottom"/>
          </w:tcPr>
          <w:p>
            <w:pPr>
              <w:pStyle w:val="TableContents"/>
              <w:bidi w:val="0"/>
              <w:spacing w:before="0" w:after="283"/>
              <w:jc w:val="left"/>
              <w:rPr/>
            </w:pPr>
            <w:r>
              <w:rPr/>
              <w:t>  </w:t>
            </w:r>
          </w:p>
        </w:tc>
        <w:tc>
          <w:tcPr>
            <w:tcW w:w="2722" w:type="dxa"/>
            <w:tcBorders/>
            <w:vAlign w:val="bottom"/>
          </w:tcPr>
          <w:p>
            <w:pPr>
              <w:pStyle w:val="TableContents"/>
              <w:bidi w:val="0"/>
              <w:spacing w:before="0" w:after="283"/>
              <w:jc w:val="right"/>
              <w:rPr/>
            </w:pPr>
            <w:r>
              <w:rPr/>
              <w:t>0</w:t>
            </w:r>
          </w:p>
        </w:tc>
      </w:tr>
      <w:tr>
        <w:trPr/>
        <w:tc>
          <w:tcPr>
            <w:tcW w:w="7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funds sold and securities purchased under agreements to resell:</w:t>
            </w:r>
          </w:p>
        </w:tc>
        <w:tc>
          <w:tcPr>
            <w:tcW w:w="139" w:type="dxa"/>
            <w:tcBorders/>
            <w:shd w:fill="CCEEFF" w:val="clear"/>
            <w:vAlign w:val="bottom"/>
          </w:tcPr>
          <w:p>
            <w:pPr>
              <w:pStyle w:val="TableContents"/>
              <w:bidi w:val="0"/>
              <w:spacing w:before="0" w:after="283"/>
              <w:jc w:val="left"/>
              <w:rPr/>
            </w:pPr>
            <w:r>
              <w:rPr/>
              <w:t>  </w:t>
            </w:r>
          </w:p>
        </w:tc>
        <w:tc>
          <w:tcPr>
            <w:tcW w:w="2722" w:type="dxa"/>
            <w:tcBorders/>
            <w:shd w:fill="CCEEFF" w:val="clear"/>
            <w:vAlign w:val="bottom"/>
          </w:tcPr>
          <w:p>
            <w:pPr>
              <w:pStyle w:val="TableContents"/>
              <w:bidi w:val="0"/>
              <w:spacing w:before="0" w:after="283"/>
              <w:jc w:val="left"/>
              <w:rPr>
                <w:sz w:val="4"/>
                <w:szCs w:val="4"/>
              </w:rPr>
            </w:pPr>
            <w:r>
              <w:rPr>
                <w:sz w:val="4"/>
                <w:szCs w:val="4"/>
              </w:rPr>
            </w:r>
          </w:p>
        </w:tc>
      </w:tr>
      <w:tr>
        <w:trPr/>
        <w:tc>
          <w:tcPr>
            <w:tcW w:w="7344" w:type="dxa"/>
            <w:tcBorders/>
          </w:tcPr>
          <w:p>
            <w:pPr>
              <w:pStyle w:val="TableContents"/>
              <w:bidi w:val="0"/>
              <w:spacing w:before="0" w:after="0"/>
              <w:jc w:val="left"/>
              <w:rPr>
                <w:rFonts w:ascii="Times New Roman" w:hAnsi="Times New Roman"/>
                <w:sz w:val="20"/>
              </w:rPr>
            </w:pPr>
            <w:r>
              <w:rPr>
                <w:rFonts w:ascii="Times New Roman" w:hAnsi="Times New Roman"/>
                <w:sz w:val="20"/>
              </w:rPr>
              <w:t>Federal funds sold in domestic offices</w:t>
            </w:r>
          </w:p>
        </w:tc>
        <w:tc>
          <w:tcPr>
            <w:tcW w:w="139" w:type="dxa"/>
            <w:tcBorders/>
            <w:vAlign w:val="bottom"/>
          </w:tcPr>
          <w:p>
            <w:pPr>
              <w:pStyle w:val="TableContents"/>
              <w:bidi w:val="0"/>
              <w:spacing w:before="0" w:after="283"/>
              <w:jc w:val="left"/>
              <w:rPr/>
            </w:pPr>
            <w:r>
              <w:rPr/>
              <w:t>  </w:t>
            </w:r>
          </w:p>
        </w:tc>
        <w:tc>
          <w:tcPr>
            <w:tcW w:w="2722" w:type="dxa"/>
            <w:tcBorders/>
            <w:vAlign w:val="bottom"/>
          </w:tcPr>
          <w:p>
            <w:pPr>
              <w:pStyle w:val="TableContents"/>
              <w:bidi w:val="0"/>
              <w:spacing w:before="0" w:after="283"/>
              <w:jc w:val="right"/>
              <w:rPr/>
            </w:pPr>
            <w:r>
              <w:rPr/>
              <w:t>0</w:t>
            </w:r>
          </w:p>
        </w:tc>
      </w:tr>
      <w:tr>
        <w:trPr/>
        <w:tc>
          <w:tcPr>
            <w:tcW w:w="7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 purchased under agreements to resell</w:t>
            </w:r>
          </w:p>
        </w:tc>
        <w:tc>
          <w:tcPr>
            <w:tcW w:w="139" w:type="dxa"/>
            <w:tcBorders/>
            <w:shd w:fill="CCEEFF" w:val="clear"/>
            <w:vAlign w:val="bottom"/>
          </w:tcPr>
          <w:p>
            <w:pPr>
              <w:pStyle w:val="TableContents"/>
              <w:bidi w:val="0"/>
              <w:spacing w:before="0" w:after="283"/>
              <w:jc w:val="left"/>
              <w:rPr/>
            </w:pPr>
            <w:r>
              <w:rPr/>
              <w:t>  </w:t>
            </w:r>
          </w:p>
        </w:tc>
        <w:tc>
          <w:tcPr>
            <w:tcW w:w="2722" w:type="dxa"/>
            <w:tcBorders/>
            <w:shd w:fill="CCEEFF" w:val="clear"/>
            <w:vAlign w:val="bottom"/>
          </w:tcPr>
          <w:p>
            <w:pPr>
              <w:pStyle w:val="TableContents"/>
              <w:bidi w:val="0"/>
              <w:spacing w:before="0" w:after="283"/>
              <w:jc w:val="right"/>
              <w:rPr/>
            </w:pPr>
            <w:r>
              <w:rPr/>
              <w:t>27,537,000</w:t>
            </w:r>
          </w:p>
        </w:tc>
      </w:tr>
      <w:tr>
        <w:trPr/>
        <w:tc>
          <w:tcPr>
            <w:tcW w:w="7344" w:type="dxa"/>
            <w:tcBorders/>
          </w:tcPr>
          <w:p>
            <w:pPr>
              <w:pStyle w:val="TableContents"/>
              <w:bidi w:val="0"/>
              <w:spacing w:before="0" w:after="0"/>
              <w:jc w:val="left"/>
              <w:rPr>
                <w:rFonts w:ascii="Times New Roman" w:hAnsi="Times New Roman"/>
                <w:sz w:val="20"/>
              </w:rPr>
            </w:pPr>
            <w:r>
              <w:rPr>
                <w:rFonts w:ascii="Times New Roman" w:hAnsi="Times New Roman"/>
                <w:sz w:val="20"/>
              </w:rPr>
              <w:t>Loans and lease financing receivables:</w:t>
            </w:r>
          </w:p>
        </w:tc>
        <w:tc>
          <w:tcPr>
            <w:tcW w:w="139" w:type="dxa"/>
            <w:tcBorders/>
            <w:vAlign w:val="bottom"/>
          </w:tcPr>
          <w:p>
            <w:pPr>
              <w:pStyle w:val="TableContents"/>
              <w:bidi w:val="0"/>
              <w:spacing w:before="0" w:after="283"/>
              <w:jc w:val="left"/>
              <w:rPr/>
            </w:pPr>
            <w:r>
              <w:rPr/>
              <w:t>  </w:t>
            </w:r>
          </w:p>
        </w:tc>
        <w:tc>
          <w:tcPr>
            <w:tcW w:w="2722" w:type="dxa"/>
            <w:tcBorders/>
            <w:vAlign w:val="bottom"/>
          </w:tcPr>
          <w:p>
            <w:pPr>
              <w:pStyle w:val="TableContents"/>
              <w:bidi w:val="0"/>
              <w:spacing w:before="0" w:after="283"/>
              <w:jc w:val="left"/>
              <w:rPr>
                <w:sz w:val="4"/>
                <w:szCs w:val="4"/>
              </w:rPr>
            </w:pPr>
            <w:r>
              <w:rPr>
                <w:sz w:val="4"/>
                <w:szCs w:val="4"/>
              </w:rPr>
            </w:r>
          </w:p>
        </w:tc>
      </w:tr>
      <w:tr>
        <w:trPr/>
        <w:tc>
          <w:tcPr>
            <w:tcW w:w="7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leases held for sale</w:t>
            </w:r>
          </w:p>
        </w:tc>
        <w:tc>
          <w:tcPr>
            <w:tcW w:w="139" w:type="dxa"/>
            <w:tcBorders/>
            <w:shd w:fill="CCEEFF" w:val="clear"/>
            <w:vAlign w:val="bottom"/>
          </w:tcPr>
          <w:p>
            <w:pPr>
              <w:pStyle w:val="TableContents"/>
              <w:bidi w:val="0"/>
              <w:spacing w:before="0" w:after="283"/>
              <w:jc w:val="left"/>
              <w:rPr/>
            </w:pPr>
            <w:r>
              <w:rPr/>
              <w:t>  </w:t>
            </w:r>
          </w:p>
        </w:tc>
        <w:tc>
          <w:tcPr>
            <w:tcW w:w="2722" w:type="dxa"/>
            <w:tcBorders/>
            <w:shd w:fill="CCEEFF" w:val="clear"/>
            <w:vAlign w:val="bottom"/>
          </w:tcPr>
          <w:p>
            <w:pPr>
              <w:pStyle w:val="TableContents"/>
              <w:bidi w:val="0"/>
              <w:spacing w:before="0" w:after="283"/>
              <w:jc w:val="right"/>
              <w:rPr/>
            </w:pPr>
            <w:r>
              <w:rPr/>
              <w:t>0</w:t>
            </w:r>
          </w:p>
        </w:tc>
      </w:tr>
      <w:tr>
        <w:trPr/>
        <w:tc>
          <w:tcPr>
            <w:tcW w:w="7344" w:type="dxa"/>
            <w:tcBorders/>
          </w:tcPr>
          <w:p>
            <w:pPr>
              <w:pStyle w:val="TableContents"/>
              <w:bidi w:val="0"/>
              <w:spacing w:before="0" w:after="0"/>
              <w:jc w:val="left"/>
              <w:rPr>
                <w:rFonts w:ascii="Times New Roman" w:hAnsi="Times New Roman"/>
                <w:sz w:val="20"/>
              </w:rPr>
            </w:pPr>
            <w:r>
              <w:rPr>
                <w:rFonts w:ascii="Times New Roman" w:hAnsi="Times New Roman"/>
                <w:sz w:val="20"/>
              </w:rPr>
              <w:t>Loans and leases held for investment</w:t>
            </w:r>
          </w:p>
        </w:tc>
        <w:tc>
          <w:tcPr>
            <w:tcW w:w="139" w:type="dxa"/>
            <w:tcBorders/>
            <w:vAlign w:val="bottom"/>
          </w:tcPr>
          <w:p>
            <w:pPr>
              <w:pStyle w:val="TableContents"/>
              <w:bidi w:val="0"/>
              <w:spacing w:before="0" w:after="283"/>
              <w:jc w:val="left"/>
              <w:rPr/>
            </w:pPr>
            <w:r>
              <w:rPr/>
              <w:t>  </w:t>
            </w:r>
          </w:p>
        </w:tc>
        <w:tc>
          <w:tcPr>
            <w:tcW w:w="2722" w:type="dxa"/>
            <w:tcBorders/>
            <w:vAlign w:val="bottom"/>
          </w:tcPr>
          <w:p>
            <w:pPr>
              <w:pStyle w:val="TableContents"/>
              <w:bidi w:val="0"/>
              <w:spacing w:before="0" w:after="283"/>
              <w:jc w:val="right"/>
              <w:rPr/>
            </w:pPr>
            <w:r>
              <w:rPr/>
              <w:t>46,659,000</w:t>
            </w:r>
          </w:p>
        </w:tc>
      </w:tr>
      <w:tr>
        <w:trPr/>
        <w:tc>
          <w:tcPr>
            <w:tcW w:w="7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Allowance for credit losses on loans and leases</w:t>
            </w:r>
          </w:p>
        </w:tc>
        <w:tc>
          <w:tcPr>
            <w:tcW w:w="139" w:type="dxa"/>
            <w:tcBorders/>
            <w:shd w:fill="CCEEFF" w:val="clear"/>
            <w:vAlign w:val="bottom"/>
          </w:tcPr>
          <w:p>
            <w:pPr>
              <w:pStyle w:val="TableContents"/>
              <w:bidi w:val="0"/>
              <w:spacing w:before="0" w:after="283"/>
              <w:jc w:val="left"/>
              <w:rPr/>
            </w:pPr>
            <w:r>
              <w:rPr/>
              <w:t>  </w:t>
            </w:r>
          </w:p>
        </w:tc>
        <w:tc>
          <w:tcPr>
            <w:tcW w:w="2722" w:type="dxa"/>
            <w:tcBorders/>
            <w:shd w:fill="CCEEFF" w:val="clear"/>
            <w:vAlign w:val="bottom"/>
          </w:tcPr>
          <w:p>
            <w:pPr>
              <w:pStyle w:val="TableContents"/>
              <w:bidi w:val="0"/>
              <w:spacing w:before="0" w:after="283"/>
              <w:jc w:val="right"/>
              <w:rPr/>
            </w:pPr>
            <w:r>
              <w:rPr/>
              <w:t>200,000</w:t>
            </w:r>
          </w:p>
        </w:tc>
      </w:tr>
      <w:tr>
        <w:trPr/>
        <w:tc>
          <w:tcPr>
            <w:tcW w:w="7344" w:type="dxa"/>
            <w:tcBorders/>
          </w:tcPr>
          <w:p>
            <w:pPr>
              <w:pStyle w:val="TableContents"/>
              <w:bidi w:val="0"/>
              <w:spacing w:before="0" w:after="0"/>
              <w:jc w:val="left"/>
              <w:rPr>
                <w:rFonts w:ascii="Times New Roman" w:hAnsi="Times New Roman"/>
                <w:sz w:val="20"/>
              </w:rPr>
            </w:pPr>
            <w:r>
              <w:rPr>
                <w:rFonts w:ascii="Times New Roman" w:hAnsi="Times New Roman"/>
                <w:sz w:val="20"/>
              </w:rPr>
              <w:t>Loans and leases held for investment, net of allowance</w:t>
            </w:r>
          </w:p>
        </w:tc>
        <w:tc>
          <w:tcPr>
            <w:tcW w:w="139" w:type="dxa"/>
            <w:tcBorders/>
            <w:vAlign w:val="bottom"/>
          </w:tcPr>
          <w:p>
            <w:pPr>
              <w:pStyle w:val="TableContents"/>
              <w:bidi w:val="0"/>
              <w:spacing w:before="0" w:after="283"/>
              <w:jc w:val="left"/>
              <w:rPr/>
            </w:pPr>
            <w:r>
              <w:rPr/>
              <w:t>  </w:t>
            </w:r>
          </w:p>
        </w:tc>
        <w:tc>
          <w:tcPr>
            <w:tcW w:w="2722" w:type="dxa"/>
            <w:tcBorders/>
            <w:vAlign w:val="bottom"/>
          </w:tcPr>
          <w:p>
            <w:pPr>
              <w:pStyle w:val="TableContents"/>
              <w:bidi w:val="0"/>
              <w:spacing w:before="0" w:after="283"/>
              <w:jc w:val="right"/>
              <w:rPr/>
            </w:pPr>
            <w:r>
              <w:rPr/>
              <w:t>46,459,000</w:t>
            </w:r>
          </w:p>
        </w:tc>
      </w:tr>
      <w:tr>
        <w:trPr/>
        <w:tc>
          <w:tcPr>
            <w:tcW w:w="7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Trading assets</w:t>
            </w:r>
          </w:p>
        </w:tc>
        <w:tc>
          <w:tcPr>
            <w:tcW w:w="139" w:type="dxa"/>
            <w:tcBorders/>
            <w:shd w:fill="CCEEFF" w:val="clear"/>
            <w:vAlign w:val="bottom"/>
          </w:tcPr>
          <w:p>
            <w:pPr>
              <w:pStyle w:val="TableContents"/>
              <w:bidi w:val="0"/>
              <w:spacing w:before="0" w:after="283"/>
              <w:jc w:val="left"/>
              <w:rPr/>
            </w:pPr>
            <w:r>
              <w:rPr/>
              <w:t>  </w:t>
            </w:r>
          </w:p>
        </w:tc>
        <w:tc>
          <w:tcPr>
            <w:tcW w:w="2722" w:type="dxa"/>
            <w:tcBorders/>
            <w:shd w:fill="CCEEFF" w:val="clear"/>
            <w:vAlign w:val="bottom"/>
          </w:tcPr>
          <w:p>
            <w:pPr>
              <w:pStyle w:val="TableContents"/>
              <w:bidi w:val="0"/>
              <w:spacing w:before="0" w:after="283"/>
              <w:jc w:val="right"/>
              <w:rPr/>
            </w:pPr>
            <w:r>
              <w:rPr/>
              <w:t>8,709,000</w:t>
            </w:r>
          </w:p>
        </w:tc>
      </w:tr>
      <w:tr>
        <w:trPr/>
        <w:tc>
          <w:tcPr>
            <w:tcW w:w="7344" w:type="dxa"/>
            <w:tcBorders/>
          </w:tcPr>
          <w:p>
            <w:pPr>
              <w:pStyle w:val="TableContents"/>
              <w:bidi w:val="0"/>
              <w:spacing w:before="0" w:after="0"/>
              <w:jc w:val="left"/>
              <w:rPr>
                <w:rFonts w:ascii="Times New Roman" w:hAnsi="Times New Roman"/>
                <w:sz w:val="20"/>
              </w:rPr>
            </w:pPr>
            <w:r>
              <w:rPr>
                <w:rFonts w:ascii="Times New Roman" w:hAnsi="Times New Roman"/>
                <w:sz w:val="20"/>
              </w:rPr>
              <w:t>Premises and fixed assets (including right-of-use assets)</w:t>
            </w:r>
          </w:p>
        </w:tc>
        <w:tc>
          <w:tcPr>
            <w:tcW w:w="139" w:type="dxa"/>
            <w:tcBorders/>
            <w:vAlign w:val="bottom"/>
          </w:tcPr>
          <w:p>
            <w:pPr>
              <w:pStyle w:val="TableContents"/>
              <w:bidi w:val="0"/>
              <w:spacing w:before="0" w:after="283"/>
              <w:jc w:val="left"/>
              <w:rPr/>
            </w:pPr>
            <w:r>
              <w:rPr/>
              <w:t>  </w:t>
            </w:r>
          </w:p>
        </w:tc>
        <w:tc>
          <w:tcPr>
            <w:tcW w:w="2722" w:type="dxa"/>
            <w:tcBorders/>
            <w:vAlign w:val="bottom"/>
          </w:tcPr>
          <w:p>
            <w:pPr>
              <w:pStyle w:val="TableContents"/>
              <w:bidi w:val="0"/>
              <w:spacing w:before="0" w:after="283"/>
              <w:jc w:val="right"/>
              <w:rPr/>
            </w:pPr>
            <w:r>
              <w:rPr/>
              <w:t>3,596,000</w:t>
            </w:r>
          </w:p>
        </w:tc>
      </w:tr>
      <w:tr>
        <w:trPr/>
        <w:tc>
          <w:tcPr>
            <w:tcW w:w="7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real estate owned</w:t>
            </w:r>
          </w:p>
        </w:tc>
        <w:tc>
          <w:tcPr>
            <w:tcW w:w="139" w:type="dxa"/>
            <w:tcBorders/>
            <w:shd w:fill="CCEEFF" w:val="clear"/>
            <w:vAlign w:val="bottom"/>
          </w:tcPr>
          <w:p>
            <w:pPr>
              <w:pStyle w:val="TableContents"/>
              <w:bidi w:val="0"/>
              <w:spacing w:before="0" w:after="283"/>
              <w:jc w:val="left"/>
              <w:rPr/>
            </w:pPr>
            <w:r>
              <w:rPr/>
              <w:t>  </w:t>
            </w:r>
          </w:p>
        </w:tc>
        <w:tc>
          <w:tcPr>
            <w:tcW w:w="2722" w:type="dxa"/>
            <w:tcBorders/>
            <w:shd w:fill="CCEEFF" w:val="clear"/>
            <w:vAlign w:val="bottom"/>
          </w:tcPr>
          <w:p>
            <w:pPr>
              <w:pStyle w:val="TableContents"/>
              <w:bidi w:val="0"/>
              <w:spacing w:before="0" w:after="283"/>
              <w:jc w:val="right"/>
              <w:rPr/>
            </w:pPr>
            <w:r>
              <w:rPr/>
              <w:t>0</w:t>
            </w:r>
          </w:p>
        </w:tc>
      </w:tr>
      <w:tr>
        <w:trPr/>
        <w:tc>
          <w:tcPr>
            <w:tcW w:w="7344"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in unconsolidated subsidiaries and associated companies</w:t>
            </w:r>
          </w:p>
        </w:tc>
        <w:tc>
          <w:tcPr>
            <w:tcW w:w="139" w:type="dxa"/>
            <w:tcBorders/>
            <w:vAlign w:val="bottom"/>
          </w:tcPr>
          <w:p>
            <w:pPr>
              <w:pStyle w:val="TableContents"/>
              <w:bidi w:val="0"/>
              <w:spacing w:before="0" w:after="283"/>
              <w:jc w:val="left"/>
              <w:rPr/>
            </w:pPr>
            <w:r>
              <w:rPr/>
              <w:t>  </w:t>
            </w:r>
          </w:p>
        </w:tc>
        <w:tc>
          <w:tcPr>
            <w:tcW w:w="2722" w:type="dxa"/>
            <w:tcBorders/>
            <w:vAlign w:val="bottom"/>
          </w:tcPr>
          <w:p>
            <w:pPr>
              <w:pStyle w:val="TableContents"/>
              <w:bidi w:val="0"/>
              <w:spacing w:before="0" w:after="283"/>
              <w:jc w:val="right"/>
              <w:rPr/>
            </w:pPr>
            <w:r>
              <w:rPr/>
              <w:t>2,380,000</w:t>
            </w:r>
          </w:p>
        </w:tc>
      </w:tr>
      <w:tr>
        <w:trPr/>
        <w:tc>
          <w:tcPr>
            <w:tcW w:w="7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and indirect investments in real estate ventures</w:t>
            </w:r>
          </w:p>
        </w:tc>
        <w:tc>
          <w:tcPr>
            <w:tcW w:w="139" w:type="dxa"/>
            <w:tcBorders/>
            <w:shd w:fill="CCEEFF" w:val="clear"/>
            <w:vAlign w:val="bottom"/>
          </w:tcPr>
          <w:p>
            <w:pPr>
              <w:pStyle w:val="TableContents"/>
              <w:bidi w:val="0"/>
              <w:spacing w:before="0" w:after="283"/>
              <w:jc w:val="left"/>
              <w:rPr/>
            </w:pPr>
            <w:r>
              <w:rPr/>
              <w:t>  </w:t>
            </w:r>
          </w:p>
        </w:tc>
        <w:tc>
          <w:tcPr>
            <w:tcW w:w="2722" w:type="dxa"/>
            <w:tcBorders/>
            <w:shd w:fill="CCEEFF" w:val="clear"/>
            <w:vAlign w:val="bottom"/>
          </w:tcPr>
          <w:p>
            <w:pPr>
              <w:pStyle w:val="TableContents"/>
              <w:bidi w:val="0"/>
              <w:spacing w:before="0" w:after="283"/>
              <w:jc w:val="right"/>
              <w:rPr/>
            </w:pPr>
            <w:r>
              <w:rPr/>
              <w:t>0</w:t>
            </w:r>
          </w:p>
        </w:tc>
      </w:tr>
      <w:tr>
        <w:trPr/>
        <w:tc>
          <w:tcPr>
            <w:tcW w:w="7344"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39" w:type="dxa"/>
            <w:tcBorders/>
            <w:vAlign w:val="bottom"/>
          </w:tcPr>
          <w:p>
            <w:pPr>
              <w:pStyle w:val="TableContents"/>
              <w:bidi w:val="0"/>
              <w:spacing w:before="0" w:after="283"/>
              <w:jc w:val="left"/>
              <w:rPr/>
            </w:pPr>
            <w:r>
              <w:rPr/>
              <w:t>  </w:t>
            </w:r>
          </w:p>
        </w:tc>
        <w:tc>
          <w:tcPr>
            <w:tcW w:w="2722" w:type="dxa"/>
            <w:tcBorders/>
            <w:vAlign w:val="bottom"/>
          </w:tcPr>
          <w:p>
            <w:pPr>
              <w:pStyle w:val="TableContents"/>
              <w:bidi w:val="0"/>
              <w:spacing w:before="0" w:after="283"/>
              <w:jc w:val="right"/>
              <w:rPr/>
            </w:pPr>
            <w:r>
              <w:rPr/>
              <w:t>7,330,000</w:t>
            </w:r>
          </w:p>
        </w:tc>
      </w:tr>
      <w:tr>
        <w:trPr/>
        <w:tc>
          <w:tcPr>
            <w:tcW w:w="7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39" w:type="dxa"/>
            <w:tcBorders/>
            <w:shd w:fill="CCEEFF" w:val="clear"/>
            <w:vAlign w:val="bottom"/>
          </w:tcPr>
          <w:p>
            <w:pPr>
              <w:pStyle w:val="TableContents"/>
              <w:bidi w:val="0"/>
              <w:spacing w:before="0" w:after="283"/>
              <w:jc w:val="left"/>
              <w:rPr/>
            </w:pPr>
            <w:r>
              <w:rPr/>
              <w:t>  </w:t>
            </w:r>
          </w:p>
        </w:tc>
        <w:tc>
          <w:tcPr>
            <w:tcW w:w="2722" w:type="dxa"/>
            <w:tcBorders/>
            <w:shd w:fill="CCEEFF" w:val="clear"/>
            <w:vAlign w:val="bottom"/>
          </w:tcPr>
          <w:p>
            <w:pPr>
              <w:pStyle w:val="TableContents"/>
              <w:bidi w:val="0"/>
              <w:spacing w:before="0" w:after="283"/>
              <w:jc w:val="right"/>
              <w:rPr/>
            </w:pPr>
            <w:r>
              <w:rPr/>
              <w:t>21,190,000</w:t>
            </w:r>
          </w:p>
        </w:tc>
      </w:tr>
      <w:tr>
        <w:trPr/>
        <w:tc>
          <w:tcPr>
            <w:tcW w:w="734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2722" w:type="dxa"/>
            <w:tcBorders/>
            <w:vAlign w:val="bottom"/>
          </w:tcPr>
          <w:p>
            <w:pPr>
              <w:pStyle w:val="TableContents"/>
              <w:pBdr>
                <w:top w:val="single" w:sz="2" w:space="1" w:color="000000"/>
              </w:pBdr>
              <w:bidi w:val="0"/>
              <w:spacing w:before="0" w:after="0"/>
              <w:jc w:val="left"/>
              <w:rPr/>
            </w:pPr>
            <w:r>
              <w:rPr/>
              <w:t> </w:t>
            </w:r>
          </w:p>
        </w:tc>
      </w:tr>
      <w:tr>
        <w:trPr/>
        <w:tc>
          <w:tcPr>
            <w:tcW w:w="7344"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39" w:type="dxa"/>
            <w:tcBorders/>
            <w:vAlign w:val="bottom"/>
          </w:tcPr>
          <w:p>
            <w:pPr>
              <w:pStyle w:val="TableContents"/>
              <w:bidi w:val="0"/>
              <w:spacing w:before="0" w:after="283"/>
              <w:jc w:val="left"/>
              <w:rPr/>
            </w:pPr>
            <w:r>
              <w:rPr/>
              <w:t>  </w:t>
            </w:r>
          </w:p>
        </w:tc>
        <w:tc>
          <w:tcPr>
            <w:tcW w:w="2722" w:type="dxa"/>
            <w:tcBorders/>
            <w:vAlign w:val="bottom"/>
          </w:tcPr>
          <w:p>
            <w:pPr>
              <w:pStyle w:val="TableContents"/>
              <w:bidi w:val="0"/>
              <w:spacing w:before="0" w:after="283"/>
              <w:jc w:val="right"/>
              <w:rPr/>
            </w:pPr>
            <w:r>
              <w:rPr/>
              <w:t>425,115,000</w:t>
            </w:r>
          </w:p>
        </w:tc>
      </w:tr>
      <w:tr>
        <w:trPr/>
        <w:tc>
          <w:tcPr>
            <w:tcW w:w="734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2722" w:type="dxa"/>
            <w:tcBorders/>
            <w:vAlign w:val="bottom"/>
          </w:tcPr>
          <w:p>
            <w:pPr>
              <w:pStyle w:val="TableContents"/>
              <w:pBdr>
                <w:top w:val="double" w:sz="6" w:space="1" w:color="000000"/>
              </w:pBdr>
              <w:bidi w:val="0"/>
              <w:spacing w:before="0" w:after="0"/>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8813"/>
        <w:gridCol w:w="133"/>
        <w:gridCol w:w="1259"/>
      </w:tblGrid>
      <w:tr>
        <w:trPr/>
        <w:tc>
          <w:tcPr>
            <w:tcW w:w="8813"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881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33"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left"/>
              <w:rPr>
                <w:sz w:val="4"/>
                <w:szCs w:val="4"/>
              </w:rPr>
            </w:pPr>
            <w:r>
              <w:rPr>
                <w:sz w:val="4"/>
                <w:szCs w:val="4"/>
              </w:rPr>
            </w:r>
          </w:p>
        </w:tc>
      </w:tr>
      <w:tr>
        <w:trPr/>
        <w:tc>
          <w:tcPr>
            <w:tcW w:w="8813" w:type="dxa"/>
            <w:tcBorders/>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33"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left"/>
              <w:rPr>
                <w:sz w:val="4"/>
                <w:szCs w:val="4"/>
              </w:rPr>
            </w:pPr>
            <w:r>
              <w:rPr>
                <w:sz w:val="4"/>
                <w:szCs w:val="4"/>
              </w:rPr>
            </w:r>
          </w:p>
        </w:tc>
      </w:tr>
      <w:tr>
        <w:trPr/>
        <w:tc>
          <w:tcPr>
            <w:tcW w:w="8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 domestic offices</w:t>
            </w:r>
          </w:p>
        </w:tc>
        <w:tc>
          <w:tcPr>
            <w:tcW w:w="133"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255,943,000</w:t>
            </w:r>
          </w:p>
        </w:tc>
      </w:tr>
      <w:tr>
        <w:trPr/>
        <w:tc>
          <w:tcPr>
            <w:tcW w:w="8813" w:type="dxa"/>
            <w:tcBorders/>
          </w:tcPr>
          <w:p>
            <w:pPr>
              <w:pStyle w:val="TableContents"/>
              <w:bidi w:val="0"/>
              <w:spacing w:before="0" w:after="0"/>
              <w:jc w:val="left"/>
              <w:rPr>
                <w:rFonts w:ascii="Times New Roman" w:hAnsi="Times New Roman"/>
                <w:sz w:val="20"/>
              </w:rPr>
            </w:pPr>
            <w:r>
              <w:rPr>
                <w:rFonts w:ascii="Times New Roman" w:hAnsi="Times New Roman"/>
                <w:sz w:val="20"/>
              </w:rPr>
              <w:t>Noninterest-bearing</w:t>
            </w:r>
          </w:p>
        </w:tc>
        <w:tc>
          <w:tcPr>
            <w:tcW w:w="133"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84,330,000</w:t>
            </w:r>
          </w:p>
        </w:tc>
      </w:tr>
      <w:tr>
        <w:trPr/>
        <w:tc>
          <w:tcPr>
            <w:tcW w:w="8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Interest-bearing</w:t>
            </w:r>
          </w:p>
        </w:tc>
        <w:tc>
          <w:tcPr>
            <w:tcW w:w="133"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171,613,000</w:t>
            </w:r>
          </w:p>
        </w:tc>
      </w:tr>
      <w:tr>
        <w:trPr/>
        <w:tc>
          <w:tcPr>
            <w:tcW w:w="8813" w:type="dxa"/>
            <w:tcBorders/>
          </w:tcPr>
          <w:p>
            <w:pPr>
              <w:pStyle w:val="TableContents"/>
              <w:bidi w:val="0"/>
              <w:spacing w:before="0" w:after="0"/>
              <w:jc w:val="left"/>
              <w:rPr>
                <w:rFonts w:ascii="Times New Roman" w:hAnsi="Times New Roman"/>
                <w:sz w:val="20"/>
              </w:rPr>
            </w:pPr>
            <w:r>
              <w:rPr>
                <w:rFonts w:ascii="Times New Roman" w:hAnsi="Times New Roman"/>
                <w:sz w:val="20"/>
              </w:rPr>
              <w:t>In foreign offices, Edge and Agreement subsidiaries, and IBFs</w:t>
            </w:r>
          </w:p>
        </w:tc>
        <w:tc>
          <w:tcPr>
            <w:tcW w:w="133"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116,619,000</w:t>
            </w:r>
          </w:p>
        </w:tc>
      </w:tr>
      <w:tr>
        <w:trPr/>
        <w:tc>
          <w:tcPr>
            <w:tcW w:w="8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Noninterest-bearing</w:t>
            </w:r>
          </w:p>
        </w:tc>
        <w:tc>
          <w:tcPr>
            <w:tcW w:w="133"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9,678,000</w:t>
            </w:r>
          </w:p>
        </w:tc>
      </w:tr>
      <w:tr>
        <w:trPr/>
        <w:tc>
          <w:tcPr>
            <w:tcW w:w="8813" w:type="dxa"/>
            <w:tcBorders/>
          </w:tcPr>
          <w:p>
            <w:pPr>
              <w:pStyle w:val="TableContents"/>
              <w:bidi w:val="0"/>
              <w:spacing w:before="0" w:after="0"/>
              <w:jc w:val="left"/>
              <w:rPr>
                <w:rFonts w:ascii="Times New Roman" w:hAnsi="Times New Roman"/>
                <w:sz w:val="20"/>
              </w:rPr>
            </w:pPr>
            <w:r>
              <w:rPr>
                <w:rFonts w:ascii="Times New Roman" w:hAnsi="Times New Roman"/>
                <w:sz w:val="20"/>
              </w:rPr>
              <w:t>Interest-bearing</w:t>
            </w:r>
          </w:p>
        </w:tc>
        <w:tc>
          <w:tcPr>
            <w:tcW w:w="133"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106,941,000</w:t>
            </w:r>
          </w:p>
        </w:tc>
      </w:tr>
      <w:tr>
        <w:trPr/>
        <w:tc>
          <w:tcPr>
            <w:tcW w:w="8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funds purchased and securities sold under agreements to repurchase:</w:t>
            </w:r>
          </w:p>
        </w:tc>
        <w:tc>
          <w:tcPr>
            <w:tcW w:w="133"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left"/>
              <w:rPr>
                <w:sz w:val="4"/>
                <w:szCs w:val="4"/>
              </w:rPr>
            </w:pPr>
            <w:r>
              <w:rPr>
                <w:sz w:val="4"/>
                <w:szCs w:val="4"/>
              </w:rPr>
            </w:r>
          </w:p>
        </w:tc>
      </w:tr>
      <w:tr>
        <w:trPr/>
        <w:tc>
          <w:tcPr>
            <w:tcW w:w="8813" w:type="dxa"/>
            <w:tcBorders/>
          </w:tcPr>
          <w:p>
            <w:pPr>
              <w:pStyle w:val="TableContents"/>
              <w:bidi w:val="0"/>
              <w:spacing w:before="0" w:after="0"/>
              <w:jc w:val="left"/>
              <w:rPr>
                <w:rFonts w:ascii="Times New Roman" w:hAnsi="Times New Roman"/>
                <w:sz w:val="20"/>
              </w:rPr>
            </w:pPr>
            <w:r>
              <w:rPr>
                <w:rFonts w:ascii="Times New Roman" w:hAnsi="Times New Roman"/>
                <w:sz w:val="20"/>
              </w:rPr>
              <w:t>Federal funds purchased in domestic offices</w:t>
            </w:r>
          </w:p>
        </w:tc>
        <w:tc>
          <w:tcPr>
            <w:tcW w:w="133"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0</w:t>
            </w:r>
          </w:p>
        </w:tc>
      </w:tr>
      <w:tr>
        <w:trPr/>
        <w:tc>
          <w:tcPr>
            <w:tcW w:w="8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 sold under agreements to repurchase</w:t>
            </w:r>
          </w:p>
        </w:tc>
        <w:tc>
          <w:tcPr>
            <w:tcW w:w="133"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5,787,000</w:t>
            </w:r>
          </w:p>
        </w:tc>
      </w:tr>
      <w:tr>
        <w:trPr/>
        <w:tc>
          <w:tcPr>
            <w:tcW w:w="8813" w:type="dxa"/>
            <w:tcBorders/>
          </w:tcPr>
          <w:p>
            <w:pPr>
              <w:pStyle w:val="TableContents"/>
              <w:bidi w:val="0"/>
              <w:spacing w:before="0" w:after="0"/>
              <w:jc w:val="left"/>
              <w:rPr>
                <w:rFonts w:ascii="Times New Roman" w:hAnsi="Times New Roman"/>
                <w:sz w:val="20"/>
              </w:rPr>
            </w:pPr>
            <w:r>
              <w:rPr>
                <w:rFonts w:ascii="Times New Roman" w:hAnsi="Times New Roman"/>
                <w:sz w:val="20"/>
              </w:rPr>
              <w:t>Trading liabilities</w:t>
            </w:r>
          </w:p>
        </w:tc>
        <w:tc>
          <w:tcPr>
            <w:tcW w:w="133"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2,988,000</w:t>
            </w:r>
          </w:p>
        </w:tc>
      </w:tr>
      <w:tr>
        <w:trPr/>
        <w:tc>
          <w:tcPr>
            <w:tcW w:w="8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borrowed money:</w:t>
            </w:r>
          </w:p>
        </w:tc>
        <w:tc>
          <w:tcPr>
            <w:tcW w:w="133"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left"/>
              <w:rPr>
                <w:sz w:val="4"/>
                <w:szCs w:val="4"/>
              </w:rPr>
            </w:pPr>
            <w:r>
              <w:rPr>
                <w:sz w:val="4"/>
                <w:szCs w:val="4"/>
              </w:rPr>
            </w:r>
          </w:p>
        </w:tc>
      </w:tr>
      <w:tr>
        <w:trPr/>
        <w:tc>
          <w:tcPr>
            <w:tcW w:w="8813" w:type="dxa"/>
            <w:tcBorders/>
          </w:tcPr>
          <w:p>
            <w:pPr>
              <w:pStyle w:val="TableContents"/>
              <w:bidi w:val="0"/>
              <w:spacing w:before="0" w:after="0"/>
              <w:jc w:val="left"/>
              <w:rPr>
                <w:rFonts w:ascii="Times New Roman" w:hAnsi="Times New Roman"/>
                <w:sz w:val="20"/>
              </w:rPr>
            </w:pPr>
            <w:r>
              <w:rPr>
                <w:rFonts w:ascii="Times New Roman" w:hAnsi="Times New Roman"/>
                <w:sz w:val="20"/>
              </w:rPr>
              <w:t>(includes mortgage indebtedness)</w:t>
            </w:r>
          </w:p>
        </w:tc>
        <w:tc>
          <w:tcPr>
            <w:tcW w:w="133"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6,395,000</w:t>
            </w:r>
          </w:p>
        </w:tc>
      </w:tr>
      <w:tr>
        <w:trPr/>
        <w:tc>
          <w:tcPr>
            <w:tcW w:w="8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 applicable</w:t>
            </w:r>
          </w:p>
        </w:tc>
        <w:tc>
          <w:tcPr>
            <w:tcW w:w="133"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left"/>
              <w:rPr>
                <w:sz w:val="4"/>
                <w:szCs w:val="4"/>
              </w:rPr>
            </w:pPr>
            <w:r>
              <w:rPr>
                <w:sz w:val="4"/>
                <w:szCs w:val="4"/>
              </w:rPr>
            </w:r>
          </w:p>
        </w:tc>
      </w:tr>
      <w:tr>
        <w:trPr/>
        <w:tc>
          <w:tcPr>
            <w:tcW w:w="8813" w:type="dxa"/>
            <w:tcBorders/>
          </w:tcPr>
          <w:p>
            <w:pPr>
              <w:pStyle w:val="TableContents"/>
              <w:bidi w:val="0"/>
              <w:spacing w:before="0" w:after="0"/>
              <w:jc w:val="left"/>
              <w:rPr>
                <w:rFonts w:ascii="Times New Roman" w:hAnsi="Times New Roman"/>
                <w:sz w:val="20"/>
              </w:rPr>
            </w:pPr>
            <w:r>
              <w:rPr>
                <w:rFonts w:ascii="Times New Roman" w:hAnsi="Times New Roman"/>
                <w:sz w:val="20"/>
              </w:rPr>
              <w:t>Not applicable</w:t>
            </w:r>
          </w:p>
        </w:tc>
        <w:tc>
          <w:tcPr>
            <w:tcW w:w="133"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left"/>
              <w:rPr>
                <w:sz w:val="4"/>
                <w:szCs w:val="4"/>
              </w:rPr>
            </w:pPr>
            <w:r>
              <w:rPr>
                <w:sz w:val="4"/>
                <w:szCs w:val="4"/>
              </w:rPr>
            </w:r>
          </w:p>
        </w:tc>
      </w:tr>
      <w:tr>
        <w:trPr/>
        <w:tc>
          <w:tcPr>
            <w:tcW w:w="8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Subordinated notes and debentures</w:t>
            </w:r>
          </w:p>
        </w:tc>
        <w:tc>
          <w:tcPr>
            <w:tcW w:w="133"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0</w:t>
            </w:r>
          </w:p>
        </w:tc>
      </w:tr>
      <w:tr>
        <w:trPr/>
        <w:tc>
          <w:tcPr>
            <w:tcW w:w="8813"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33"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7,942,000</w:t>
            </w:r>
          </w:p>
        </w:tc>
      </w:tr>
      <w:tr>
        <w:trPr/>
        <w:tc>
          <w:tcPr>
            <w:tcW w:w="8813"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r>
      <w:tr>
        <w:trPr/>
        <w:tc>
          <w:tcPr>
            <w:tcW w:w="8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33"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395,674,000</w:t>
            </w:r>
          </w:p>
        </w:tc>
      </w:tr>
      <w:tr>
        <w:trPr/>
        <w:tc>
          <w:tcPr>
            <w:tcW w:w="8813"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r>
      <w:tr>
        <w:trPr/>
        <w:tc>
          <w:tcPr>
            <w:tcW w:w="8813" w:type="dxa"/>
            <w:tcBorders/>
          </w:tcPr>
          <w:p>
            <w:pPr>
              <w:pStyle w:val="TableContents"/>
              <w:bidi w:val="0"/>
              <w:spacing w:before="0" w:after="0"/>
              <w:jc w:val="left"/>
              <w:rPr>
                <w:rFonts w:ascii="Times New Roman" w:hAnsi="Times New Roman"/>
                <w:b/>
                <w:sz w:val="20"/>
              </w:rPr>
            </w:pPr>
            <w:r>
              <w:rPr>
                <w:rFonts w:ascii="Times New Roman" w:hAnsi="Times New Roman"/>
                <w:b/>
                <w:sz w:val="20"/>
              </w:rPr>
              <w:t>EQUITY CAPITAL</w:t>
            </w:r>
          </w:p>
        </w:tc>
        <w:tc>
          <w:tcPr>
            <w:tcW w:w="133"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left"/>
              <w:rPr>
                <w:sz w:val="4"/>
                <w:szCs w:val="4"/>
              </w:rPr>
            </w:pPr>
            <w:r>
              <w:rPr>
                <w:sz w:val="4"/>
                <w:szCs w:val="4"/>
              </w:rPr>
            </w:r>
          </w:p>
        </w:tc>
      </w:tr>
      <w:tr>
        <w:trPr/>
        <w:tc>
          <w:tcPr>
            <w:tcW w:w="8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Perpetual preferred stock and related surplus</w:t>
            </w:r>
          </w:p>
        </w:tc>
        <w:tc>
          <w:tcPr>
            <w:tcW w:w="133"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0</w:t>
            </w:r>
          </w:p>
        </w:tc>
      </w:tr>
      <w:tr>
        <w:trPr/>
        <w:tc>
          <w:tcPr>
            <w:tcW w:w="8813"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33"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1,135,000</w:t>
            </w:r>
          </w:p>
        </w:tc>
      </w:tr>
      <w:tr>
        <w:trPr/>
        <w:tc>
          <w:tcPr>
            <w:tcW w:w="8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Surplus (exclude all surplus related to preferred stock)</w:t>
            </w:r>
          </w:p>
        </w:tc>
        <w:tc>
          <w:tcPr>
            <w:tcW w:w="133"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13,277,000</w:t>
            </w:r>
          </w:p>
        </w:tc>
      </w:tr>
      <w:tr>
        <w:trPr/>
        <w:tc>
          <w:tcPr>
            <w:tcW w:w="8813"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33"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17,014,000</w:t>
            </w:r>
          </w:p>
        </w:tc>
      </w:tr>
      <w:tr>
        <w:trPr/>
        <w:tc>
          <w:tcPr>
            <w:tcW w:w="8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33"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-1,985,000</w:t>
            </w:r>
          </w:p>
        </w:tc>
      </w:tr>
      <w:tr>
        <w:trPr/>
        <w:tc>
          <w:tcPr>
            <w:tcW w:w="8813" w:type="dxa"/>
            <w:tcBorders/>
          </w:tcPr>
          <w:p>
            <w:pPr>
              <w:pStyle w:val="TableContents"/>
              <w:bidi w:val="0"/>
              <w:spacing w:before="0" w:after="0"/>
              <w:jc w:val="left"/>
              <w:rPr>
                <w:rFonts w:ascii="Times New Roman" w:hAnsi="Times New Roman"/>
                <w:sz w:val="20"/>
              </w:rPr>
            </w:pPr>
            <w:r>
              <w:rPr>
                <w:rFonts w:ascii="Times New Roman" w:hAnsi="Times New Roman"/>
                <w:sz w:val="20"/>
              </w:rPr>
              <w:t>Other equity capital components</w:t>
            </w:r>
          </w:p>
        </w:tc>
        <w:tc>
          <w:tcPr>
            <w:tcW w:w="133"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0</w:t>
            </w:r>
          </w:p>
        </w:tc>
      </w:tr>
      <w:tr>
        <w:trPr/>
        <w:tc>
          <w:tcPr>
            <w:tcW w:w="8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bank equity capital</w:t>
            </w:r>
          </w:p>
        </w:tc>
        <w:tc>
          <w:tcPr>
            <w:tcW w:w="133"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29,441,000</w:t>
            </w:r>
          </w:p>
        </w:tc>
      </w:tr>
      <w:tr>
        <w:trPr/>
        <w:tc>
          <w:tcPr>
            <w:tcW w:w="8813"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(minority) interests in consolidated subsidiaries</w:t>
            </w:r>
          </w:p>
        </w:tc>
        <w:tc>
          <w:tcPr>
            <w:tcW w:w="133"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0</w:t>
            </w:r>
          </w:p>
        </w:tc>
      </w:tr>
      <w:tr>
        <w:trPr/>
        <w:tc>
          <w:tcPr>
            <w:tcW w:w="8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 capital</w:t>
            </w:r>
          </w:p>
        </w:tc>
        <w:tc>
          <w:tcPr>
            <w:tcW w:w="133"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29,441,000</w:t>
            </w:r>
          </w:p>
        </w:tc>
      </w:tr>
      <w:tr>
        <w:trPr/>
        <w:tc>
          <w:tcPr>
            <w:tcW w:w="8813"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r>
      <w:tr>
        <w:trPr/>
        <w:tc>
          <w:tcPr>
            <w:tcW w:w="8813"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equity capital</w:t>
            </w:r>
          </w:p>
        </w:tc>
        <w:tc>
          <w:tcPr>
            <w:tcW w:w="133"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425,115,000</w:t>
            </w:r>
          </w:p>
        </w:tc>
      </w:tr>
      <w:tr>
        <w:trPr/>
        <w:tc>
          <w:tcPr>
            <w:tcW w:w="8813"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 Dermot McDonogh, Chief Financial Officer of the above-named bank do hereby declare that this Report of Condition is true and correct to the best of my knowledge and belief. </w:t>
      </w:r>
    </w:p>
    <w:p>
      <w:pPr>
        <w:pStyle w:val="TextBody"/>
        <w:bidi w:val="0"/>
        <w:spacing w:before="240" w:after="0"/>
        <w:jc w:val="right"/>
        <w:rPr>
          <w:rFonts w:ascii="Times New Roman" w:hAnsi="Times New Roman"/>
          <w:sz w:val="20"/>
        </w:rPr>
      </w:pPr>
      <w:r>
        <w:rPr>
          <w:rFonts w:ascii="Times New Roman" w:hAnsi="Times New Roman"/>
          <w:sz w:val="20"/>
        </w:rPr>
        <w:t xml:space="preserve">Dermot McDonogh </w:t>
      </w:r>
    </w:p>
    <w:p>
      <w:pPr>
        <w:pStyle w:val="TextBody"/>
        <w:bidi w:val="0"/>
        <w:spacing w:before="0" w:after="0"/>
        <w:jc w:val="right"/>
        <w:rPr>
          <w:rFonts w:ascii="Times New Roman" w:hAnsi="Times New Roman"/>
          <w:sz w:val="20"/>
        </w:rPr>
      </w:pPr>
      <w:r>
        <w:rPr>
          <w:rFonts w:ascii="Times New Roman" w:hAnsi="Times New Roman"/>
          <w:sz w:val="20"/>
        </w:rPr>
        <w:t xml:space="preserve">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We, the undersigned directors, attest to the correctness of this statement of resources and liabilities. We declare that it has been examined by us, and to the best of our knowledge and belief has been prepared in conformance with the instructions and is true and correct.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29"/>
        <w:gridCol w:w="128"/>
        <w:gridCol w:w="264"/>
        <w:gridCol w:w="128"/>
        <w:gridCol w:w="7056"/>
      </w:tblGrid>
      <w:tr>
        <w:trPr/>
        <w:tc>
          <w:tcPr>
            <w:tcW w:w="2629"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7056" w:type="dxa"/>
            <w:tcBorders/>
            <w:vAlign w:val="center"/>
          </w:tcPr>
          <w:p>
            <w:pPr>
              <w:pStyle w:val="TableContents"/>
              <w:bidi w:val="0"/>
              <w:spacing w:before="0" w:after="283"/>
              <w:jc w:val="left"/>
              <w:rPr>
                <w:sz w:val="4"/>
                <w:szCs w:val="4"/>
              </w:rPr>
            </w:pPr>
            <w:r>
              <w:rPr>
                <w:sz w:val="4"/>
                <w:szCs w:val="4"/>
              </w:rPr>
            </w:r>
          </w:p>
        </w:tc>
      </w:tr>
      <w:tr>
        <w:trPr/>
        <w:tc>
          <w:tcPr>
            <w:tcW w:w="2629" w:type="dxa"/>
            <w:tcBorders/>
          </w:tcPr>
          <w:p>
            <w:pPr>
              <w:pStyle w:val="TableContents"/>
              <w:bidi w:val="0"/>
              <w:spacing w:before="0" w:after="283"/>
              <w:jc w:val="left"/>
              <w:rPr/>
            </w:pPr>
            <w:r>
              <w:rPr/>
              <w:t>Robin A. Vince</w:t>
            </w:r>
          </w:p>
        </w:tc>
        <w:tc>
          <w:tcPr>
            <w:tcW w:w="128" w:type="dxa"/>
            <w:tcBorders>
              <w:top w:val="single" w:sz="2" w:space="0" w:color="000000"/>
            </w:tcBorders>
            <w:tcMar>
              <w:top w:w="28" w:type="dxa"/>
            </w:tcMar>
            <w:vAlign w:val="bottom"/>
          </w:tcPr>
          <w:p>
            <w:pPr>
              <w:pStyle w:val="TableContents"/>
              <w:bidi w:val="0"/>
              <w:spacing w:before="0" w:after="283"/>
              <w:jc w:val="left"/>
              <w:rPr/>
            </w:pPr>
            <w:r>
              <w:rPr/>
              <w:t>  </w:t>
            </w:r>
          </w:p>
        </w:tc>
        <w:tc>
          <w:tcPr>
            <w:tcW w:w="264" w:type="dxa"/>
            <w:tcBorders>
              <w:top w:val="single" w:sz="2" w:space="0" w:color="000000"/>
              <w:right w:val="single" w:sz="2" w:space="0" w:color="000000"/>
            </w:tcBorders>
            <w:tcMar>
              <w:top w:w="28" w:type="dxa"/>
              <w:right w:w="28" w:type="dxa"/>
            </w:tcMa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056" w:type="dxa"/>
            <w:tcBorders/>
          </w:tcPr>
          <w:p>
            <w:pPr>
              <w:pStyle w:val="TableContents"/>
              <w:bidi w:val="0"/>
              <w:spacing w:before="0" w:after="283"/>
              <w:jc w:val="left"/>
              <w:rPr>
                <w:sz w:val="4"/>
                <w:szCs w:val="4"/>
              </w:rPr>
            </w:pPr>
            <w:r>
              <w:rPr>
                <w:sz w:val="4"/>
                <w:szCs w:val="4"/>
              </w:rPr>
            </w:r>
          </w:p>
        </w:tc>
      </w:tr>
      <w:tr>
        <w:trPr/>
        <w:tc>
          <w:tcPr>
            <w:tcW w:w="2629" w:type="dxa"/>
            <w:tcBorders/>
          </w:tcPr>
          <w:p>
            <w:pPr>
              <w:pStyle w:val="TableContents"/>
              <w:bidi w:val="0"/>
              <w:spacing w:before="0" w:after="283"/>
              <w:jc w:val="left"/>
              <w:rPr/>
            </w:pPr>
            <w:r>
              <w:rPr/>
              <w:t>Jeffrey A. Goldstein</w:t>
            </w:r>
          </w:p>
        </w:tc>
        <w:tc>
          <w:tcPr>
            <w:tcW w:w="128" w:type="dxa"/>
            <w:tcBorders/>
            <w:vAlign w:val="bottom"/>
          </w:tcPr>
          <w:p>
            <w:pPr>
              <w:pStyle w:val="TableContents"/>
              <w:bidi w:val="0"/>
              <w:spacing w:before="0" w:after="283"/>
              <w:jc w:val="left"/>
              <w:rPr/>
            </w:pPr>
            <w:r>
              <w:rPr/>
              <w:t>  </w:t>
            </w:r>
          </w:p>
        </w:tc>
        <w:tc>
          <w:tcPr>
            <w:tcW w:w="264" w:type="dxa"/>
            <w:tcBorders>
              <w:right w:val="single" w:sz="2" w:space="0" w:color="000000"/>
            </w:tcBorders>
            <w:tcMar>
              <w:right w:w="28" w:type="dxa"/>
            </w:tcMa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056" w:type="dxa"/>
            <w:tcBorders/>
          </w:tcPr>
          <w:p>
            <w:pPr>
              <w:pStyle w:val="TableContents"/>
              <w:bidi w:val="0"/>
              <w:spacing w:before="0" w:after="283"/>
              <w:jc w:val="center"/>
              <w:rPr/>
            </w:pPr>
            <w:r>
              <w:rPr/>
              <w:t>Directors</w:t>
            </w:r>
          </w:p>
        </w:tc>
      </w:tr>
      <w:tr>
        <w:trPr/>
        <w:tc>
          <w:tcPr>
            <w:tcW w:w="2629" w:type="dxa"/>
            <w:tcBorders/>
          </w:tcPr>
          <w:p>
            <w:pPr>
              <w:pStyle w:val="TableContents"/>
              <w:bidi w:val="0"/>
              <w:spacing w:before="0" w:after="283"/>
              <w:jc w:val="left"/>
              <w:rPr/>
            </w:pPr>
            <w:r>
              <w:rPr/>
              <w:t>Joseph J. Echevarria</w:t>
            </w:r>
          </w:p>
        </w:tc>
        <w:tc>
          <w:tcPr>
            <w:tcW w:w="128" w:type="dxa"/>
            <w:tcBorders>
              <w:bottom w:val="single" w:sz="2" w:space="0" w:color="000000"/>
            </w:tcBorders>
            <w:tcMar>
              <w:bottom w:w="28" w:type="dxa"/>
            </w:tcMar>
            <w:vAlign w:val="bottom"/>
          </w:tcPr>
          <w:p>
            <w:pPr>
              <w:pStyle w:val="TableContents"/>
              <w:bidi w:val="0"/>
              <w:spacing w:before="0" w:after="283"/>
              <w:jc w:val="left"/>
              <w:rPr/>
            </w:pPr>
            <w:r>
              <w:rPr/>
              <w:t>  </w:t>
            </w:r>
          </w:p>
        </w:tc>
        <w:tc>
          <w:tcPr>
            <w:tcW w:w="26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056" w:type="dxa"/>
            <w:tcBorders/>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20" w:name="d14226dexfilingfees.htm"/>
      <w:bookmarkStart w:id="21" w:name="ksd14226dexfilingfees"/>
      <w:bookmarkStart w:id="22" w:name="d14226dexfilingfees.htm"/>
      <w:bookmarkStart w:id="23" w:name="ksd14226dexfilingfees"/>
      <w:bookmarkEnd w:id="22"/>
      <w:bookmarkEnd w:id="23"/>
      <w:r>
        <w:br w:type="page"/>
      </w:r>
    </w:p>
    <w:tbl>
      <w:tblPr>
        <w:tblW w:w="3570" w:type="dxa"/>
        <w:jc w:val="left"/>
        <w:tblInd w:w="0" w:type="dxa"/>
        <w:tblLayout w:type="fixed"/>
        <w:tblCellMar>
          <w:top w:w="28" w:type="dxa"/>
          <w:left w:w="28" w:type="dxa"/>
          <w:bottom w:w="28" w:type="dxa"/>
          <w:right w:w="28" w:type="dxa"/>
        </w:tblCellMar>
      </w:tblPr>
      <w:tblGrid>
        <w:gridCol w:w="3416"/>
        <w:gridCol w:w="154"/>
      </w:tblGrid>
      <w:tr>
        <w:trPr/>
        <w:tc>
          <w:tcPr>
            <w:tcW w:w="35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283"/>
              <w:jc w:val="left"/>
              <w:rPr>
                <w:b/>
              </w:rPr>
            </w:pPr>
            <w:r>
              <w:rPr>
                <w:b/>
              </w:rPr>
              <w:t xml:space="preserve">M&amp;T BANK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074" w:type="dxa"/>
        <w:jc w:val="left"/>
        <w:tblInd w:w="0" w:type="dxa"/>
        <w:tblLayout w:type="fixed"/>
        <w:tblCellMar>
          <w:top w:w="28" w:type="dxa"/>
          <w:left w:w="28" w:type="dxa"/>
          <w:bottom w:w="28" w:type="dxa"/>
          <w:right w:w="28" w:type="dxa"/>
        </w:tblCellMar>
      </w:tblPr>
      <w:tblGrid>
        <w:gridCol w:w="1126"/>
        <w:gridCol w:w="226"/>
        <w:gridCol w:w="946"/>
        <w:gridCol w:w="114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4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07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14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Preferred Stock, par value $1.00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Depositary Shares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Common Shares, par value $0.50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07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24" w:name="MaxAggtOfferingPrice"/>
            <w:bookmarkEnd w:id="24"/>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5" w:name="TotalFeeAmt"/>
            <w:bookmarkEnd w:id="2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PreviouslyPaid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TotalOffset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NetFee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6"/>
        <w:gridCol w:w="8709"/>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The securities of each class may be offered and sold by the registrant and/or may be offered and sold, from time to time, by one or more selling securityholders to be identified in the future. The selling securityholders may purchase the securities directly from the registrant, or from one or more underwriters, dealers or agents. Any securities registered hereunder may be sold separately or as units with other securities registered hereunder.An indeterminate aggregate initial offering price or number of the securities of each identified class is being registered as may from time to time be offered at indeterminate prices. Separate consideration may or may not be received for securities that are issuable on exercise, conversion or exchange of other securities or that are issued in units or represented by depositary shares.In accordance with Rules 456(b) and 457(r), the registrant is deferring payment of all of the registration fee. In connection with the securities offered hereby, the registrant will pay "pay-as-you-go registration fees" in accordance with Rule 456(b). Pursuant to Rule 457(q), no registration fee is required for the registration of an indeterminate amount of securities to be offered in market-making transactions by affiliates of the registrant.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See Offering Note 1.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5" w:type="dxa"/>
            <w:gridSpan w:val="2"/>
            <w:tcBorders/>
            <w:vAlign w:val="center"/>
          </w:tcPr>
          <w:p>
            <w:pPr>
              <w:pStyle w:val="TableContents"/>
              <w:bidi w:val="0"/>
              <w:spacing w:before="0" w:after="283"/>
              <w:jc w:val="left"/>
              <w:rPr/>
            </w:pPr>
            <w:r>
              <w:rPr/>
              <w:t xml:space="preserve">See Offering Note 1. Such indeterminate number of depositary shares to be evidenced by depositary receipts issued pursuant to a deposit agreement. In the event the registrant elects to offer to the public whole or fractional interests in shares of the preferred stock registered hereunder, depositary receipts will be distributed to those persons purchasing such interests and such shares will be issued to the depositary under the deposit agreement.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5" w:type="dxa"/>
            <w:gridSpan w:val="2"/>
            <w:tcBorders/>
            <w:vAlign w:val="center"/>
          </w:tcPr>
          <w:p>
            <w:pPr>
              <w:pStyle w:val="TableContents"/>
              <w:bidi w:val="0"/>
              <w:spacing w:before="0" w:after="283"/>
              <w:jc w:val="left"/>
              <w:rPr/>
            </w:pPr>
            <w:r>
              <w:rPr/>
              <w:t xml:space="preserve">See Offering Note 1.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5" w:type="dxa"/>
            <w:gridSpan w:val="2"/>
            <w:tcBorders/>
            <w:vAlign w:val="center"/>
          </w:tcPr>
          <w:p>
            <w:pPr>
              <w:pStyle w:val="TableContents"/>
              <w:bidi w:val="0"/>
              <w:spacing w:before="0" w:after="283"/>
              <w:jc w:val="left"/>
              <w:rPr/>
            </w:pPr>
            <w:r>
              <w:rPr/>
              <w:t xml:space="preserve">See Offering Note 1.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0036270/000003627026000010/mtb-20251231.htm" TargetMode="External"/><Relationship Id="rId3" Type="http://schemas.openxmlformats.org/officeDocument/2006/relationships/hyperlink" Target="http://www.sec.gov/Archives/edgar/data/../../../ix?doc=/Archives/edgar/data/0000036270/000003627026000034/mtb-20260331.htm" TargetMode="External"/><Relationship Id="rId4" Type="http://schemas.openxmlformats.org/officeDocument/2006/relationships/hyperlink" Target="http://www.sec.gov/Archives/edgar/data/../../../ix?doc=/Archives/edgar/data/0000036270/000003627026000050/mtb-20260630.htm" TargetMode="External"/><Relationship Id="rId5" Type="http://schemas.openxmlformats.org/officeDocument/2006/relationships/hyperlink" Target="http://www.sec.gov/Archives/edgar/data/../../../ix?doc=/Archives/edgar/data/0000036270/000162828026022025/mbt-20260330.htm" TargetMode="External"/><Relationship Id="rId6" Type="http://schemas.openxmlformats.org/officeDocument/2006/relationships/hyperlink" Target="http://www.sec.gov/Archives/edgar/data/../../../ix?doc=/Archives/edgar/data/0000036270/000119312526164027/d133845d8k.htm" TargetMode="External"/><Relationship Id="rId7" Type="http://schemas.openxmlformats.org/officeDocument/2006/relationships/hyperlink" Target="http://www.sec.gov/Archives/edgar/data/../../../ix?doc=/Archives/edgar/data/0000036270/000003627026000027/mbt-20260421.htm" TargetMode="External"/><Relationship Id="rId8" Type="http://schemas.openxmlformats.org/officeDocument/2006/relationships/hyperlink" Target="http://www.sec.gov/Archives/edgar/data/../../../ix?doc=/Archives/edgar/data/0000036270/000003627026000039/mbt-20260616.htm" TargetMode="External"/><Relationship Id="rId9" Type="http://schemas.openxmlformats.org/officeDocument/2006/relationships/hyperlink" Target="http://www.sec.gov/Archives/edgar/data/../../../ix?doc=/Archives/edgar/data/0000036270/000119312526310413/d127076d8k.htm" TargetMode="External"/><Relationship Id="rId10" Type="http://schemas.openxmlformats.org/officeDocument/2006/relationships/hyperlink" Target="http://www.sec.gov/Archives/edgar/data/../../../ix?doc=/Archives/edgar/data/36270/000119312526099298/d74790ddef14a.htm" TargetMode="External"/><Relationship Id="rId11" Type="http://schemas.openxmlformats.org/officeDocument/2006/relationships/hyperlink" Target="http://www.sec.gov/Archives/edgar/data/36270/0001047469-98-021288.txt" TargetMode="External"/><Relationship Id="rId12" Type="http://schemas.openxmlformats.org/officeDocument/2006/relationships/hyperlink" Target="http://www.sec.gov/Archives/edgar/data/36270/000003627026000010/exhibit42-202510xkxdescrip.htm" TargetMode="External"/><Relationship Id="rId13" Type="http://schemas.openxmlformats.org/officeDocument/2006/relationships/hyperlink" Target="http://www.sec.gov/Archives/edgar/data/36270/000119312526310529/d129316d8a12b.htm" TargetMode="External"/><Relationship Id="rId14" Type="http://schemas.openxmlformats.org/officeDocument/2006/relationships/hyperlink" Target="http://www.sec.gov/Archives/edgar/data/36270/000095015205000321/l10004aexv1wc.txt" TargetMode="External"/><Relationship Id="rId15" Type="http://schemas.openxmlformats.org/officeDocument/2006/relationships/hyperlink" Target="http://www.sec.gov/Archives/edgar/data/36270/000095015205000321/l10004aexv1wb.txt" TargetMode="External"/><Relationship Id="rId16" Type="http://schemas.openxmlformats.org/officeDocument/2006/relationships/hyperlink" Target="http://www.sec.gov/Archives/edgar/data/36270/000119312522288304/d423478dex31.htm" TargetMode="External"/><Relationship Id="rId17" Type="http://schemas.openxmlformats.org/officeDocument/2006/relationships/hyperlink" Target="http://www.sec.gov/Archives/edgar/data/36270/000119312524137273/d800336dex31.htm" TargetMode="External"/><Relationship Id="rId18" Type="http://schemas.openxmlformats.org/officeDocument/2006/relationships/hyperlink" Target="http://www.sec.gov/Archives/edgar/data/36270/000119312525260717/d940530dex31.htm" TargetMode="External"/><Relationship Id="rId19" Type="http://schemas.openxmlformats.org/officeDocument/2006/relationships/hyperlink" Target="http://www.sec.gov/Archives/edgar/data/36270/000119312526310413/d127076dex31.htm" TargetMode="External"/><Relationship Id="rId20" Type="http://schemas.openxmlformats.org/officeDocument/2006/relationships/hyperlink" Target="http://www.sec.gov/Archives/edgar/data/36270/000095017024017990/mtb-ex3_2.htm" TargetMode="External"/><Relationship Id="rId21" Type="http://schemas.openxmlformats.org/officeDocument/2006/relationships/hyperlink" Target="http://www.sec.gov/Archives/edgar/data/36270/000095015205000321/l10004aexv4wa.txt" TargetMode="External"/><Relationship Id="rId22" Type="http://schemas.openxmlformats.org/officeDocument/2006/relationships/hyperlink" Target="http://www.sec.gov/Archives/edgar/data/36270/000095015205000321/l10004aexv4wb.txt" TargetMode="External"/><Relationship Id="rId23" Type="http://schemas.openxmlformats.org/officeDocument/2006/relationships/hyperlink" Target="http://www.sec.gov/Archives/edgar/data/36270/000095015205000321/l10004aexv4wc.txt" TargetMode="External"/><Relationship Id="rId24" Type="http://schemas.openxmlformats.org/officeDocument/2006/relationships/hyperlink" Target="http://www.sec.gov/Archives/edgar/data/36270/000095015207004781/l26409aexv4w2.htm" TargetMode="External"/><Relationship Id="rId25" Type="http://schemas.openxmlformats.org/officeDocument/2006/relationships/hyperlink" Target="http://www.sec.gov/Archives/edgar/data/36270/000095015207004781/l26409aexv4w1.htm" TargetMode="External"/><Relationship Id="rId26" Type="http://schemas.openxmlformats.org/officeDocument/2006/relationships/hyperlink" Target="http://www.sec.gov/Archives/edgar/data/36270/000119312518227940/d581733dex41.htm" TargetMode="External"/><Relationship Id="rId27" Type="http://schemas.openxmlformats.org/officeDocument/2006/relationships/hyperlink" Target="http://www.sec.gov/Archives/edgar/data/36270/000119312522222347/d360227dex41.htm" TargetMode="External"/><Relationship Id="rId28" Type="http://schemas.openxmlformats.org/officeDocument/2006/relationships/hyperlink" Target="http://www.sec.gov/Archives/edgar/data/36270/000119312523017579/d373128dex41.htm" TargetMode="External"/><Relationship Id="rId29" Type="http://schemas.openxmlformats.org/officeDocument/2006/relationships/hyperlink" Target="http://www.sec.gov/Archives/edgar/data/36270/000119312523240481/d522472dex4k.htm" TargetMode="External"/><Relationship Id="rId30" Type="http://schemas.openxmlformats.org/officeDocument/2006/relationships/hyperlink" Target="http://www.sec.gov/Archives/edgar/data/36270/000095015205000321/l10004aexv4we.txt" TargetMode="External"/><Relationship Id="rId31" Type="http://schemas.openxmlformats.org/officeDocument/2006/relationships/hyperlink" Target="http://www.sec.gov/Archives/edgar/data/36270/000095015205000321/l10004aexv4wf.txt" TargetMode="External"/><Relationship Id="rId32" Type="http://schemas.openxmlformats.org/officeDocument/2006/relationships/image" Target="media/image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11410</Words>
  <Characters>61505</Characters>
  <CharactersWithSpaces>73283</CharactersWithSpaces>
  <Paragraphs>1631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EX-25.(C)</dc:title>
</cp:coreProperties>
</file>