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23610dfwp.htm"/>
      <w:bookmarkStart w:id="1" w:name="ksd23610dfwp"/>
      <w:bookmarkEnd w:id="0"/>
      <w:bookmarkEnd w:id="1"/>
      <w:r>
        <w:rPr>
          <w:rFonts w:ascii="Times New Roman" w:hAnsi="Times New Roman"/>
          <w:b/>
          <w:sz w:val="20"/>
        </w:rPr>
        <w:t xml:space="preserve">Filed Pursuant to Rule 433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333-274646 </w:t>
      </w:r>
    </w:p>
    <w:p>
      <w:pPr>
        <w:pStyle w:val="TextBody"/>
        <w:bidi w:val="0"/>
        <w:spacing w:before="0" w:after="0"/>
        <w:jc w:val="right"/>
        <w:rPr>
          <w:rFonts w:ascii="Times New Roman" w:hAnsi="Times New Roman"/>
          <w:b/>
          <w:sz w:val="20"/>
        </w:rPr>
      </w:pPr>
      <w:r>
        <w:rPr>
          <w:rFonts w:ascii="Times New Roman" w:hAnsi="Times New Roman"/>
          <w:b/>
          <w:sz w:val="20"/>
        </w:rPr>
        <w:t xml:space="preserve">July 16, 2026 </w:t>
      </w:r>
    </w:p>
    <w:p>
      <w:pPr>
        <w:pStyle w:val="TextBody"/>
        <w:bidi w:val="0"/>
        <w:spacing w:before="0" w:after="0"/>
        <w:jc w:val="left"/>
        <w:rPr/>
      </w:pPr>
      <w:r>
        <w:rPr/>
        <w:t> </w:t>
      </w:r>
    </w:p>
    <w:p>
      <w:pPr>
        <w:pStyle w:val="TextBody"/>
        <w:bidi w:val="0"/>
        <w:spacing w:before="0" w:after="0"/>
        <w:jc w:val="center"/>
        <w:rPr/>
      </w:pPr>
      <w:r>
        <w:rPr/>
        <w:drawing>
          <wp:inline distT="0" distB="0" distL="0" distR="0">
            <wp:extent cx="5476875"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76875" cy="7334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M&amp;T Bank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24,000,000 Depositary Shares, Each Representing a 1/400th Interest </w:t>
      </w:r>
    </w:p>
    <w:p>
      <w:pPr>
        <w:pStyle w:val="TextBody"/>
        <w:bidi w:val="0"/>
        <w:spacing w:before="0" w:after="0"/>
        <w:jc w:val="center"/>
        <w:rPr>
          <w:rFonts w:ascii="Times New Roman" w:hAnsi="Times New Roman"/>
          <w:b/>
          <w:sz w:val="20"/>
        </w:rPr>
      </w:pPr>
      <w:r>
        <w:rPr>
          <w:rFonts w:ascii="Times New Roman" w:hAnsi="Times New Roman"/>
          <w:b/>
          <w:sz w:val="20"/>
        </w:rPr>
        <w:t xml:space="preserve">in a Share of Perpetual 6.625% Non-Cumulative Preferred Stock, Series L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Pricing Term Sheet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45"/>
        <w:gridCol w:w="121"/>
        <w:gridCol w:w="4939"/>
      </w:tblGrid>
      <w:tr>
        <w:trPr/>
        <w:tc>
          <w:tcPr>
            <w:tcW w:w="514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39" w:type="dxa"/>
            <w:tcBorders/>
            <w:vAlign w:val="center"/>
          </w:tcPr>
          <w:p>
            <w:pPr>
              <w:pStyle w:val="TableContents"/>
              <w:bidi w:val="0"/>
              <w:spacing w:before="0" w:after="283"/>
              <w:jc w:val="left"/>
              <w:rPr>
                <w:sz w:val="4"/>
                <w:szCs w:val="4"/>
              </w:rPr>
            </w:pPr>
            <w:r>
              <w:rPr>
                <w:sz w:val="4"/>
                <w:szCs w:val="4"/>
              </w:rPr>
            </w:r>
          </w:p>
        </w:tc>
      </w:tr>
      <w:tr>
        <w:trPr/>
        <w:tc>
          <w:tcPr>
            <w:tcW w:w="5145" w:type="dxa"/>
            <w:tcBorders/>
          </w:tcPr>
          <w:p>
            <w:pPr>
              <w:pStyle w:val="TableContents"/>
              <w:bidi w:val="0"/>
              <w:spacing w:before="0" w:after="283"/>
              <w:jc w:val="left"/>
              <w:rPr/>
            </w:pPr>
            <w:r>
              <w:rPr/>
              <w:t>Issuer:</w:t>
            </w:r>
          </w:p>
        </w:tc>
        <w:tc>
          <w:tcPr>
            <w:tcW w:w="121" w:type="dxa"/>
            <w:tcBorders/>
            <w:vAlign w:val="bottom"/>
          </w:tcPr>
          <w:p>
            <w:pPr>
              <w:pStyle w:val="TableContents"/>
              <w:bidi w:val="0"/>
              <w:spacing w:before="0" w:after="283"/>
              <w:jc w:val="left"/>
              <w:rPr/>
            </w:pPr>
            <w:r>
              <w:rPr/>
              <w:t>  </w:t>
            </w:r>
          </w:p>
        </w:tc>
        <w:tc>
          <w:tcPr>
            <w:tcW w:w="4939" w:type="dxa"/>
            <w:tcBorders/>
          </w:tcPr>
          <w:p>
            <w:pPr>
              <w:pStyle w:val="TableContents"/>
              <w:bidi w:val="0"/>
              <w:spacing w:before="0" w:after="283"/>
              <w:jc w:val="left"/>
              <w:rPr/>
            </w:pPr>
            <w:r>
              <w:rPr/>
              <w:t>M&amp;T Bank Corporation (the “</w:t>
            </w:r>
            <w:r>
              <w:rPr>
                <w:i/>
              </w:rPr>
              <w:t>Issuer</w:t>
            </w:r>
            <w:r>
              <w:rPr/>
              <w:t>”)</w:t>
            </w:r>
          </w:p>
        </w:tc>
      </w:tr>
      <w:tr>
        <w:trPr>
          <w:trHeight w:val="120" w:hRule="atLeast"/>
        </w:trPr>
        <w:tc>
          <w:tcPr>
            <w:tcW w:w="5145" w:type="dxa"/>
            <w:tcBorders/>
            <w:vAlign w:val="center"/>
          </w:tcPr>
          <w:p>
            <w:pPr>
              <w:pStyle w:val="TableContents"/>
              <w:bidi w:val="0"/>
              <w:spacing w:before="0" w:after="283"/>
              <w:jc w:val="left"/>
              <w:rPr>
                <w:sz w:val="4"/>
                <w:szCs w:val="4"/>
              </w:rPr>
            </w:pPr>
            <w:r>
              <w:rPr>
                <w:sz w:val="4"/>
                <w:szCs w:val="4"/>
              </w:rPr>
            </w:r>
          </w:p>
        </w:tc>
        <w:tc>
          <w:tcPr>
            <w:tcW w:w="5060" w:type="dxa"/>
            <w:gridSpan w:val="2"/>
            <w:tcBorders/>
            <w:vAlign w:val="center"/>
          </w:tcPr>
          <w:p>
            <w:pPr>
              <w:pStyle w:val="TableContents"/>
              <w:bidi w:val="0"/>
              <w:spacing w:before="0" w:after="283"/>
              <w:jc w:val="left"/>
              <w:rPr>
                <w:sz w:val="4"/>
                <w:szCs w:val="4"/>
              </w:rPr>
            </w:pPr>
            <w:r>
              <w:rPr>
                <w:sz w:val="4"/>
                <w:szCs w:val="4"/>
              </w:rPr>
            </w:r>
          </w:p>
        </w:tc>
      </w:tr>
      <w:tr>
        <w:trPr/>
        <w:tc>
          <w:tcPr>
            <w:tcW w:w="5145" w:type="dxa"/>
            <w:tcBorders/>
          </w:tcPr>
          <w:p>
            <w:pPr>
              <w:pStyle w:val="TableContents"/>
              <w:bidi w:val="0"/>
              <w:spacing w:before="0" w:after="283"/>
              <w:jc w:val="left"/>
              <w:rPr/>
            </w:pPr>
            <w:r>
              <w:rPr/>
              <w:t>Expected Ratings (Moody’s/S&amp;P/Fitch/DBRS)*:</w:t>
            </w:r>
          </w:p>
        </w:tc>
        <w:tc>
          <w:tcPr>
            <w:tcW w:w="121" w:type="dxa"/>
            <w:tcBorders/>
            <w:vAlign w:val="bottom"/>
          </w:tcPr>
          <w:p>
            <w:pPr>
              <w:pStyle w:val="TableContents"/>
              <w:bidi w:val="0"/>
              <w:spacing w:before="0" w:after="283"/>
              <w:jc w:val="left"/>
              <w:rPr/>
            </w:pPr>
            <w:r>
              <w:rPr/>
              <w:t>  </w:t>
            </w:r>
          </w:p>
        </w:tc>
        <w:tc>
          <w:tcPr>
            <w:tcW w:w="4939" w:type="dxa"/>
            <w:tcBorders/>
          </w:tcPr>
          <w:p>
            <w:pPr>
              <w:pStyle w:val="TableContents"/>
              <w:bidi w:val="0"/>
              <w:spacing w:before="0" w:after="283"/>
              <w:jc w:val="left"/>
              <w:rPr/>
            </w:pPr>
            <w:r>
              <w:rPr/>
              <w:t>Baa3/BB+/BBB-/BBB</w:t>
            </w:r>
          </w:p>
        </w:tc>
      </w:tr>
      <w:tr>
        <w:trPr>
          <w:trHeight w:val="120" w:hRule="atLeast"/>
        </w:trPr>
        <w:tc>
          <w:tcPr>
            <w:tcW w:w="5145" w:type="dxa"/>
            <w:tcBorders/>
            <w:vAlign w:val="center"/>
          </w:tcPr>
          <w:p>
            <w:pPr>
              <w:pStyle w:val="TableContents"/>
              <w:bidi w:val="0"/>
              <w:spacing w:before="0" w:after="283"/>
              <w:jc w:val="left"/>
              <w:rPr>
                <w:sz w:val="4"/>
                <w:szCs w:val="4"/>
              </w:rPr>
            </w:pPr>
            <w:r>
              <w:rPr>
                <w:sz w:val="4"/>
                <w:szCs w:val="4"/>
              </w:rPr>
            </w:r>
          </w:p>
        </w:tc>
        <w:tc>
          <w:tcPr>
            <w:tcW w:w="5060" w:type="dxa"/>
            <w:gridSpan w:val="2"/>
            <w:tcBorders/>
            <w:vAlign w:val="center"/>
          </w:tcPr>
          <w:p>
            <w:pPr>
              <w:pStyle w:val="TableContents"/>
              <w:bidi w:val="0"/>
              <w:spacing w:before="0" w:after="283"/>
              <w:jc w:val="left"/>
              <w:rPr>
                <w:sz w:val="4"/>
                <w:szCs w:val="4"/>
              </w:rPr>
            </w:pPr>
            <w:r>
              <w:rPr>
                <w:sz w:val="4"/>
                <w:szCs w:val="4"/>
              </w:rPr>
            </w:r>
          </w:p>
        </w:tc>
      </w:tr>
      <w:tr>
        <w:trPr/>
        <w:tc>
          <w:tcPr>
            <w:tcW w:w="5145" w:type="dxa"/>
            <w:tcBorders/>
          </w:tcPr>
          <w:p>
            <w:pPr>
              <w:pStyle w:val="TableContents"/>
              <w:bidi w:val="0"/>
              <w:spacing w:before="0" w:after="283"/>
              <w:jc w:val="left"/>
              <w:rPr/>
            </w:pPr>
            <w:r>
              <w:rPr/>
              <w:t>Securities:</w:t>
            </w:r>
          </w:p>
        </w:tc>
        <w:tc>
          <w:tcPr>
            <w:tcW w:w="121" w:type="dxa"/>
            <w:tcBorders/>
            <w:vAlign w:val="bottom"/>
          </w:tcPr>
          <w:p>
            <w:pPr>
              <w:pStyle w:val="TableContents"/>
              <w:bidi w:val="0"/>
              <w:spacing w:before="0" w:after="283"/>
              <w:jc w:val="left"/>
              <w:rPr/>
            </w:pPr>
            <w:r>
              <w:rPr/>
              <w:t>  </w:t>
            </w:r>
          </w:p>
        </w:tc>
        <w:tc>
          <w:tcPr>
            <w:tcW w:w="4939" w:type="dxa"/>
            <w:tcBorders/>
          </w:tcPr>
          <w:p>
            <w:pPr>
              <w:pStyle w:val="TableContents"/>
              <w:bidi w:val="0"/>
              <w:spacing w:before="0" w:after="283"/>
              <w:jc w:val="left"/>
              <w:rPr/>
            </w:pPr>
            <w:r>
              <w:rPr/>
              <w:t>Depositary shares (the “</w:t>
            </w:r>
            <w:r>
              <w:rPr>
                <w:i/>
              </w:rPr>
              <w:t>Depositary Shares</w:t>
            </w:r>
            <w:r>
              <w:rPr/>
              <w:t>”), each representing a 1/400th interest in a share of the Issuer’s Perpetual 6.625% Non-Cumulative Preferred Stock, Series L (the “</w:t>
            </w:r>
            <w:r>
              <w:rPr>
                <w:i/>
              </w:rPr>
              <w:t>Preferred Shares</w:t>
            </w:r>
            <w:r>
              <w:rPr/>
              <w:t>”)</w:t>
            </w:r>
          </w:p>
        </w:tc>
      </w:tr>
      <w:tr>
        <w:trPr>
          <w:trHeight w:val="120" w:hRule="atLeast"/>
        </w:trPr>
        <w:tc>
          <w:tcPr>
            <w:tcW w:w="5145" w:type="dxa"/>
            <w:tcBorders/>
            <w:vAlign w:val="center"/>
          </w:tcPr>
          <w:p>
            <w:pPr>
              <w:pStyle w:val="TableContents"/>
              <w:bidi w:val="0"/>
              <w:spacing w:before="0" w:after="283"/>
              <w:jc w:val="left"/>
              <w:rPr>
                <w:sz w:val="4"/>
                <w:szCs w:val="4"/>
              </w:rPr>
            </w:pPr>
            <w:r>
              <w:rPr>
                <w:sz w:val="4"/>
                <w:szCs w:val="4"/>
              </w:rPr>
            </w:r>
          </w:p>
        </w:tc>
        <w:tc>
          <w:tcPr>
            <w:tcW w:w="5060" w:type="dxa"/>
            <w:gridSpan w:val="2"/>
            <w:tcBorders/>
            <w:vAlign w:val="center"/>
          </w:tcPr>
          <w:p>
            <w:pPr>
              <w:pStyle w:val="TableContents"/>
              <w:bidi w:val="0"/>
              <w:spacing w:before="0" w:after="283"/>
              <w:jc w:val="left"/>
              <w:rPr>
                <w:sz w:val="4"/>
                <w:szCs w:val="4"/>
              </w:rPr>
            </w:pPr>
            <w:r>
              <w:rPr>
                <w:sz w:val="4"/>
                <w:szCs w:val="4"/>
              </w:rPr>
            </w:r>
          </w:p>
        </w:tc>
      </w:tr>
      <w:tr>
        <w:trPr/>
        <w:tc>
          <w:tcPr>
            <w:tcW w:w="5145" w:type="dxa"/>
            <w:tcBorders/>
          </w:tcPr>
          <w:p>
            <w:pPr>
              <w:pStyle w:val="TableContents"/>
              <w:bidi w:val="0"/>
              <w:spacing w:before="0" w:after="283"/>
              <w:jc w:val="left"/>
              <w:rPr/>
            </w:pPr>
            <w:r>
              <w:rPr/>
              <w:t>Liquidation Preference:</w:t>
            </w:r>
          </w:p>
        </w:tc>
        <w:tc>
          <w:tcPr>
            <w:tcW w:w="121" w:type="dxa"/>
            <w:tcBorders/>
            <w:vAlign w:val="bottom"/>
          </w:tcPr>
          <w:p>
            <w:pPr>
              <w:pStyle w:val="TableContents"/>
              <w:bidi w:val="0"/>
              <w:spacing w:before="0" w:after="283"/>
              <w:jc w:val="left"/>
              <w:rPr/>
            </w:pPr>
            <w:r>
              <w:rPr/>
              <w:t>  </w:t>
            </w:r>
          </w:p>
        </w:tc>
        <w:tc>
          <w:tcPr>
            <w:tcW w:w="4939" w:type="dxa"/>
            <w:tcBorders/>
          </w:tcPr>
          <w:p>
            <w:pPr>
              <w:pStyle w:val="TableContents"/>
              <w:bidi w:val="0"/>
              <w:spacing w:before="0" w:after="283"/>
              <w:jc w:val="left"/>
              <w:rPr/>
            </w:pPr>
            <w:r>
              <w:rPr/>
              <w:t>$10,000 liquidation preference per Preferred Share (equivalent to $25 per Depositary Share)</w:t>
            </w:r>
          </w:p>
        </w:tc>
      </w:tr>
      <w:tr>
        <w:trPr>
          <w:trHeight w:val="120" w:hRule="atLeast"/>
        </w:trPr>
        <w:tc>
          <w:tcPr>
            <w:tcW w:w="5145" w:type="dxa"/>
            <w:tcBorders/>
            <w:vAlign w:val="center"/>
          </w:tcPr>
          <w:p>
            <w:pPr>
              <w:pStyle w:val="TableContents"/>
              <w:bidi w:val="0"/>
              <w:spacing w:before="0" w:after="283"/>
              <w:jc w:val="left"/>
              <w:rPr>
                <w:sz w:val="4"/>
                <w:szCs w:val="4"/>
              </w:rPr>
            </w:pPr>
            <w:r>
              <w:rPr>
                <w:sz w:val="4"/>
                <w:szCs w:val="4"/>
              </w:rPr>
            </w:r>
          </w:p>
        </w:tc>
        <w:tc>
          <w:tcPr>
            <w:tcW w:w="5060" w:type="dxa"/>
            <w:gridSpan w:val="2"/>
            <w:tcBorders/>
            <w:vAlign w:val="center"/>
          </w:tcPr>
          <w:p>
            <w:pPr>
              <w:pStyle w:val="TableContents"/>
              <w:bidi w:val="0"/>
              <w:spacing w:before="0" w:after="283"/>
              <w:jc w:val="left"/>
              <w:rPr>
                <w:sz w:val="4"/>
                <w:szCs w:val="4"/>
              </w:rPr>
            </w:pPr>
            <w:r>
              <w:rPr>
                <w:sz w:val="4"/>
                <w:szCs w:val="4"/>
              </w:rPr>
            </w:r>
          </w:p>
        </w:tc>
      </w:tr>
      <w:tr>
        <w:trPr/>
        <w:tc>
          <w:tcPr>
            <w:tcW w:w="5145" w:type="dxa"/>
            <w:tcBorders/>
          </w:tcPr>
          <w:p>
            <w:pPr>
              <w:pStyle w:val="TableContents"/>
              <w:bidi w:val="0"/>
              <w:spacing w:before="0" w:after="283"/>
              <w:jc w:val="left"/>
              <w:rPr/>
            </w:pPr>
            <w:r>
              <w:rPr/>
              <w:t>Number of Depositary Shares:</w:t>
            </w:r>
          </w:p>
        </w:tc>
        <w:tc>
          <w:tcPr>
            <w:tcW w:w="121" w:type="dxa"/>
            <w:tcBorders/>
            <w:vAlign w:val="bottom"/>
          </w:tcPr>
          <w:p>
            <w:pPr>
              <w:pStyle w:val="TableContents"/>
              <w:bidi w:val="0"/>
              <w:spacing w:before="0" w:after="283"/>
              <w:jc w:val="left"/>
              <w:rPr/>
            </w:pPr>
            <w:r>
              <w:rPr/>
              <w:t>  </w:t>
            </w:r>
          </w:p>
        </w:tc>
        <w:tc>
          <w:tcPr>
            <w:tcW w:w="4939" w:type="dxa"/>
            <w:tcBorders/>
          </w:tcPr>
          <w:p>
            <w:pPr>
              <w:pStyle w:val="TableContents"/>
              <w:bidi w:val="0"/>
              <w:spacing w:before="0" w:after="283"/>
              <w:jc w:val="left"/>
              <w:rPr/>
            </w:pPr>
            <w:r>
              <w:rPr/>
              <w:t>24,000,000 (corresponding to 60,000 Preferred Shares)</w:t>
            </w:r>
          </w:p>
        </w:tc>
      </w:tr>
      <w:tr>
        <w:trPr>
          <w:trHeight w:val="120" w:hRule="atLeast"/>
        </w:trPr>
        <w:tc>
          <w:tcPr>
            <w:tcW w:w="5145" w:type="dxa"/>
            <w:tcBorders/>
            <w:vAlign w:val="center"/>
          </w:tcPr>
          <w:p>
            <w:pPr>
              <w:pStyle w:val="TableContents"/>
              <w:bidi w:val="0"/>
              <w:spacing w:before="0" w:after="283"/>
              <w:jc w:val="left"/>
              <w:rPr>
                <w:sz w:val="4"/>
                <w:szCs w:val="4"/>
              </w:rPr>
            </w:pPr>
            <w:r>
              <w:rPr>
                <w:sz w:val="4"/>
                <w:szCs w:val="4"/>
              </w:rPr>
            </w:r>
          </w:p>
        </w:tc>
        <w:tc>
          <w:tcPr>
            <w:tcW w:w="5060" w:type="dxa"/>
            <w:gridSpan w:val="2"/>
            <w:tcBorders/>
            <w:vAlign w:val="center"/>
          </w:tcPr>
          <w:p>
            <w:pPr>
              <w:pStyle w:val="TableContents"/>
              <w:bidi w:val="0"/>
              <w:spacing w:before="0" w:after="283"/>
              <w:jc w:val="left"/>
              <w:rPr>
                <w:sz w:val="4"/>
                <w:szCs w:val="4"/>
              </w:rPr>
            </w:pPr>
            <w:r>
              <w:rPr>
                <w:sz w:val="4"/>
                <w:szCs w:val="4"/>
              </w:rPr>
            </w:r>
          </w:p>
        </w:tc>
      </w:tr>
      <w:tr>
        <w:trPr/>
        <w:tc>
          <w:tcPr>
            <w:tcW w:w="5145" w:type="dxa"/>
            <w:tcBorders/>
          </w:tcPr>
          <w:p>
            <w:pPr>
              <w:pStyle w:val="TableContents"/>
              <w:bidi w:val="0"/>
              <w:spacing w:before="0" w:after="283"/>
              <w:jc w:val="left"/>
              <w:rPr/>
            </w:pPr>
            <w:r>
              <w:rPr/>
              <w:t>Aggregate Offering Size:</w:t>
            </w:r>
          </w:p>
        </w:tc>
        <w:tc>
          <w:tcPr>
            <w:tcW w:w="121" w:type="dxa"/>
            <w:tcBorders/>
            <w:vAlign w:val="bottom"/>
          </w:tcPr>
          <w:p>
            <w:pPr>
              <w:pStyle w:val="TableContents"/>
              <w:bidi w:val="0"/>
              <w:spacing w:before="0" w:after="283"/>
              <w:jc w:val="left"/>
              <w:rPr/>
            </w:pPr>
            <w:r>
              <w:rPr/>
              <w:t>  </w:t>
            </w:r>
          </w:p>
        </w:tc>
        <w:tc>
          <w:tcPr>
            <w:tcW w:w="4939" w:type="dxa"/>
            <w:tcBorders/>
          </w:tcPr>
          <w:p>
            <w:pPr>
              <w:pStyle w:val="TableContents"/>
              <w:bidi w:val="0"/>
              <w:spacing w:before="0" w:after="283"/>
              <w:jc w:val="left"/>
              <w:rPr/>
            </w:pPr>
            <w:r>
              <w:rPr/>
              <w:t>$600,000,000</w:t>
            </w:r>
          </w:p>
        </w:tc>
      </w:tr>
      <w:tr>
        <w:trPr>
          <w:trHeight w:val="120" w:hRule="atLeast"/>
        </w:trPr>
        <w:tc>
          <w:tcPr>
            <w:tcW w:w="5145" w:type="dxa"/>
            <w:tcBorders/>
            <w:vAlign w:val="center"/>
          </w:tcPr>
          <w:p>
            <w:pPr>
              <w:pStyle w:val="TableContents"/>
              <w:bidi w:val="0"/>
              <w:spacing w:before="0" w:after="283"/>
              <w:jc w:val="left"/>
              <w:rPr>
                <w:sz w:val="4"/>
                <w:szCs w:val="4"/>
              </w:rPr>
            </w:pPr>
            <w:r>
              <w:rPr>
                <w:sz w:val="4"/>
                <w:szCs w:val="4"/>
              </w:rPr>
            </w:r>
          </w:p>
        </w:tc>
        <w:tc>
          <w:tcPr>
            <w:tcW w:w="5060" w:type="dxa"/>
            <w:gridSpan w:val="2"/>
            <w:tcBorders/>
            <w:vAlign w:val="center"/>
          </w:tcPr>
          <w:p>
            <w:pPr>
              <w:pStyle w:val="TableContents"/>
              <w:bidi w:val="0"/>
              <w:spacing w:before="0" w:after="283"/>
              <w:jc w:val="left"/>
              <w:rPr>
                <w:sz w:val="4"/>
                <w:szCs w:val="4"/>
              </w:rPr>
            </w:pPr>
            <w:r>
              <w:rPr>
                <w:sz w:val="4"/>
                <w:szCs w:val="4"/>
              </w:rPr>
            </w:r>
          </w:p>
        </w:tc>
      </w:tr>
      <w:tr>
        <w:trPr/>
        <w:tc>
          <w:tcPr>
            <w:tcW w:w="5145" w:type="dxa"/>
            <w:tcBorders/>
          </w:tcPr>
          <w:p>
            <w:pPr>
              <w:pStyle w:val="TableContents"/>
              <w:bidi w:val="0"/>
              <w:spacing w:before="0" w:after="283"/>
              <w:jc w:val="left"/>
              <w:rPr/>
            </w:pPr>
            <w:r>
              <w:rPr/>
              <w:t>Offering Price:</w:t>
            </w:r>
          </w:p>
        </w:tc>
        <w:tc>
          <w:tcPr>
            <w:tcW w:w="121" w:type="dxa"/>
            <w:tcBorders/>
            <w:vAlign w:val="bottom"/>
          </w:tcPr>
          <w:p>
            <w:pPr>
              <w:pStyle w:val="TableContents"/>
              <w:bidi w:val="0"/>
              <w:spacing w:before="0" w:after="283"/>
              <w:jc w:val="left"/>
              <w:rPr/>
            </w:pPr>
            <w:r>
              <w:rPr/>
              <w:t>  </w:t>
            </w:r>
          </w:p>
        </w:tc>
        <w:tc>
          <w:tcPr>
            <w:tcW w:w="4939" w:type="dxa"/>
            <w:tcBorders/>
          </w:tcPr>
          <w:p>
            <w:pPr>
              <w:pStyle w:val="TableContents"/>
              <w:bidi w:val="0"/>
              <w:spacing w:before="0" w:after="283"/>
              <w:jc w:val="left"/>
              <w:rPr/>
            </w:pPr>
            <w:r>
              <w:rPr/>
              <w:t>$25 per Depositary Share</w:t>
            </w:r>
          </w:p>
        </w:tc>
      </w:tr>
      <w:tr>
        <w:trPr>
          <w:trHeight w:val="120" w:hRule="atLeast"/>
        </w:trPr>
        <w:tc>
          <w:tcPr>
            <w:tcW w:w="5145" w:type="dxa"/>
            <w:tcBorders/>
            <w:vAlign w:val="center"/>
          </w:tcPr>
          <w:p>
            <w:pPr>
              <w:pStyle w:val="TableContents"/>
              <w:bidi w:val="0"/>
              <w:spacing w:before="0" w:after="283"/>
              <w:jc w:val="left"/>
              <w:rPr>
                <w:sz w:val="4"/>
                <w:szCs w:val="4"/>
              </w:rPr>
            </w:pPr>
            <w:r>
              <w:rPr>
                <w:sz w:val="4"/>
                <w:szCs w:val="4"/>
              </w:rPr>
            </w:r>
          </w:p>
        </w:tc>
        <w:tc>
          <w:tcPr>
            <w:tcW w:w="5060" w:type="dxa"/>
            <w:gridSpan w:val="2"/>
            <w:tcBorders/>
            <w:vAlign w:val="center"/>
          </w:tcPr>
          <w:p>
            <w:pPr>
              <w:pStyle w:val="TableContents"/>
              <w:bidi w:val="0"/>
              <w:spacing w:before="0" w:after="283"/>
              <w:jc w:val="left"/>
              <w:rPr>
                <w:sz w:val="4"/>
                <w:szCs w:val="4"/>
              </w:rPr>
            </w:pPr>
            <w:r>
              <w:rPr>
                <w:sz w:val="4"/>
                <w:szCs w:val="4"/>
              </w:rPr>
            </w:r>
          </w:p>
        </w:tc>
      </w:tr>
      <w:tr>
        <w:trPr/>
        <w:tc>
          <w:tcPr>
            <w:tcW w:w="5145" w:type="dxa"/>
            <w:tcBorders/>
          </w:tcPr>
          <w:p>
            <w:pPr>
              <w:pStyle w:val="TableContents"/>
              <w:bidi w:val="0"/>
              <w:spacing w:before="0" w:after="283"/>
              <w:jc w:val="left"/>
              <w:rPr/>
            </w:pPr>
            <w:r>
              <w:rPr/>
              <w:t>Underwriting Discount:</w:t>
            </w:r>
          </w:p>
        </w:tc>
        <w:tc>
          <w:tcPr>
            <w:tcW w:w="121" w:type="dxa"/>
            <w:tcBorders/>
            <w:vAlign w:val="bottom"/>
          </w:tcPr>
          <w:p>
            <w:pPr>
              <w:pStyle w:val="TableContents"/>
              <w:bidi w:val="0"/>
              <w:spacing w:before="0" w:after="283"/>
              <w:jc w:val="left"/>
              <w:rPr/>
            </w:pPr>
            <w:r>
              <w:rPr/>
              <w:t>  </w:t>
            </w:r>
          </w:p>
        </w:tc>
        <w:tc>
          <w:tcPr>
            <w:tcW w:w="4939" w:type="dxa"/>
            <w:tcBorders/>
          </w:tcPr>
          <w:p>
            <w:pPr>
              <w:pStyle w:val="TableContents"/>
              <w:bidi w:val="0"/>
              <w:spacing w:before="0" w:after="283"/>
              <w:jc w:val="left"/>
              <w:rPr/>
            </w:pPr>
            <w:r>
              <w:rPr/>
              <w:t>1.000% per Depositary Share sold to institutional investors and 3.150% per Depositary Share sold to retail investors</w:t>
            </w:r>
          </w:p>
        </w:tc>
      </w:tr>
      <w:tr>
        <w:trPr>
          <w:trHeight w:val="120" w:hRule="atLeast"/>
        </w:trPr>
        <w:tc>
          <w:tcPr>
            <w:tcW w:w="5145" w:type="dxa"/>
            <w:tcBorders/>
            <w:vAlign w:val="center"/>
          </w:tcPr>
          <w:p>
            <w:pPr>
              <w:pStyle w:val="TableContents"/>
              <w:bidi w:val="0"/>
              <w:spacing w:before="0" w:after="283"/>
              <w:jc w:val="left"/>
              <w:rPr>
                <w:sz w:val="4"/>
                <w:szCs w:val="4"/>
              </w:rPr>
            </w:pPr>
            <w:r>
              <w:rPr>
                <w:sz w:val="4"/>
                <w:szCs w:val="4"/>
              </w:rPr>
            </w:r>
          </w:p>
        </w:tc>
        <w:tc>
          <w:tcPr>
            <w:tcW w:w="5060" w:type="dxa"/>
            <w:gridSpan w:val="2"/>
            <w:tcBorders/>
            <w:vAlign w:val="center"/>
          </w:tcPr>
          <w:p>
            <w:pPr>
              <w:pStyle w:val="TableContents"/>
              <w:bidi w:val="0"/>
              <w:spacing w:before="0" w:after="283"/>
              <w:jc w:val="left"/>
              <w:rPr>
                <w:sz w:val="4"/>
                <w:szCs w:val="4"/>
              </w:rPr>
            </w:pPr>
            <w:r>
              <w:rPr>
                <w:sz w:val="4"/>
                <w:szCs w:val="4"/>
              </w:rPr>
            </w:r>
          </w:p>
        </w:tc>
      </w:tr>
      <w:tr>
        <w:trPr/>
        <w:tc>
          <w:tcPr>
            <w:tcW w:w="5145" w:type="dxa"/>
            <w:tcBorders/>
          </w:tcPr>
          <w:p>
            <w:pPr>
              <w:pStyle w:val="TableContents"/>
              <w:bidi w:val="0"/>
              <w:spacing w:before="0" w:after="283"/>
              <w:jc w:val="left"/>
              <w:rPr/>
            </w:pPr>
            <w:r>
              <w:rPr/>
              <w:t>Proceeds to Issuer before Expenses:</w:t>
            </w:r>
          </w:p>
        </w:tc>
        <w:tc>
          <w:tcPr>
            <w:tcW w:w="121" w:type="dxa"/>
            <w:tcBorders/>
            <w:vAlign w:val="bottom"/>
          </w:tcPr>
          <w:p>
            <w:pPr>
              <w:pStyle w:val="TableContents"/>
              <w:bidi w:val="0"/>
              <w:spacing w:before="0" w:after="283"/>
              <w:jc w:val="left"/>
              <w:rPr/>
            </w:pPr>
            <w:r>
              <w:rPr/>
              <w:t>  </w:t>
            </w:r>
          </w:p>
        </w:tc>
        <w:tc>
          <w:tcPr>
            <w:tcW w:w="4939" w:type="dxa"/>
            <w:tcBorders/>
          </w:tcPr>
          <w:p>
            <w:pPr>
              <w:pStyle w:val="TableContents"/>
              <w:bidi w:val="0"/>
              <w:spacing w:before="0" w:after="283"/>
              <w:jc w:val="left"/>
              <w:rPr/>
            </w:pPr>
            <w:r>
              <w:rPr/>
              <w:t>$584,423,216.30 total</w:t>
            </w:r>
          </w:p>
        </w:tc>
      </w:tr>
      <w:tr>
        <w:trPr>
          <w:trHeight w:val="120" w:hRule="atLeast"/>
        </w:trPr>
        <w:tc>
          <w:tcPr>
            <w:tcW w:w="5145" w:type="dxa"/>
            <w:tcBorders/>
            <w:vAlign w:val="center"/>
          </w:tcPr>
          <w:p>
            <w:pPr>
              <w:pStyle w:val="TableContents"/>
              <w:bidi w:val="0"/>
              <w:spacing w:before="0" w:after="283"/>
              <w:jc w:val="left"/>
              <w:rPr>
                <w:sz w:val="4"/>
                <w:szCs w:val="4"/>
              </w:rPr>
            </w:pPr>
            <w:r>
              <w:rPr>
                <w:sz w:val="4"/>
                <w:szCs w:val="4"/>
              </w:rPr>
            </w:r>
          </w:p>
        </w:tc>
        <w:tc>
          <w:tcPr>
            <w:tcW w:w="5060" w:type="dxa"/>
            <w:gridSpan w:val="2"/>
            <w:tcBorders/>
            <w:vAlign w:val="center"/>
          </w:tcPr>
          <w:p>
            <w:pPr>
              <w:pStyle w:val="TableContents"/>
              <w:bidi w:val="0"/>
              <w:spacing w:before="0" w:after="283"/>
              <w:jc w:val="left"/>
              <w:rPr>
                <w:sz w:val="4"/>
                <w:szCs w:val="4"/>
              </w:rPr>
            </w:pPr>
            <w:r>
              <w:rPr>
                <w:sz w:val="4"/>
                <w:szCs w:val="4"/>
              </w:rPr>
            </w:r>
          </w:p>
        </w:tc>
      </w:tr>
      <w:tr>
        <w:trPr/>
        <w:tc>
          <w:tcPr>
            <w:tcW w:w="5145" w:type="dxa"/>
            <w:tcBorders/>
          </w:tcPr>
          <w:p>
            <w:pPr>
              <w:pStyle w:val="TableContents"/>
              <w:bidi w:val="0"/>
              <w:spacing w:before="0" w:after="283"/>
              <w:jc w:val="left"/>
              <w:rPr/>
            </w:pPr>
            <w:r>
              <w:rPr/>
              <w:t>Trade Date:</w:t>
            </w:r>
          </w:p>
        </w:tc>
        <w:tc>
          <w:tcPr>
            <w:tcW w:w="121" w:type="dxa"/>
            <w:tcBorders/>
            <w:vAlign w:val="bottom"/>
          </w:tcPr>
          <w:p>
            <w:pPr>
              <w:pStyle w:val="TableContents"/>
              <w:bidi w:val="0"/>
              <w:spacing w:before="0" w:after="283"/>
              <w:jc w:val="left"/>
              <w:rPr/>
            </w:pPr>
            <w:r>
              <w:rPr/>
              <w:t>  </w:t>
            </w:r>
          </w:p>
        </w:tc>
        <w:tc>
          <w:tcPr>
            <w:tcW w:w="4939" w:type="dxa"/>
            <w:tcBorders/>
          </w:tcPr>
          <w:p>
            <w:pPr>
              <w:pStyle w:val="TableContents"/>
              <w:bidi w:val="0"/>
              <w:spacing w:before="0" w:after="283"/>
              <w:jc w:val="left"/>
              <w:rPr/>
            </w:pPr>
            <w:r>
              <w:rPr/>
              <w:t>July 16, 2026</w:t>
            </w:r>
          </w:p>
        </w:tc>
      </w:tr>
      <w:tr>
        <w:trPr>
          <w:trHeight w:val="120" w:hRule="atLeast"/>
        </w:trPr>
        <w:tc>
          <w:tcPr>
            <w:tcW w:w="5145" w:type="dxa"/>
            <w:tcBorders/>
            <w:vAlign w:val="center"/>
          </w:tcPr>
          <w:p>
            <w:pPr>
              <w:pStyle w:val="TableContents"/>
              <w:bidi w:val="0"/>
              <w:spacing w:before="0" w:after="283"/>
              <w:jc w:val="left"/>
              <w:rPr>
                <w:sz w:val="4"/>
                <w:szCs w:val="4"/>
              </w:rPr>
            </w:pPr>
            <w:r>
              <w:rPr>
                <w:sz w:val="4"/>
                <w:szCs w:val="4"/>
              </w:rPr>
            </w:r>
          </w:p>
        </w:tc>
        <w:tc>
          <w:tcPr>
            <w:tcW w:w="5060" w:type="dxa"/>
            <w:gridSpan w:val="2"/>
            <w:tcBorders/>
            <w:vAlign w:val="center"/>
          </w:tcPr>
          <w:p>
            <w:pPr>
              <w:pStyle w:val="TableContents"/>
              <w:bidi w:val="0"/>
              <w:spacing w:before="0" w:after="283"/>
              <w:jc w:val="left"/>
              <w:rPr>
                <w:sz w:val="4"/>
                <w:szCs w:val="4"/>
              </w:rPr>
            </w:pPr>
            <w:r>
              <w:rPr>
                <w:sz w:val="4"/>
                <w:szCs w:val="4"/>
              </w:rPr>
            </w:r>
          </w:p>
        </w:tc>
      </w:tr>
      <w:tr>
        <w:trPr/>
        <w:tc>
          <w:tcPr>
            <w:tcW w:w="5145" w:type="dxa"/>
            <w:tcBorders/>
          </w:tcPr>
          <w:p>
            <w:pPr>
              <w:pStyle w:val="TableContents"/>
              <w:bidi w:val="0"/>
              <w:spacing w:before="0" w:after="283"/>
              <w:jc w:val="left"/>
              <w:rPr/>
            </w:pPr>
            <w:r>
              <w:rPr/>
              <w:t>Settlement Date:</w:t>
            </w:r>
          </w:p>
        </w:tc>
        <w:tc>
          <w:tcPr>
            <w:tcW w:w="121" w:type="dxa"/>
            <w:tcBorders/>
            <w:vAlign w:val="bottom"/>
          </w:tcPr>
          <w:p>
            <w:pPr>
              <w:pStyle w:val="TableContents"/>
              <w:bidi w:val="0"/>
              <w:spacing w:before="0" w:after="283"/>
              <w:jc w:val="left"/>
              <w:rPr/>
            </w:pPr>
            <w:r>
              <w:rPr/>
              <w:t>  </w:t>
            </w:r>
          </w:p>
        </w:tc>
        <w:tc>
          <w:tcPr>
            <w:tcW w:w="4939" w:type="dxa"/>
            <w:tcBorders/>
          </w:tcPr>
          <w:p>
            <w:pPr>
              <w:pStyle w:val="TableContents"/>
              <w:bidi w:val="0"/>
              <w:spacing w:before="0" w:after="283"/>
              <w:jc w:val="left"/>
              <w:rPr/>
            </w:pPr>
            <w:r>
              <w:rPr/>
              <w:t>July 21, 2026 (T+3)**</w:t>
            </w:r>
          </w:p>
        </w:tc>
      </w:tr>
      <w:tr>
        <w:trPr>
          <w:trHeight w:val="120" w:hRule="atLeast"/>
        </w:trPr>
        <w:tc>
          <w:tcPr>
            <w:tcW w:w="5145" w:type="dxa"/>
            <w:tcBorders/>
            <w:vAlign w:val="center"/>
          </w:tcPr>
          <w:p>
            <w:pPr>
              <w:pStyle w:val="TableContents"/>
              <w:bidi w:val="0"/>
              <w:spacing w:before="0" w:after="283"/>
              <w:jc w:val="left"/>
              <w:rPr>
                <w:sz w:val="4"/>
                <w:szCs w:val="4"/>
              </w:rPr>
            </w:pPr>
            <w:r>
              <w:rPr>
                <w:sz w:val="4"/>
                <w:szCs w:val="4"/>
              </w:rPr>
            </w:r>
          </w:p>
        </w:tc>
        <w:tc>
          <w:tcPr>
            <w:tcW w:w="5060" w:type="dxa"/>
            <w:gridSpan w:val="2"/>
            <w:tcBorders/>
            <w:vAlign w:val="center"/>
          </w:tcPr>
          <w:p>
            <w:pPr>
              <w:pStyle w:val="TableContents"/>
              <w:bidi w:val="0"/>
              <w:spacing w:before="0" w:after="283"/>
              <w:jc w:val="left"/>
              <w:rPr>
                <w:sz w:val="4"/>
                <w:szCs w:val="4"/>
              </w:rPr>
            </w:pPr>
            <w:r>
              <w:rPr>
                <w:sz w:val="4"/>
                <w:szCs w:val="4"/>
              </w:rPr>
            </w:r>
          </w:p>
        </w:tc>
      </w:tr>
      <w:tr>
        <w:trPr/>
        <w:tc>
          <w:tcPr>
            <w:tcW w:w="5145" w:type="dxa"/>
            <w:tcBorders/>
          </w:tcPr>
          <w:p>
            <w:pPr>
              <w:pStyle w:val="TableContents"/>
              <w:bidi w:val="0"/>
              <w:spacing w:before="0" w:after="283"/>
              <w:jc w:val="left"/>
              <w:rPr/>
            </w:pPr>
            <w:r>
              <w:rPr/>
              <w:t>Maturity Date:</w:t>
            </w:r>
          </w:p>
        </w:tc>
        <w:tc>
          <w:tcPr>
            <w:tcW w:w="121" w:type="dxa"/>
            <w:tcBorders/>
            <w:vAlign w:val="bottom"/>
          </w:tcPr>
          <w:p>
            <w:pPr>
              <w:pStyle w:val="TableContents"/>
              <w:bidi w:val="0"/>
              <w:spacing w:before="0" w:after="283"/>
              <w:jc w:val="left"/>
              <w:rPr/>
            </w:pPr>
            <w:r>
              <w:rPr/>
              <w:t>  </w:t>
            </w:r>
          </w:p>
        </w:tc>
        <w:tc>
          <w:tcPr>
            <w:tcW w:w="4939" w:type="dxa"/>
            <w:tcBorders/>
          </w:tcPr>
          <w:p>
            <w:pPr>
              <w:pStyle w:val="TableContents"/>
              <w:bidi w:val="0"/>
              <w:spacing w:before="0" w:after="283"/>
              <w:jc w:val="left"/>
              <w:rPr/>
            </w:pPr>
            <w:r>
              <w:rPr/>
              <w:t>Perpetual</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181"/>
        <w:gridCol w:w="123"/>
        <w:gridCol w:w="4901"/>
      </w:tblGrid>
      <w:tr>
        <w:trPr/>
        <w:tc>
          <w:tcPr>
            <w:tcW w:w="518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01" w:type="dxa"/>
            <w:tcBorders/>
            <w:vAlign w:val="center"/>
          </w:tcPr>
          <w:p>
            <w:pPr>
              <w:pStyle w:val="TableContents"/>
              <w:bidi w:val="0"/>
              <w:spacing w:before="0" w:after="283"/>
              <w:jc w:val="left"/>
              <w:rPr>
                <w:sz w:val="4"/>
                <w:szCs w:val="4"/>
              </w:rPr>
            </w:pPr>
            <w:r>
              <w:rPr>
                <w:sz w:val="4"/>
                <w:szCs w:val="4"/>
              </w:rPr>
            </w:r>
          </w:p>
        </w:tc>
      </w:tr>
      <w:tr>
        <w:trPr/>
        <w:tc>
          <w:tcPr>
            <w:tcW w:w="5181" w:type="dxa"/>
            <w:tcBorders/>
          </w:tcPr>
          <w:p>
            <w:pPr>
              <w:pStyle w:val="TableContents"/>
              <w:bidi w:val="0"/>
              <w:spacing w:before="0" w:after="283"/>
              <w:jc w:val="left"/>
              <w:rPr/>
            </w:pPr>
            <w:r>
              <w:rPr/>
              <w:t>Dividend Payment Dates:</w:t>
            </w:r>
          </w:p>
        </w:tc>
        <w:tc>
          <w:tcPr>
            <w:tcW w:w="123"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left"/>
              <w:rPr/>
            </w:pPr>
            <w:r>
              <w:rPr/>
              <w:t>Quarterly in arrears on March 15, June 15, September 15 and December 15 of each year, commencing on September 15, 2026.</w:t>
            </w:r>
          </w:p>
        </w:tc>
      </w:tr>
      <w:tr>
        <w:trPr>
          <w:trHeight w:val="120" w:hRule="atLeast"/>
        </w:trPr>
        <w:tc>
          <w:tcPr>
            <w:tcW w:w="5181" w:type="dxa"/>
            <w:tcBorders/>
            <w:vAlign w:val="center"/>
          </w:tcPr>
          <w:p>
            <w:pPr>
              <w:pStyle w:val="TableContents"/>
              <w:bidi w:val="0"/>
              <w:spacing w:before="0" w:after="283"/>
              <w:jc w:val="left"/>
              <w:rPr>
                <w:sz w:val="4"/>
                <w:szCs w:val="4"/>
              </w:rPr>
            </w:pPr>
            <w:r>
              <w:rPr>
                <w:sz w:val="4"/>
                <w:szCs w:val="4"/>
              </w:rPr>
            </w:r>
          </w:p>
        </w:tc>
        <w:tc>
          <w:tcPr>
            <w:tcW w:w="5024" w:type="dxa"/>
            <w:gridSpan w:val="2"/>
            <w:tcBorders/>
            <w:vAlign w:val="center"/>
          </w:tcPr>
          <w:p>
            <w:pPr>
              <w:pStyle w:val="TableContents"/>
              <w:bidi w:val="0"/>
              <w:spacing w:before="0" w:after="283"/>
              <w:jc w:val="left"/>
              <w:rPr>
                <w:sz w:val="4"/>
                <w:szCs w:val="4"/>
              </w:rPr>
            </w:pPr>
            <w:r>
              <w:rPr>
                <w:sz w:val="4"/>
                <w:szCs w:val="4"/>
              </w:rPr>
            </w:r>
          </w:p>
        </w:tc>
      </w:tr>
      <w:tr>
        <w:trPr/>
        <w:tc>
          <w:tcPr>
            <w:tcW w:w="5181" w:type="dxa"/>
            <w:tcBorders/>
          </w:tcPr>
          <w:p>
            <w:pPr>
              <w:pStyle w:val="TableContents"/>
              <w:bidi w:val="0"/>
              <w:spacing w:before="0" w:after="283"/>
              <w:jc w:val="left"/>
              <w:rPr/>
            </w:pPr>
            <w:r>
              <w:rPr/>
              <w:t>Dividend Rate (Non-Cumulative):</w:t>
            </w:r>
          </w:p>
        </w:tc>
        <w:tc>
          <w:tcPr>
            <w:tcW w:w="123"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left"/>
              <w:rPr/>
            </w:pPr>
            <w:r>
              <w:rPr/>
              <w:t>6.625% per annum on the stated amount of $10,000 per Preferred Share (equivalent to $25 per Depositary Share).</w:t>
            </w:r>
          </w:p>
        </w:tc>
      </w:tr>
      <w:tr>
        <w:trPr>
          <w:trHeight w:val="120" w:hRule="atLeast"/>
        </w:trPr>
        <w:tc>
          <w:tcPr>
            <w:tcW w:w="5181" w:type="dxa"/>
            <w:tcBorders/>
            <w:vAlign w:val="center"/>
          </w:tcPr>
          <w:p>
            <w:pPr>
              <w:pStyle w:val="TableContents"/>
              <w:bidi w:val="0"/>
              <w:spacing w:before="0" w:after="283"/>
              <w:jc w:val="left"/>
              <w:rPr>
                <w:sz w:val="4"/>
                <w:szCs w:val="4"/>
              </w:rPr>
            </w:pPr>
            <w:r>
              <w:rPr>
                <w:sz w:val="4"/>
                <w:szCs w:val="4"/>
              </w:rPr>
            </w:r>
          </w:p>
        </w:tc>
        <w:tc>
          <w:tcPr>
            <w:tcW w:w="5024" w:type="dxa"/>
            <w:gridSpan w:val="2"/>
            <w:tcBorders/>
            <w:vAlign w:val="center"/>
          </w:tcPr>
          <w:p>
            <w:pPr>
              <w:pStyle w:val="TableContents"/>
              <w:bidi w:val="0"/>
              <w:spacing w:before="0" w:after="283"/>
              <w:jc w:val="left"/>
              <w:rPr>
                <w:sz w:val="4"/>
                <w:szCs w:val="4"/>
              </w:rPr>
            </w:pPr>
            <w:r>
              <w:rPr>
                <w:sz w:val="4"/>
                <w:szCs w:val="4"/>
              </w:rPr>
            </w:r>
          </w:p>
        </w:tc>
      </w:tr>
      <w:tr>
        <w:trPr/>
        <w:tc>
          <w:tcPr>
            <w:tcW w:w="5181" w:type="dxa"/>
            <w:tcBorders/>
          </w:tcPr>
          <w:p>
            <w:pPr>
              <w:pStyle w:val="TableContents"/>
              <w:bidi w:val="0"/>
              <w:spacing w:before="0" w:after="283"/>
              <w:jc w:val="left"/>
              <w:rPr/>
            </w:pPr>
            <w:r>
              <w:rPr/>
              <w:t>Day Count Convention:</w:t>
            </w:r>
          </w:p>
        </w:tc>
        <w:tc>
          <w:tcPr>
            <w:tcW w:w="123"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left"/>
              <w:rPr/>
            </w:pPr>
            <w:r>
              <w:rPr/>
              <w:t>30/360</w:t>
            </w:r>
          </w:p>
        </w:tc>
      </w:tr>
      <w:tr>
        <w:trPr>
          <w:trHeight w:val="120" w:hRule="atLeast"/>
        </w:trPr>
        <w:tc>
          <w:tcPr>
            <w:tcW w:w="5181" w:type="dxa"/>
            <w:tcBorders/>
            <w:vAlign w:val="center"/>
          </w:tcPr>
          <w:p>
            <w:pPr>
              <w:pStyle w:val="TableContents"/>
              <w:bidi w:val="0"/>
              <w:spacing w:before="0" w:after="283"/>
              <w:jc w:val="left"/>
              <w:rPr>
                <w:sz w:val="4"/>
                <w:szCs w:val="4"/>
              </w:rPr>
            </w:pPr>
            <w:r>
              <w:rPr>
                <w:sz w:val="4"/>
                <w:szCs w:val="4"/>
              </w:rPr>
            </w:r>
          </w:p>
        </w:tc>
        <w:tc>
          <w:tcPr>
            <w:tcW w:w="5024" w:type="dxa"/>
            <w:gridSpan w:val="2"/>
            <w:tcBorders/>
            <w:vAlign w:val="center"/>
          </w:tcPr>
          <w:p>
            <w:pPr>
              <w:pStyle w:val="TableContents"/>
              <w:bidi w:val="0"/>
              <w:spacing w:before="0" w:after="283"/>
              <w:jc w:val="left"/>
              <w:rPr>
                <w:sz w:val="4"/>
                <w:szCs w:val="4"/>
              </w:rPr>
            </w:pPr>
            <w:r>
              <w:rPr>
                <w:sz w:val="4"/>
                <w:szCs w:val="4"/>
              </w:rPr>
            </w:r>
          </w:p>
        </w:tc>
      </w:tr>
      <w:tr>
        <w:trPr/>
        <w:tc>
          <w:tcPr>
            <w:tcW w:w="5181" w:type="dxa"/>
            <w:tcBorders/>
          </w:tcPr>
          <w:p>
            <w:pPr>
              <w:pStyle w:val="TableContents"/>
              <w:bidi w:val="0"/>
              <w:spacing w:before="0" w:after="283"/>
              <w:jc w:val="left"/>
              <w:rPr/>
            </w:pPr>
            <w:r>
              <w:rPr/>
              <w:t>Optional Redemption:</w:t>
            </w:r>
          </w:p>
        </w:tc>
        <w:tc>
          <w:tcPr>
            <w:tcW w:w="123"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left"/>
              <w:rPr/>
            </w:pPr>
            <w:r>
              <w:rPr/>
              <w:t>At the Issuer’s option, (i) in whole or in part, from time to time, on September 15, 2031 and any subsequent dividend payment date or (ii) in whole but not in part at any time within 90 days after a regulatory capital treatment event (as defined in the preliminary prospectus supplement), in each case, at a redemption price equal to $10,000 per Preferred Share (equivalent to $25 per Depositary Share), plus any declared and unpaid dividends.</w:t>
            </w:r>
          </w:p>
        </w:tc>
      </w:tr>
      <w:tr>
        <w:trPr>
          <w:trHeight w:val="120" w:hRule="atLeast"/>
        </w:trPr>
        <w:tc>
          <w:tcPr>
            <w:tcW w:w="5181" w:type="dxa"/>
            <w:tcBorders/>
            <w:vAlign w:val="center"/>
          </w:tcPr>
          <w:p>
            <w:pPr>
              <w:pStyle w:val="TableContents"/>
              <w:bidi w:val="0"/>
              <w:spacing w:before="0" w:after="283"/>
              <w:jc w:val="left"/>
              <w:rPr>
                <w:sz w:val="4"/>
                <w:szCs w:val="4"/>
              </w:rPr>
            </w:pPr>
            <w:r>
              <w:rPr>
                <w:sz w:val="4"/>
                <w:szCs w:val="4"/>
              </w:rPr>
            </w:r>
          </w:p>
        </w:tc>
        <w:tc>
          <w:tcPr>
            <w:tcW w:w="5024" w:type="dxa"/>
            <w:gridSpan w:val="2"/>
            <w:tcBorders/>
            <w:vAlign w:val="center"/>
          </w:tcPr>
          <w:p>
            <w:pPr>
              <w:pStyle w:val="TableContents"/>
              <w:bidi w:val="0"/>
              <w:spacing w:before="0" w:after="283"/>
              <w:jc w:val="left"/>
              <w:rPr>
                <w:sz w:val="4"/>
                <w:szCs w:val="4"/>
              </w:rPr>
            </w:pPr>
            <w:r>
              <w:rPr>
                <w:sz w:val="4"/>
                <w:szCs w:val="4"/>
              </w:rPr>
            </w:r>
          </w:p>
        </w:tc>
      </w:tr>
      <w:tr>
        <w:trPr/>
        <w:tc>
          <w:tcPr>
            <w:tcW w:w="5181" w:type="dxa"/>
            <w:tcBorders/>
          </w:tcPr>
          <w:p>
            <w:pPr>
              <w:pStyle w:val="TableContents"/>
              <w:bidi w:val="0"/>
              <w:spacing w:before="0" w:after="283"/>
              <w:jc w:val="left"/>
              <w:rPr/>
            </w:pPr>
            <w:r>
              <w:rPr/>
              <w:t>Listing:</w:t>
            </w:r>
          </w:p>
        </w:tc>
        <w:tc>
          <w:tcPr>
            <w:tcW w:w="123"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left"/>
              <w:rPr/>
            </w:pPr>
            <w:r>
              <w:rPr/>
              <w:t>The Issuer intends to apply for listing of the depositary shares on the New York Stock Exchange (“</w:t>
            </w:r>
            <w:r>
              <w:rPr>
                <w:i/>
              </w:rPr>
              <w:t>NYSE</w:t>
            </w:r>
            <w:r>
              <w:rPr/>
              <w:t>”) under the symbol “MTBPrL.” If the application is approved, trading of the depositary shares on the NYSE is expected to commence within a 30-day period after the initial delivery of the depositary shares.</w:t>
            </w:r>
          </w:p>
        </w:tc>
      </w:tr>
      <w:tr>
        <w:trPr>
          <w:trHeight w:val="120" w:hRule="atLeast"/>
        </w:trPr>
        <w:tc>
          <w:tcPr>
            <w:tcW w:w="5181" w:type="dxa"/>
            <w:tcBorders/>
            <w:vAlign w:val="center"/>
          </w:tcPr>
          <w:p>
            <w:pPr>
              <w:pStyle w:val="TableContents"/>
              <w:bidi w:val="0"/>
              <w:spacing w:before="0" w:after="283"/>
              <w:jc w:val="left"/>
              <w:rPr>
                <w:sz w:val="4"/>
                <w:szCs w:val="4"/>
              </w:rPr>
            </w:pPr>
            <w:r>
              <w:rPr>
                <w:sz w:val="4"/>
                <w:szCs w:val="4"/>
              </w:rPr>
            </w:r>
          </w:p>
        </w:tc>
        <w:tc>
          <w:tcPr>
            <w:tcW w:w="5024" w:type="dxa"/>
            <w:gridSpan w:val="2"/>
            <w:tcBorders/>
            <w:vAlign w:val="center"/>
          </w:tcPr>
          <w:p>
            <w:pPr>
              <w:pStyle w:val="TableContents"/>
              <w:bidi w:val="0"/>
              <w:spacing w:before="0" w:after="283"/>
              <w:jc w:val="left"/>
              <w:rPr>
                <w:sz w:val="4"/>
                <w:szCs w:val="4"/>
              </w:rPr>
            </w:pPr>
            <w:r>
              <w:rPr>
                <w:sz w:val="4"/>
                <w:szCs w:val="4"/>
              </w:rPr>
            </w:r>
          </w:p>
        </w:tc>
      </w:tr>
      <w:tr>
        <w:trPr/>
        <w:tc>
          <w:tcPr>
            <w:tcW w:w="5181" w:type="dxa"/>
            <w:tcBorders/>
          </w:tcPr>
          <w:p>
            <w:pPr>
              <w:pStyle w:val="TableContents"/>
              <w:bidi w:val="0"/>
              <w:spacing w:before="0" w:after="283"/>
              <w:jc w:val="left"/>
              <w:rPr/>
            </w:pPr>
            <w:r>
              <w:rPr/>
              <w:t>CUSIP / ISIN:</w:t>
            </w:r>
          </w:p>
        </w:tc>
        <w:tc>
          <w:tcPr>
            <w:tcW w:w="123"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left"/>
              <w:rPr/>
            </w:pPr>
            <w:r>
              <w:rPr/>
              <w:t>55261F823 / US55261F8234</w:t>
            </w:r>
          </w:p>
        </w:tc>
      </w:tr>
      <w:tr>
        <w:trPr>
          <w:trHeight w:val="120" w:hRule="atLeast"/>
        </w:trPr>
        <w:tc>
          <w:tcPr>
            <w:tcW w:w="5181" w:type="dxa"/>
            <w:tcBorders/>
            <w:vAlign w:val="center"/>
          </w:tcPr>
          <w:p>
            <w:pPr>
              <w:pStyle w:val="TableContents"/>
              <w:bidi w:val="0"/>
              <w:spacing w:before="0" w:after="283"/>
              <w:jc w:val="left"/>
              <w:rPr>
                <w:sz w:val="4"/>
                <w:szCs w:val="4"/>
              </w:rPr>
            </w:pPr>
            <w:r>
              <w:rPr>
                <w:sz w:val="4"/>
                <w:szCs w:val="4"/>
              </w:rPr>
            </w:r>
          </w:p>
        </w:tc>
        <w:tc>
          <w:tcPr>
            <w:tcW w:w="5024" w:type="dxa"/>
            <w:gridSpan w:val="2"/>
            <w:tcBorders/>
            <w:vAlign w:val="center"/>
          </w:tcPr>
          <w:p>
            <w:pPr>
              <w:pStyle w:val="TableContents"/>
              <w:bidi w:val="0"/>
              <w:spacing w:before="0" w:after="283"/>
              <w:jc w:val="left"/>
              <w:rPr>
                <w:sz w:val="4"/>
                <w:szCs w:val="4"/>
              </w:rPr>
            </w:pPr>
            <w:r>
              <w:rPr>
                <w:sz w:val="4"/>
                <w:szCs w:val="4"/>
              </w:rPr>
            </w:r>
          </w:p>
        </w:tc>
      </w:tr>
      <w:tr>
        <w:trPr/>
        <w:tc>
          <w:tcPr>
            <w:tcW w:w="5181" w:type="dxa"/>
            <w:tcBorders/>
          </w:tcPr>
          <w:p>
            <w:pPr>
              <w:pStyle w:val="TableContents"/>
              <w:bidi w:val="0"/>
              <w:spacing w:before="0" w:after="283"/>
              <w:jc w:val="left"/>
              <w:rPr/>
            </w:pPr>
            <w:r>
              <w:rPr/>
              <w:t>Joint Book-Running Managers:</w:t>
            </w:r>
          </w:p>
        </w:tc>
        <w:tc>
          <w:tcPr>
            <w:tcW w:w="123"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0"/>
              <w:jc w:val="left"/>
              <w:rPr>
                <w:rFonts w:ascii="Times New Roman" w:hAnsi="Times New Roman"/>
                <w:sz w:val="20"/>
              </w:rPr>
            </w:pPr>
            <w:r>
              <w:rPr>
                <w:rFonts w:ascii="Times New Roman" w:hAnsi="Times New Roman"/>
                <w:sz w:val="20"/>
              </w:rPr>
              <w:t>M&amp;T Securities, Inc.</w:t>
            </w:r>
          </w:p>
          <w:p>
            <w:pPr>
              <w:pStyle w:val="TableContents"/>
              <w:bidi w:val="0"/>
              <w:spacing w:before="0" w:after="0"/>
              <w:jc w:val="left"/>
              <w:rPr>
                <w:rFonts w:ascii="Times New Roman" w:hAnsi="Times New Roman"/>
                <w:sz w:val="20"/>
              </w:rPr>
            </w:pPr>
            <w:r>
              <w:rPr>
                <w:rFonts w:ascii="Times New Roman" w:hAnsi="Times New Roman"/>
                <w:sz w:val="20"/>
              </w:rPr>
              <w:t>Raymond James &amp; Associates, Inc.</w:t>
            </w:r>
          </w:p>
          <w:p>
            <w:pPr>
              <w:pStyle w:val="TableContents"/>
              <w:bidi w:val="0"/>
              <w:spacing w:before="0" w:after="0"/>
              <w:jc w:val="left"/>
              <w:rPr>
                <w:rFonts w:ascii="Times New Roman" w:hAnsi="Times New Roman"/>
                <w:sz w:val="20"/>
              </w:rPr>
            </w:pPr>
            <w:r>
              <w:rPr>
                <w:rFonts w:ascii="Times New Roman" w:hAnsi="Times New Roman"/>
                <w:sz w:val="20"/>
              </w:rPr>
              <w:t>UBS Securities LLC</w:t>
            </w:r>
          </w:p>
          <w:p>
            <w:pPr>
              <w:pStyle w:val="TableContents"/>
              <w:bidi w:val="0"/>
              <w:spacing w:before="0" w:after="20"/>
              <w:jc w:val="left"/>
              <w:rPr>
                <w:rFonts w:ascii="Times New Roman" w:hAnsi="Times New Roman"/>
                <w:sz w:val="20"/>
              </w:rPr>
            </w:pPr>
            <w:r>
              <w:rPr>
                <w:rFonts w:ascii="Times New Roman" w:hAnsi="Times New Roman"/>
                <w:sz w:val="20"/>
              </w:rPr>
              <w:t>Wells Fargo Securities, LLC</w:t>
            </w:r>
          </w:p>
        </w:tc>
      </w:tr>
      <w:tr>
        <w:trPr>
          <w:trHeight w:val="120" w:hRule="atLeast"/>
        </w:trPr>
        <w:tc>
          <w:tcPr>
            <w:tcW w:w="5181" w:type="dxa"/>
            <w:tcBorders/>
            <w:vAlign w:val="center"/>
          </w:tcPr>
          <w:p>
            <w:pPr>
              <w:pStyle w:val="TableContents"/>
              <w:bidi w:val="0"/>
              <w:spacing w:before="0" w:after="283"/>
              <w:jc w:val="left"/>
              <w:rPr>
                <w:sz w:val="4"/>
                <w:szCs w:val="4"/>
              </w:rPr>
            </w:pPr>
            <w:r>
              <w:rPr>
                <w:sz w:val="4"/>
                <w:szCs w:val="4"/>
              </w:rPr>
            </w:r>
          </w:p>
        </w:tc>
        <w:tc>
          <w:tcPr>
            <w:tcW w:w="5024" w:type="dxa"/>
            <w:gridSpan w:val="2"/>
            <w:tcBorders/>
            <w:vAlign w:val="center"/>
          </w:tcPr>
          <w:p>
            <w:pPr>
              <w:pStyle w:val="TableContents"/>
              <w:bidi w:val="0"/>
              <w:spacing w:before="0" w:after="283"/>
              <w:jc w:val="left"/>
              <w:rPr>
                <w:sz w:val="4"/>
                <w:szCs w:val="4"/>
              </w:rPr>
            </w:pPr>
            <w:r>
              <w:rPr>
                <w:sz w:val="4"/>
                <w:szCs w:val="4"/>
              </w:rPr>
            </w:r>
          </w:p>
        </w:tc>
      </w:tr>
      <w:tr>
        <w:trPr/>
        <w:tc>
          <w:tcPr>
            <w:tcW w:w="5181" w:type="dxa"/>
            <w:tcBorders/>
          </w:tcPr>
          <w:p>
            <w:pPr>
              <w:pStyle w:val="TableContents"/>
              <w:bidi w:val="0"/>
              <w:spacing w:before="0" w:after="283"/>
              <w:jc w:val="left"/>
              <w:rPr/>
            </w:pPr>
            <w:r>
              <w:rPr/>
              <w:t>Co-Managers:</w:t>
            </w:r>
          </w:p>
        </w:tc>
        <w:tc>
          <w:tcPr>
            <w:tcW w:w="123"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0"/>
              <w:jc w:val="left"/>
              <w:rPr>
                <w:rFonts w:ascii="Times New Roman" w:hAnsi="Times New Roman"/>
                <w:sz w:val="20"/>
              </w:rPr>
            </w:pPr>
            <w:r>
              <w:rPr>
                <w:rFonts w:ascii="Times New Roman" w:hAnsi="Times New Roman"/>
                <w:sz w:val="20"/>
              </w:rPr>
              <w:t>Academy Securities, Inc.</w:t>
            </w:r>
          </w:p>
          <w:p>
            <w:pPr>
              <w:pStyle w:val="TableContents"/>
              <w:bidi w:val="0"/>
              <w:spacing w:before="0" w:after="0"/>
              <w:jc w:val="left"/>
              <w:rPr>
                <w:rFonts w:ascii="Times New Roman" w:hAnsi="Times New Roman"/>
                <w:sz w:val="20"/>
              </w:rPr>
            </w:pPr>
            <w:r>
              <w:rPr>
                <w:rFonts w:ascii="Times New Roman" w:hAnsi="Times New Roman"/>
                <w:sz w:val="20"/>
              </w:rPr>
              <w:t>Loop Capital Markets LLC</w:t>
            </w:r>
          </w:p>
          <w:p>
            <w:pPr>
              <w:pStyle w:val="TableContents"/>
              <w:bidi w:val="0"/>
              <w:spacing w:before="0" w:after="20"/>
              <w:jc w:val="left"/>
              <w:rPr>
                <w:rFonts w:ascii="Times New Roman" w:hAnsi="Times New Roman"/>
                <w:sz w:val="20"/>
              </w:rPr>
            </w:pPr>
            <w:r>
              <w:rPr>
                <w:rFonts w:ascii="Times New Roman" w:hAnsi="Times New Roman"/>
                <w:sz w:val="20"/>
              </w:rPr>
              <w:t>TD Securities (USA) LLC</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Depositary Shares are not deposits or other obligations of a bank and are not insured or guaranteed by the Federal Deposit Insurance Corporation or any other governmental agency.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security ratings above are not a recommendation to buy, sell or hold the Securities. The ratings may be subject to revision or withdrawal at any time. Each of the security ratings above should be evaluated independently of any other security rating.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Rule 15c6-1 of the Securities Exchange Act of 1934, as amended, trades in the secondary market generally are required to settle in one business day, unless the parties to the trade expressly agree otherwise. Accordingly, purchasers who wish to trade the Depositary Shares prior to one business day before the Settlement Date will be required, by virtue of the fact that the Depositary Shares initially will settle in T+3, to specify an alternate settlement cycle at the time of any such trade to prevent a failed settlement and should consult their own advisors.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Issuer has filed a registration statement (including a base prospectus), with the SEC for the offering to which this communication relates. Before you invest, you should read the preliminary prospectus supplement and accompanying base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or emailing BofA Securities, Inc. toll-free at +1-800-294-1322 (or by email at </w:t>
      </w:r>
      <w:r>
        <w:rPr>
          <w:rFonts w:ascii="Times New Roman" w:hAnsi="Times New Roman"/>
          <w:b/>
          <w:sz w:val="20"/>
          <w:u w:val="single"/>
        </w:rPr>
        <w:t>dg.prospectus_requests@bofa.com</w:t>
      </w:r>
      <w:r>
        <w:rPr>
          <w:rFonts w:ascii="Times New Roman" w:hAnsi="Times New Roman"/>
          <w:b/>
          <w:sz w:val="20"/>
        </w:rPr>
        <w:t xml:space="preserve">), J.P. Morgan Securities LLC collect at +1-212-834-4533, Morgan Stanley &amp; Co. LLC at +1-866-718-1649, Raymond James &amp; Associates, Inc. toll-free at +1-800-248-8863, UBS Securities LLC toll-free at +1-833-481-0269, or Wells Fargo Securities, LLC at +1-800-645-3751. </w:t>
      </w:r>
    </w:p>
    <w:p>
      <w:pPr>
        <w:pStyle w:val="TextBody"/>
        <w:bidi w:val="0"/>
        <w:spacing w:before="240" w:after="0"/>
        <w:jc w:val="left"/>
        <w:rPr>
          <w:rFonts w:ascii="Times New Roman" w:hAnsi="Times New Roman"/>
          <w:b/>
          <w:sz w:val="20"/>
        </w:rPr>
      </w:pPr>
      <w:r>
        <w:rPr>
          <w:rFonts w:ascii="Times New Roman" w:hAnsi="Times New Roman"/>
          <w:b/>
          <w:sz w:val="20"/>
        </w:rPr>
        <w:t xml:space="preserve">Any disclaimer or other notice that may appear below is not applicable to this communication and should be disregarded. Such disclaimer or notice was automatically generated as a result of this communication being sent by Bloomberg or another email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733</Words>
  <Characters>4116</Characters>
  <CharactersWithSpaces>4844</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