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182880</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98425</wp:posOffset>
            </wp:positionV>
            <wp:extent cx="145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130175</wp:posOffset>
            </wp:positionV>
            <wp:extent cx="1456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8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2019</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107315</wp:posOffset>
            </wp:positionV>
            <wp:extent cx="145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103505</wp:posOffset>
            </wp:positionV>
            <wp:extent cx="1456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82" w:lineRule="exact"/>
        <w:rPr>
          <w:sz w:val="24"/>
          <w:szCs w:val="24"/>
          <w:color w:val="auto"/>
        </w:rPr>
      </w:pPr>
    </w:p>
    <w:tbl>
      <w:tblPr>
        <w:tblLayout w:type="fixed"/>
        <w:tblInd w:w="102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2380" w:type="dxa"/>
            <w:vAlign w:val="bottom"/>
            <w:gridSpan w:val="2"/>
          </w:tcPr>
          <w:p>
            <w:pPr>
              <w:jc w:val="center"/>
              <w:ind w:right="388"/>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20" w:type="dxa"/>
            <w:vAlign w:val="bottom"/>
          </w:tcPr>
          <w:p>
            <w:pPr>
              <w:jc w:val="right"/>
              <w:ind w:right="1343"/>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148"/>
        </w:trPr>
        <w:tc>
          <w:tcPr>
            <w:tcW w:w="320" w:type="dxa"/>
            <w:vAlign w:val="bottom"/>
          </w:tcPr>
          <w:p>
            <w:pPr>
              <w:spacing w:after="0"/>
              <w:rPr>
                <w:sz w:val="12"/>
                <w:szCs w:val="12"/>
                <w:color w:val="auto"/>
              </w:rPr>
            </w:pPr>
          </w:p>
        </w:tc>
        <w:tc>
          <w:tcPr>
            <w:tcW w:w="2380" w:type="dxa"/>
            <w:vAlign w:val="bottom"/>
            <w:gridSpan w:val="2"/>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20" w:type="dxa"/>
            <w:vAlign w:val="bottom"/>
          </w:tcPr>
          <w:p>
            <w:pPr>
              <w:jc w:val="center"/>
              <w:ind w:right="82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 w:type="dxa"/>
            <w:vAlign w:val="bottom"/>
          </w:tcPr>
          <w:p>
            <w:pPr>
              <w:spacing w:after="0"/>
              <w:rPr>
                <w:sz w:val="16"/>
                <w:szCs w:val="16"/>
                <w:color w:val="auto"/>
              </w:rPr>
            </w:pPr>
          </w:p>
        </w:tc>
        <w:tc>
          <w:tcPr>
            <w:tcW w:w="2380" w:type="dxa"/>
            <w:vAlign w:val="bottom"/>
            <w:gridSpan w:val="2"/>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20" w:type="dxa"/>
            <w:vAlign w:val="bottom"/>
          </w:tcPr>
          <w:p>
            <w:pPr>
              <w:jc w:val="center"/>
              <w:ind w:right="82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20" w:type="dxa"/>
            <w:vAlign w:val="bottom"/>
          </w:tcPr>
          <w:p>
            <w:pPr>
              <w:spacing w:after="0"/>
              <w:rPr>
                <w:sz w:val="24"/>
                <w:szCs w:val="24"/>
                <w:color w:val="auto"/>
              </w:rPr>
            </w:pPr>
          </w:p>
        </w:tc>
        <w:tc>
          <w:tcPr>
            <w:tcW w:w="2380" w:type="dxa"/>
            <w:vAlign w:val="bottom"/>
            <w:gridSpan w:val="2"/>
          </w:tcPr>
          <w:p>
            <w:pPr>
              <w:jc w:val="center"/>
              <w:ind w:right="388"/>
              <w:spacing w:after="0"/>
              <w:rPr>
                <w:sz w:val="20"/>
                <w:szCs w:val="20"/>
                <w:color w:val="auto"/>
              </w:rPr>
            </w:pPr>
            <w:r>
              <w:rPr>
                <w:rFonts w:ascii="Times New Roman" w:cs="Times New Roman" w:eastAsia="Times New Roman" w:hAnsi="Times New Roman"/>
                <w:sz w:val="18"/>
                <w:szCs w:val="18"/>
                <w:b w:val="1"/>
                <w:bCs w:val="1"/>
                <w:color w:val="auto"/>
                <w:w w:val="99"/>
              </w:rPr>
              <w:t>One M &amp; T Plaza</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13"/>
        </w:trPr>
        <w:tc>
          <w:tcPr>
            <w:tcW w:w="320" w:type="dxa"/>
            <w:vAlign w:val="bottom"/>
          </w:tcPr>
          <w:p>
            <w:pPr>
              <w:spacing w:after="0"/>
              <w:rPr>
                <w:sz w:val="18"/>
                <w:szCs w:val="18"/>
                <w:color w:val="auto"/>
              </w:rPr>
            </w:pPr>
          </w:p>
        </w:tc>
        <w:tc>
          <w:tcPr>
            <w:tcW w:w="2380" w:type="dxa"/>
            <w:vAlign w:val="bottom"/>
            <w:gridSpan w:val="2"/>
          </w:tcPr>
          <w:p>
            <w:pPr>
              <w:jc w:val="center"/>
              <w:ind w:right="408"/>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20" w:type="dxa"/>
            <w:vAlign w:val="bottom"/>
          </w:tcPr>
          <w:p>
            <w:pPr>
              <w:jc w:val="right"/>
              <w:ind w:right="1563"/>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190"/>
        </w:trPr>
        <w:tc>
          <w:tcPr>
            <w:tcW w:w="270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20" w:type="dxa"/>
            <w:vAlign w:val="bottom"/>
          </w:tcPr>
          <w:p>
            <w:pPr>
              <w:jc w:val="center"/>
              <w:ind w:right="82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6"/>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820" w:type="dxa"/>
            <w:vAlign w:val="bottom"/>
          </w:tcPr>
          <w:p>
            <w:pPr>
              <w:spacing w:after="0"/>
              <w:rPr>
                <w:sz w:val="22"/>
                <w:szCs w:val="22"/>
                <w:color w:val="auto"/>
              </w:rPr>
            </w:pPr>
          </w:p>
        </w:tc>
      </w:tr>
      <w:tr>
        <w:trPr>
          <w:trHeight w:val="253"/>
        </w:trPr>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(716) 635-4000</w:t>
            </w:r>
          </w:p>
        </w:tc>
        <w:tc>
          <w:tcPr>
            <w:tcW w:w="2820" w:type="dxa"/>
            <w:vAlign w:val="bottom"/>
          </w:tcPr>
          <w:p>
            <w:pPr>
              <w:spacing w:after="0"/>
              <w:rPr>
                <w:sz w:val="21"/>
                <w:szCs w:val="21"/>
                <w:color w:val="auto"/>
              </w:rPr>
            </w:pPr>
          </w:p>
        </w:tc>
      </w:tr>
      <w:tr>
        <w:trPr>
          <w:trHeight w:val="219"/>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9"/>
                <w:szCs w:val="19"/>
                <w:color w:val="auto"/>
              </w:rPr>
            </w:pPr>
          </w:p>
        </w:tc>
      </w:tr>
      <w:tr>
        <w:trPr>
          <w:trHeight w:val="226"/>
        </w:trPr>
        <w:tc>
          <w:tcPr>
            <w:tcW w:w="32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9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$.50 par</w:t>
            </w: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value</w:t>
            </w:r>
          </w:p>
        </w:tc>
        <w:tc>
          <w:tcPr>
            <w:tcW w:w="1480" w:type="dxa"/>
            <w:vAlign w:val="bottom"/>
          </w:tcPr>
          <w:p>
            <w:pPr>
              <w:spacing w:after="0"/>
              <w:rPr>
                <w:sz w:val="15"/>
                <w:szCs w:val="15"/>
                <w:color w:val="auto"/>
              </w:rPr>
            </w:pPr>
          </w:p>
        </w:tc>
        <w:tc>
          <w:tcPr>
            <w:tcW w:w="298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color w:val="auto"/>
                <w:w w:val="98"/>
              </w:rPr>
              <w:t>MTB</w:t>
            </w:r>
          </w:p>
        </w:tc>
        <w:tc>
          <w:tcPr>
            <w:tcW w:w="2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266065</wp:posOffset>
            </wp:positionV>
            <wp:extent cx="1456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6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161" w:lineRule="exact"/>
        <w:tabs>
          <w:tab w:leader="none" w:pos="67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the registrant's Common Stock, $0.50 par value, outstanding as of the close of business on October 31, 2019: 131,960,084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336550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13"/>
          </w:tcPr>
          <w:p>
            <w:pPr>
              <w:jc w:val="center"/>
              <w:ind w:right="4200"/>
              <w:spacing w:after="0"/>
              <w:rPr>
                <w:sz w:val="20"/>
                <w:szCs w:val="20"/>
                <w:color w:val="auto"/>
              </w:rPr>
            </w:pPr>
            <w:r>
              <w:rPr>
                <w:rFonts w:ascii="Times New Roman" w:cs="Times New Roman" w:eastAsia="Times New Roman" w:hAnsi="Times New Roman"/>
                <w:sz w:val="18"/>
                <w:szCs w:val="18"/>
                <w:color w:val="auto"/>
                <w:w w:val="98"/>
              </w:rPr>
              <w:t>M&amp;T BANK CORPORATION</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660" w:type="dxa"/>
            <w:vAlign w:val="bottom"/>
            <w:tcBorders>
              <w:top w:val="single" w:sz="8" w:color="auto"/>
            </w:tcBorders>
          </w:tcPr>
          <w:p>
            <w:pPr>
              <w:spacing w:after="0"/>
              <w:rPr>
                <w:sz w:val="24"/>
                <w:szCs w:val="24"/>
                <w:color w:val="auto"/>
              </w:rPr>
            </w:pPr>
          </w:p>
        </w:tc>
        <w:tc>
          <w:tcPr>
            <w:tcW w:w="42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16"/>
          </w:tcPr>
          <w:p>
            <w:pPr>
              <w:jc w:val="center"/>
              <w:ind w:right="3400"/>
              <w:spacing w:after="0"/>
              <w:rPr>
                <w:sz w:val="20"/>
                <w:szCs w:val="20"/>
                <w:color w:val="auto"/>
              </w:rPr>
            </w:pPr>
            <w:r>
              <w:rPr>
                <w:rFonts w:ascii="Times New Roman" w:cs="Times New Roman" w:eastAsia="Times New Roman" w:hAnsi="Times New Roman"/>
                <w:sz w:val="18"/>
                <w:szCs w:val="18"/>
                <w:color w:val="auto"/>
              </w:rPr>
              <w:t>For the Quarterly Period Ended September 30, 2019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3760" w:type="dxa"/>
            <w:vAlign w:val="bottom"/>
            <w:tcBorders>
              <w:top w:val="single" w:sz="8" w:color="auto"/>
            </w:tcBorders>
            <w:gridSpan w:val="9"/>
          </w:tcPr>
          <w:p>
            <w:pPr>
              <w:spacing w:after="0"/>
              <w:rPr>
                <w:sz w:val="24"/>
                <w:szCs w:val="24"/>
                <w:color w:val="auto"/>
              </w:rPr>
            </w:pPr>
          </w:p>
        </w:tc>
        <w:tc>
          <w:tcPr>
            <w:tcW w:w="34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gridSpan w:val="14"/>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724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800" w:type="dxa"/>
            <w:vAlign w:val="bottom"/>
            <w:gridSpan w:val="14"/>
            <w:vMerge w:val="continue"/>
          </w:tcPr>
          <w:p>
            <w:pPr>
              <w:spacing w:after="0"/>
              <w:rPr>
                <w:sz w:val="24"/>
                <w:szCs w:val="24"/>
                <w:color w:val="auto"/>
              </w:rPr>
            </w:pPr>
          </w:p>
        </w:tc>
        <w:tc>
          <w:tcPr>
            <w:tcW w:w="724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8200" w:type="dxa"/>
            <w:vAlign w:val="bottom"/>
            <w:gridSpan w:val="1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 – September 30, 2019 and December 31, 2018</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 OF INCOME – Three and nine months ended September 30, 2019 and 2018</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 OF COMPREHENSIVE INCOME – Three and nine months ended September 30, 2019 and 2018</w:t>
              </w:r>
            </w:hyperlink>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 OF CASH FLOWS – Nine months ended September 30, 2019 and 2018</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 OF CHANGES IN SHAREHOLDERS' EQUITY – Three and nine months ended September 30,</w:t>
              </w:r>
            </w:hyperlink>
          </w:p>
        </w:tc>
        <w:tc>
          <w:tcPr>
            <w:tcW w:w="3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2019 and 2018</w:t>
              </w:r>
            </w:hyperlink>
          </w:p>
        </w:tc>
        <w:tc>
          <w:tcPr>
            <w:tcW w:w="846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FINANCIAL STATEMENTS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648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Quantitative and Qualitative Disclosures About Market Risk.</w:t>
              </w:r>
            </w:hyperlink>
          </w:p>
        </w:tc>
        <w:tc>
          <w:tcPr>
            <w:tcW w:w="32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440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Controls and Procedures.</w:t>
              </w:r>
            </w:hyperlink>
          </w:p>
        </w:tc>
        <w:tc>
          <w:tcPr>
            <w:tcW w:w="536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40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91">
              <w:r>
                <w:rPr>
                  <w:rFonts w:ascii="Times New Roman" w:cs="Times New Roman" w:eastAsia="Times New Roman" w:hAnsi="Times New Roman"/>
                  <w:sz w:val="18"/>
                  <w:szCs w:val="18"/>
                  <w:color w:val="0000EE"/>
                  <w:w w:val="98"/>
                </w:rPr>
                <w:t>Part II. OTHER INFORMATION</w:t>
              </w:r>
            </w:hyperlink>
          </w:p>
        </w:tc>
        <w:tc>
          <w:tcPr>
            <w:tcW w:w="8600" w:type="dxa"/>
            <w:vAlign w:val="bottom"/>
            <w:gridSpan w:val="24"/>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Risk Factors</w:t>
              </w:r>
            </w:hyperlink>
          </w:p>
        </w:tc>
        <w:tc>
          <w:tcPr>
            <w:tcW w:w="460" w:type="dxa"/>
            <w:vAlign w:val="bottom"/>
            <w:tcBorders>
              <w:top w:val="single" w:sz="8" w:color="0000EE"/>
            </w:tcBorders>
            <w:gridSpan w:val="4"/>
          </w:tcPr>
          <w:p>
            <w:pPr>
              <w:spacing w:after="0"/>
              <w:rPr>
                <w:sz w:val="24"/>
                <w:szCs w:val="24"/>
                <w:color w:val="auto"/>
              </w:rPr>
            </w:pPr>
          </w:p>
        </w:tc>
        <w:tc>
          <w:tcPr>
            <w:tcW w:w="838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Unregistered Sales of Equity Securities and Use of Proceeds</w:t>
              </w:r>
            </w:hyperlink>
          </w:p>
        </w:tc>
        <w:tc>
          <w:tcPr>
            <w:tcW w:w="540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Defaults Upon Senior Securities.</w:t>
              </w:r>
            </w:hyperlink>
          </w:p>
        </w:tc>
        <w:tc>
          <w:tcPr>
            <w:tcW w:w="738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18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Other Information.</w:t>
              </w:r>
            </w:hyperlink>
          </w:p>
        </w:tc>
        <w:tc>
          <w:tcPr>
            <w:tcW w:w="79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13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Exhibits.</w:t>
              </w:r>
            </w:hyperlink>
          </w:p>
        </w:tc>
        <w:tc>
          <w:tcPr>
            <w:tcW w:w="840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17"/>
        </w:trPr>
        <w:tc>
          <w:tcPr>
            <w:tcW w:w="1280" w:type="dxa"/>
            <w:vAlign w:val="bottom"/>
            <w:gridSpan w:val="2"/>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789"/>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19"/>
          </w:tcPr>
          <w:p>
            <w:pPr>
              <w:jc w:val="center"/>
              <w:ind w:left="3870"/>
              <w:spacing w:after="0"/>
              <w:rPr>
                <w:sz w:val="20"/>
                <w:szCs w:val="20"/>
                <w:color w:val="auto"/>
              </w:rPr>
            </w:pPr>
            <w:r>
              <w:rPr>
                <w:rFonts w:ascii="Times New Roman" w:cs="Times New Roman" w:eastAsia="Times New Roman" w:hAnsi="Times New Roman"/>
                <w:sz w:val="18"/>
                <w:szCs w:val="18"/>
                <w:color w:val="auto"/>
                <w:w w:val="99"/>
              </w:rPr>
              <w:t>- 2 -</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09"/>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Cash and due from banks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1,818,861</w:t>
            </w:r>
          </w:p>
        </w:tc>
        <w:tc>
          <w:tcPr>
            <w:tcW w:w="460" w:type="dxa"/>
            <w:vAlign w:val="bottom"/>
          </w:tcPr>
          <w:p>
            <w:pPr>
              <w:spacing w:after="0"/>
              <w:rPr>
                <w:sz w:val="15"/>
                <w:szCs w:val="15"/>
                <w:color w:val="auto"/>
              </w:rPr>
            </w:pP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1,605,439</w:t>
            </w:r>
          </w:p>
        </w:tc>
        <w:tc>
          <w:tcPr>
            <w:tcW w:w="100" w:type="dxa"/>
            <w:vAlign w:val="bottom"/>
          </w:tcPr>
          <w:p>
            <w:pPr>
              <w:spacing w:after="0"/>
              <w:rPr>
                <w:sz w:val="15"/>
                <w:szCs w:val="15"/>
                <w:color w:val="auto"/>
              </w:rPr>
            </w:pP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Interest-bearing deposits at banks</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12,495,524</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8,105,197</w:t>
            </w:r>
          </w:p>
        </w:tc>
        <w:tc>
          <w:tcPr>
            <w:tcW w:w="100" w:type="dxa"/>
            <w:vAlign w:val="bottom"/>
            <w:shd w:val="clear" w:color="auto" w:fill="CFF0FC"/>
          </w:tcPr>
          <w:p>
            <w:pPr>
              <w:spacing w:after="0"/>
              <w:rPr>
                <w:sz w:val="15"/>
                <w:szCs w:val="15"/>
                <w:color w:val="auto"/>
              </w:rPr>
            </w:pPr>
          </w:p>
        </w:tc>
      </w:tr>
      <w:tr>
        <w:trPr>
          <w:trHeight w:val="175"/>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Federal funds sold</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Trading account</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614,256</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185,584</w:t>
            </w:r>
          </w:p>
        </w:tc>
        <w:tc>
          <w:tcPr>
            <w:tcW w:w="100" w:type="dxa"/>
            <w:vAlign w:val="bottom"/>
            <w:shd w:val="clear" w:color="auto" w:fill="CFF0FC"/>
          </w:tcPr>
          <w:p>
            <w:pPr>
              <w:spacing w:after="0"/>
              <w:rPr>
                <w:sz w:val="15"/>
                <w:szCs w:val="15"/>
                <w:color w:val="auto"/>
              </w:rPr>
            </w:pPr>
          </w:p>
        </w:tc>
      </w:tr>
      <w:tr>
        <w:trPr>
          <w:trHeight w:val="158"/>
        </w:trPr>
        <w:tc>
          <w:tcPr>
            <w:tcW w:w="800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Investment securities (includes pledged securities that can be sold or repledged of</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$196,419 at September 30, 2019; $487,365 at December 31, 2018)</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8000" w:type="dxa"/>
            <w:vAlign w:val="bottom"/>
            <w:shd w:val="clear" w:color="auto" w:fill="CFF0FC"/>
          </w:tcPr>
          <w:p>
            <w:pPr>
              <w:ind w:left="260"/>
              <w:spacing w:after="0" w:line="158" w:lineRule="exact"/>
              <w:rPr>
                <w:sz w:val="20"/>
                <w:szCs w:val="20"/>
                <w:color w:val="auto"/>
              </w:rPr>
            </w:pPr>
            <w:r>
              <w:rPr>
                <w:rFonts w:ascii="Times New Roman" w:cs="Times New Roman" w:eastAsia="Times New Roman" w:hAnsi="Times New Roman"/>
                <w:sz w:val="15"/>
                <w:szCs w:val="15"/>
                <w:color w:val="auto"/>
              </w:rPr>
              <w:t>Available for sale (cost: $6,934,709 at September 30, 2019;</w:t>
            </w:r>
          </w:p>
        </w:tc>
        <w:tc>
          <w:tcPr>
            <w:tcW w:w="1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8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$8,869,423 at December 31, 2018)</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6,985,417</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8,682,509</w:t>
            </w:r>
          </w:p>
        </w:tc>
        <w:tc>
          <w:tcPr>
            <w:tcW w:w="100" w:type="dxa"/>
            <w:vAlign w:val="bottom"/>
            <w:shd w:val="clear" w:color="auto" w:fill="CFF0FC"/>
          </w:tcPr>
          <w:p>
            <w:pPr>
              <w:spacing w:after="0"/>
              <w:rPr>
                <w:sz w:val="15"/>
                <w:szCs w:val="15"/>
                <w:color w:val="auto"/>
              </w:rPr>
            </w:pPr>
          </w:p>
        </w:tc>
      </w:tr>
      <w:tr>
        <w:trPr>
          <w:trHeight w:val="158"/>
        </w:trPr>
        <w:tc>
          <w:tcPr>
            <w:tcW w:w="8000" w:type="dxa"/>
            <w:vAlign w:val="bottom"/>
          </w:tcPr>
          <w:p>
            <w:pPr>
              <w:ind w:left="260"/>
              <w:spacing w:after="0" w:line="158" w:lineRule="exact"/>
              <w:rPr>
                <w:sz w:val="20"/>
                <w:szCs w:val="20"/>
                <w:color w:val="auto"/>
              </w:rPr>
            </w:pPr>
            <w:r>
              <w:rPr>
                <w:rFonts w:ascii="Times New Roman" w:cs="Times New Roman" w:eastAsia="Times New Roman" w:hAnsi="Times New Roman"/>
                <w:sz w:val="15"/>
                <w:szCs w:val="15"/>
                <w:color w:val="auto"/>
              </w:rPr>
              <w:t>Held to maturity (fair value: $3,075,304 at September 30, 2019;</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8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$3,255,483 at December 31, 2018)</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3,031,299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3,316,640</w:t>
            </w:r>
          </w:p>
        </w:tc>
        <w:tc>
          <w:tcPr>
            <w:tcW w:w="100" w:type="dxa"/>
            <w:vAlign w:val="bottom"/>
          </w:tcPr>
          <w:p>
            <w:pPr>
              <w:spacing w:after="0"/>
              <w:rPr>
                <w:sz w:val="15"/>
                <w:szCs w:val="15"/>
                <w:color w:val="auto"/>
              </w:rPr>
            </w:pPr>
          </w:p>
        </w:tc>
      </w:tr>
      <w:tr>
        <w:trPr>
          <w:trHeight w:val="158"/>
        </w:trPr>
        <w:tc>
          <w:tcPr>
            <w:tcW w:w="8000" w:type="dxa"/>
            <w:vAlign w:val="bottom"/>
            <w:shd w:val="clear" w:color="auto" w:fill="CFF0FC"/>
          </w:tcPr>
          <w:p>
            <w:pPr>
              <w:ind w:left="260"/>
              <w:spacing w:after="0" w:line="158" w:lineRule="exact"/>
              <w:rPr>
                <w:sz w:val="20"/>
                <w:szCs w:val="20"/>
                <w:color w:val="auto"/>
              </w:rPr>
            </w:pPr>
            <w:r>
              <w:rPr>
                <w:rFonts w:ascii="Times New Roman" w:cs="Times New Roman" w:eastAsia="Times New Roman" w:hAnsi="Times New Roman"/>
                <w:sz w:val="15"/>
                <w:szCs w:val="15"/>
                <w:color w:val="auto"/>
              </w:rPr>
              <w:t>Equity and other securities (cost: $619,894 at September 30, 2019;</w:t>
            </w:r>
          </w:p>
        </w:tc>
        <w:tc>
          <w:tcPr>
            <w:tcW w:w="1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8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$677,187 at December 31, 2018)</w:t>
            </w:r>
          </w:p>
        </w:tc>
        <w:tc>
          <w:tcPr>
            <w:tcW w:w="1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660,867</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693,664</w:t>
            </w:r>
          </w:p>
        </w:tc>
        <w:tc>
          <w:tcPr>
            <w:tcW w:w="100" w:type="dxa"/>
            <w:vAlign w:val="bottom"/>
            <w:shd w:val="clear" w:color="auto" w:fill="CFF0FC"/>
          </w:tcPr>
          <w:p>
            <w:pPr>
              <w:spacing w:after="0"/>
              <w:rPr>
                <w:sz w:val="15"/>
                <w:szCs w:val="15"/>
                <w:color w:val="auto"/>
              </w:rPr>
            </w:pPr>
          </w:p>
        </w:tc>
      </w:tr>
      <w:tr>
        <w:trPr>
          <w:trHeight w:val="169"/>
        </w:trPr>
        <w:tc>
          <w:tcPr>
            <w:tcW w:w="800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securities</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10,677,583</w:t>
            </w:r>
          </w:p>
        </w:tc>
        <w:tc>
          <w:tcPr>
            <w:tcW w:w="4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12,692,813</w:t>
            </w:r>
          </w:p>
        </w:tc>
        <w:tc>
          <w:tcPr>
            <w:tcW w:w="100" w:type="dxa"/>
            <w:vAlign w:val="bottom"/>
            <w:tcBorders>
              <w:bottom w:val="single" w:sz="8" w:color="CFF0FC"/>
            </w:tcBorders>
          </w:tcPr>
          <w:p>
            <w:pPr>
              <w:spacing w:after="0"/>
              <w:rPr>
                <w:sz w:val="14"/>
                <w:szCs w:val="14"/>
                <w:color w:val="auto"/>
              </w:rPr>
            </w:pPr>
          </w:p>
        </w:tc>
      </w:tr>
      <w:tr>
        <w:trPr>
          <w:trHeight w:val="169"/>
        </w:trPr>
        <w:tc>
          <w:tcPr>
            <w:tcW w:w="80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Loans and leases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90,084,230</w:t>
            </w: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88,733,492</w:t>
            </w:r>
          </w:p>
        </w:tc>
        <w:tc>
          <w:tcPr>
            <w:tcW w:w="100" w:type="dxa"/>
            <w:vAlign w:val="bottom"/>
            <w:shd w:val="clear" w:color="auto" w:fill="CFF0FC"/>
          </w:tcPr>
          <w:p>
            <w:pPr>
              <w:spacing w:after="0"/>
              <w:rPr>
                <w:sz w:val="14"/>
                <w:szCs w:val="14"/>
                <w:color w:val="auto"/>
              </w:rPr>
            </w:pPr>
          </w:p>
        </w:tc>
      </w:tr>
      <w:tr>
        <w:trPr>
          <w:trHeight w:val="175"/>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Unearned discount</w:t>
            </w:r>
          </w:p>
        </w:tc>
        <w:tc>
          <w:tcPr>
            <w:tcW w:w="160" w:type="dxa"/>
            <w:vAlign w:val="bottom"/>
          </w:tcPr>
          <w:p>
            <w:pPr>
              <w:spacing w:after="0"/>
              <w:rPr>
                <w:sz w:val="15"/>
                <w:szCs w:val="15"/>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(261,037)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(267,015)</w:t>
            </w:r>
          </w:p>
        </w:tc>
      </w:tr>
      <w:tr>
        <w:trPr>
          <w:trHeight w:val="169"/>
        </w:trPr>
        <w:tc>
          <w:tcPr>
            <w:tcW w:w="8000" w:type="dxa"/>
            <w:vAlign w:val="bottom"/>
            <w:tcBorders>
              <w:top w:val="single" w:sz="8" w:color="CFF0FC"/>
            </w:tcBorders>
            <w:shd w:val="clear" w:color="auto" w:fill="CFF0FC"/>
          </w:tcPr>
          <w:p>
            <w:pPr>
              <w:ind w:left="380"/>
              <w:spacing w:after="0" w:line="169" w:lineRule="exact"/>
              <w:rPr>
                <w:sz w:val="20"/>
                <w:szCs w:val="20"/>
                <w:color w:val="auto"/>
              </w:rPr>
            </w:pPr>
            <w:r>
              <w:rPr>
                <w:rFonts w:ascii="Times New Roman" w:cs="Times New Roman" w:eastAsia="Times New Roman" w:hAnsi="Times New Roman"/>
                <w:sz w:val="15"/>
                <w:szCs w:val="15"/>
                <w:color w:val="auto"/>
              </w:rPr>
              <w:t>Loans and leases, net of unearned discount</w:t>
            </w:r>
          </w:p>
        </w:tc>
        <w:tc>
          <w:tcPr>
            <w:tcW w:w="16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89,823,193</w:t>
            </w:r>
          </w:p>
        </w:tc>
        <w:tc>
          <w:tcPr>
            <w:tcW w:w="4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88,466,477</w:t>
            </w: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60" w:type="dxa"/>
            <w:vAlign w:val="bottom"/>
          </w:tcPr>
          <w:p>
            <w:pPr>
              <w:spacing w:after="0"/>
              <w:rPr>
                <w:sz w:val="15"/>
                <w:szCs w:val="15"/>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(1,038,437)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(1,019,444)</w:t>
            </w:r>
          </w:p>
        </w:tc>
      </w:tr>
      <w:tr>
        <w:trPr>
          <w:trHeight w:val="169"/>
        </w:trPr>
        <w:tc>
          <w:tcPr>
            <w:tcW w:w="8000" w:type="dxa"/>
            <w:vAlign w:val="bottom"/>
            <w:tcBorders>
              <w:top w:val="single" w:sz="8" w:color="CFF0FC"/>
            </w:tcBorders>
            <w:shd w:val="clear" w:color="auto" w:fill="CFF0FC"/>
          </w:tcPr>
          <w:p>
            <w:pPr>
              <w:ind w:left="380"/>
              <w:spacing w:after="0" w:line="169" w:lineRule="exact"/>
              <w:rPr>
                <w:sz w:val="20"/>
                <w:szCs w:val="20"/>
                <w:color w:val="auto"/>
              </w:rPr>
            </w:pPr>
            <w:r>
              <w:rPr>
                <w:rFonts w:ascii="Times New Roman" w:cs="Times New Roman" w:eastAsia="Times New Roman" w:hAnsi="Times New Roman"/>
                <w:sz w:val="15"/>
                <w:szCs w:val="15"/>
                <w:color w:val="auto"/>
              </w:rPr>
              <w:t>Loans and leases, net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88,784,756</w:t>
            </w:r>
          </w:p>
        </w:tc>
        <w:tc>
          <w:tcPr>
            <w:tcW w:w="4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87,447,033</w:t>
            </w:r>
          </w:p>
        </w:tc>
        <w:tc>
          <w:tcPr>
            <w:tcW w:w="100" w:type="dxa"/>
            <w:vAlign w:val="bottom"/>
            <w:tcBorders>
              <w:top w:val="single" w:sz="8" w:color="CFF0FC"/>
            </w:tcBorders>
            <w:shd w:val="clear" w:color="auto" w:fill="CFF0FC"/>
          </w:tcPr>
          <w:p>
            <w:pPr>
              <w:spacing w:after="0"/>
              <w:rPr>
                <w:sz w:val="14"/>
                <w:szCs w:val="14"/>
                <w:color w:val="auto"/>
              </w:rPr>
            </w:pPr>
          </w:p>
        </w:tc>
      </w:tr>
      <w:tr>
        <w:trPr>
          <w:trHeight w:val="169"/>
        </w:trPr>
        <w:tc>
          <w:tcPr>
            <w:tcW w:w="80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Premises and equipment</w:t>
            </w:r>
          </w:p>
        </w:tc>
        <w:tc>
          <w:tcPr>
            <w:tcW w:w="16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1,074,181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647,408</w:t>
            </w:r>
          </w:p>
        </w:tc>
        <w:tc>
          <w:tcPr>
            <w:tcW w:w="100" w:type="dxa"/>
            <w:vAlign w:val="bottom"/>
          </w:tcPr>
          <w:p>
            <w:pPr>
              <w:spacing w:after="0"/>
              <w:rPr>
                <w:sz w:val="14"/>
                <w:szCs w:val="14"/>
                <w:color w:val="auto"/>
              </w:rPr>
            </w:pP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Goodwill</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100" w:type="dxa"/>
            <w:vAlign w:val="bottom"/>
            <w:shd w:val="clear" w:color="auto" w:fill="CFF0FC"/>
          </w:tcPr>
          <w:p>
            <w:pPr>
              <w:spacing w:after="0"/>
              <w:rPr>
                <w:sz w:val="15"/>
                <w:szCs w:val="15"/>
                <w:color w:val="auto"/>
              </w:rPr>
            </w:pPr>
          </w:p>
        </w:tc>
      </w:tr>
      <w:tr>
        <w:trPr>
          <w:trHeight w:val="175"/>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Core deposit and other intangible assets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33,339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47,067</w:t>
            </w:r>
          </w:p>
        </w:tc>
        <w:tc>
          <w:tcPr>
            <w:tcW w:w="100" w:type="dxa"/>
            <w:vAlign w:val="bottom"/>
          </w:tcPr>
          <w:p>
            <w:pPr>
              <w:spacing w:after="0"/>
              <w:rPr>
                <w:sz w:val="15"/>
                <w:szCs w:val="15"/>
                <w:color w:val="auto"/>
              </w:rPr>
            </w:pP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interest and other assets</w:t>
            </w:r>
          </w:p>
        </w:tc>
        <w:tc>
          <w:tcPr>
            <w:tcW w:w="1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5,409,114</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4,773,750</w:t>
            </w:r>
          </w:p>
        </w:tc>
        <w:tc>
          <w:tcPr>
            <w:tcW w:w="100" w:type="dxa"/>
            <w:vAlign w:val="bottom"/>
            <w:shd w:val="clear" w:color="auto" w:fill="CFF0FC"/>
          </w:tcPr>
          <w:p>
            <w:pPr>
              <w:spacing w:after="0"/>
              <w:rPr>
                <w:sz w:val="15"/>
                <w:szCs w:val="15"/>
                <w:color w:val="auto"/>
              </w:rPr>
            </w:pPr>
          </w:p>
        </w:tc>
      </w:tr>
      <w:tr>
        <w:trPr>
          <w:trHeight w:val="209"/>
        </w:trPr>
        <w:tc>
          <w:tcPr>
            <w:tcW w:w="800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125,500,926</w:t>
            </w:r>
          </w:p>
        </w:tc>
        <w:tc>
          <w:tcPr>
            <w:tcW w:w="4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120,097,403</w:t>
            </w:r>
          </w:p>
        </w:tc>
        <w:tc>
          <w:tcPr>
            <w:tcW w:w="100" w:type="dxa"/>
            <w:vAlign w:val="bottom"/>
            <w:tcBorders>
              <w:bottom w:val="single" w:sz="8" w:color="CFF0FC"/>
            </w:tcBorders>
          </w:tcPr>
          <w:p>
            <w:pPr>
              <w:spacing w:after="0"/>
              <w:rPr>
                <w:sz w:val="18"/>
                <w:szCs w:val="18"/>
                <w:color w:val="auto"/>
              </w:rPr>
            </w:pPr>
          </w:p>
        </w:tc>
      </w:tr>
      <w:tr>
        <w:trPr>
          <w:trHeight w:val="19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31,766,724</w:t>
            </w:r>
          </w:p>
        </w:tc>
        <w:tc>
          <w:tcPr>
            <w:tcW w:w="460" w:type="dxa"/>
            <w:vAlign w:val="bottom"/>
          </w:tcPr>
          <w:p>
            <w:pPr>
              <w:spacing w:after="0"/>
              <w:rPr>
                <w:sz w:val="15"/>
                <w:szCs w:val="15"/>
                <w:color w:val="auto"/>
              </w:rPr>
            </w:pP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32,256,668</w:t>
            </w:r>
          </w:p>
        </w:tc>
        <w:tc>
          <w:tcPr>
            <w:tcW w:w="100" w:type="dxa"/>
            <w:vAlign w:val="bottom"/>
          </w:tcPr>
          <w:p>
            <w:pPr>
              <w:spacing w:after="0"/>
              <w:rPr>
                <w:sz w:val="15"/>
                <w:szCs w:val="15"/>
                <w:color w:val="auto"/>
              </w:rPr>
            </w:pP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Savings and interest-checking deposits</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55,581,533</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50,963,744</w:t>
            </w:r>
          </w:p>
        </w:tc>
        <w:tc>
          <w:tcPr>
            <w:tcW w:w="100" w:type="dxa"/>
            <w:vAlign w:val="bottom"/>
            <w:shd w:val="clear" w:color="auto" w:fill="CFF0FC"/>
          </w:tcPr>
          <w:p>
            <w:pPr>
              <w:spacing w:after="0"/>
              <w:rPr>
                <w:sz w:val="15"/>
                <w:szCs w:val="15"/>
                <w:color w:val="auto"/>
              </w:rPr>
            </w:pPr>
          </w:p>
        </w:tc>
      </w:tr>
      <w:tr>
        <w:trPr>
          <w:trHeight w:val="175"/>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Time deposits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6,203,679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6,124,254</w:t>
            </w:r>
          </w:p>
        </w:tc>
        <w:tc>
          <w:tcPr>
            <w:tcW w:w="100" w:type="dxa"/>
            <w:vAlign w:val="bottom"/>
          </w:tcPr>
          <w:p>
            <w:pPr>
              <w:spacing w:after="0"/>
              <w:rPr>
                <w:sz w:val="15"/>
                <w:szCs w:val="15"/>
                <w:color w:val="auto"/>
              </w:rPr>
            </w:pP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Deposits at Cayman Islands office</w:t>
            </w:r>
          </w:p>
        </w:tc>
        <w:tc>
          <w:tcPr>
            <w:tcW w:w="1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1,561,997</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811,906</w:t>
            </w:r>
          </w:p>
        </w:tc>
        <w:tc>
          <w:tcPr>
            <w:tcW w:w="100" w:type="dxa"/>
            <w:vAlign w:val="bottom"/>
            <w:shd w:val="clear" w:color="auto" w:fill="CFF0FC"/>
          </w:tcPr>
          <w:p>
            <w:pPr>
              <w:spacing w:after="0"/>
              <w:rPr>
                <w:sz w:val="15"/>
                <w:szCs w:val="15"/>
                <w:color w:val="auto"/>
              </w:rPr>
            </w:pPr>
          </w:p>
        </w:tc>
      </w:tr>
      <w:tr>
        <w:trPr>
          <w:trHeight w:val="169"/>
        </w:trPr>
        <w:tc>
          <w:tcPr>
            <w:tcW w:w="800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deposits</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95,113,933</w:t>
            </w:r>
          </w:p>
        </w:tc>
        <w:tc>
          <w:tcPr>
            <w:tcW w:w="4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90,156,572</w:t>
            </w:r>
          </w:p>
        </w:tc>
        <w:tc>
          <w:tcPr>
            <w:tcW w:w="100" w:type="dxa"/>
            <w:vAlign w:val="bottom"/>
            <w:tcBorders>
              <w:bottom w:val="single" w:sz="8" w:color="CFF0FC"/>
            </w:tcBorders>
          </w:tcPr>
          <w:p>
            <w:pPr>
              <w:spacing w:after="0"/>
              <w:rPr>
                <w:sz w:val="14"/>
                <w:szCs w:val="14"/>
                <w:color w:val="auto"/>
              </w:rPr>
            </w:pPr>
          </w:p>
        </w:tc>
      </w:tr>
      <w:tr>
        <w:trPr>
          <w:trHeight w:val="169"/>
        </w:trPr>
        <w:tc>
          <w:tcPr>
            <w:tcW w:w="80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Short-term borrowings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5,513,896</w:t>
            </w: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4,398,378</w:t>
            </w:r>
          </w:p>
        </w:tc>
        <w:tc>
          <w:tcPr>
            <w:tcW w:w="100" w:type="dxa"/>
            <w:vAlign w:val="bottom"/>
            <w:shd w:val="clear" w:color="auto" w:fill="CFF0FC"/>
          </w:tcPr>
          <w:p>
            <w:pPr>
              <w:spacing w:after="0"/>
              <w:rPr>
                <w:sz w:val="14"/>
                <w:szCs w:val="14"/>
                <w:color w:val="auto"/>
              </w:rPr>
            </w:pPr>
          </w:p>
        </w:tc>
      </w:tr>
      <w:tr>
        <w:trPr>
          <w:trHeight w:val="175"/>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Accrued interest and other liabilities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2,090,762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1,637,348</w:t>
            </w:r>
          </w:p>
        </w:tc>
        <w:tc>
          <w:tcPr>
            <w:tcW w:w="100" w:type="dxa"/>
            <w:vAlign w:val="bottom"/>
          </w:tcPr>
          <w:p>
            <w:pPr>
              <w:spacing w:after="0"/>
              <w:rPr>
                <w:sz w:val="15"/>
                <w:szCs w:val="15"/>
                <w:color w:val="auto"/>
              </w:rPr>
            </w:pP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borrowings</w:t>
            </w:r>
          </w:p>
        </w:tc>
        <w:tc>
          <w:tcPr>
            <w:tcW w:w="1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7,002,524</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8,444,914</w:t>
            </w:r>
          </w:p>
        </w:tc>
        <w:tc>
          <w:tcPr>
            <w:tcW w:w="100" w:type="dxa"/>
            <w:vAlign w:val="bottom"/>
            <w:shd w:val="clear" w:color="auto" w:fill="CFF0FC"/>
          </w:tcPr>
          <w:p>
            <w:pPr>
              <w:spacing w:after="0"/>
              <w:rPr>
                <w:sz w:val="15"/>
                <w:szCs w:val="15"/>
                <w:color w:val="auto"/>
              </w:rPr>
            </w:pPr>
          </w:p>
        </w:tc>
      </w:tr>
      <w:tr>
        <w:trPr>
          <w:trHeight w:val="169"/>
        </w:trPr>
        <w:tc>
          <w:tcPr>
            <w:tcW w:w="800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109,721,115</w:t>
            </w:r>
          </w:p>
        </w:tc>
        <w:tc>
          <w:tcPr>
            <w:tcW w:w="4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104,637,212</w:t>
            </w:r>
          </w:p>
        </w:tc>
        <w:tc>
          <w:tcPr>
            <w:tcW w:w="100" w:type="dxa"/>
            <w:vAlign w:val="bottom"/>
            <w:tcBorders>
              <w:bottom w:val="single" w:sz="8" w:color="CFF0FC"/>
            </w:tcBorders>
          </w:tcPr>
          <w:p>
            <w:pPr>
              <w:spacing w:after="0"/>
              <w:rPr>
                <w:sz w:val="14"/>
                <w:szCs w:val="14"/>
                <w:color w:val="auto"/>
              </w:rPr>
            </w:pPr>
          </w:p>
        </w:tc>
      </w:tr>
      <w:tr>
        <w:trPr>
          <w:trHeight w:val="209"/>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58"/>
        </w:trPr>
        <w:tc>
          <w:tcPr>
            <w:tcW w:w="800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Preferred stock, $1.00 par, 1,000,000 shares authorized;</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0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Issued and outstanding: Liquidation preference of $1,000 per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0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share: 350,000 shares at September 30, 2019 and 731,500 shares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0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at December 31, 2018; Liquidation preference of $10,000 per share:</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90,000 shares at September 30, 2019 and 50,000 shares at December 31, 2018</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1,250,000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1,231,500</w:t>
            </w:r>
          </w:p>
        </w:tc>
        <w:tc>
          <w:tcPr>
            <w:tcW w:w="100" w:type="dxa"/>
            <w:vAlign w:val="bottom"/>
          </w:tcPr>
          <w:p>
            <w:pPr>
              <w:spacing w:after="0"/>
              <w:rPr>
                <w:sz w:val="15"/>
                <w:szCs w:val="15"/>
                <w:color w:val="auto"/>
              </w:rPr>
            </w:pPr>
          </w:p>
        </w:tc>
      </w:tr>
      <w:tr>
        <w:trPr>
          <w:trHeight w:val="158"/>
        </w:trPr>
        <w:tc>
          <w:tcPr>
            <w:tcW w:w="80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Common stock, $.50 par, 250,000,000 shares authorized,</w:t>
            </w:r>
          </w:p>
        </w:tc>
        <w:tc>
          <w:tcPr>
            <w:tcW w:w="1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0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159,741,898 shares issued at September 30, 2019;</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9"/>
        </w:trPr>
        <w:tc>
          <w:tcPr>
            <w:tcW w:w="8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159,765,044 shares issued at December 31, 2018</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79,871</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79,883</w:t>
            </w:r>
          </w:p>
        </w:tc>
        <w:tc>
          <w:tcPr>
            <w:tcW w:w="100" w:type="dxa"/>
            <w:vAlign w:val="bottom"/>
            <w:shd w:val="clear" w:color="auto" w:fill="CFF0FC"/>
          </w:tcPr>
          <w:p>
            <w:pPr>
              <w:spacing w:after="0"/>
              <w:rPr>
                <w:sz w:val="15"/>
                <w:szCs w:val="15"/>
                <w:color w:val="auto"/>
              </w:rPr>
            </w:pPr>
          </w:p>
        </w:tc>
      </w:tr>
      <w:tr>
        <w:trPr>
          <w:trHeight w:val="158"/>
        </w:trPr>
        <w:tc>
          <w:tcPr>
            <w:tcW w:w="800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Common stock issuable, 21,461 shares at September 30, 2019;</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24,563 shares at December 31, 2018</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1,726</w:t>
            </w:r>
          </w:p>
        </w:tc>
        <w:tc>
          <w:tcPr>
            <w:tcW w:w="100" w:type="dxa"/>
            <w:vAlign w:val="bottom"/>
          </w:tcPr>
          <w:p>
            <w:pPr>
              <w:spacing w:after="0"/>
              <w:rPr>
                <w:sz w:val="15"/>
                <w:szCs w:val="15"/>
                <w:color w:val="auto"/>
              </w:rPr>
            </w:pP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6,584,705</w:t>
            </w: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6,579,342</w:t>
            </w:r>
          </w:p>
        </w:tc>
        <w:tc>
          <w:tcPr>
            <w:tcW w:w="100" w:type="dxa"/>
            <w:vAlign w:val="bottom"/>
            <w:shd w:val="clear" w:color="auto" w:fill="CFF0FC"/>
          </w:tcPr>
          <w:p>
            <w:pPr>
              <w:spacing w:after="0"/>
              <w:rPr>
                <w:sz w:val="15"/>
                <w:szCs w:val="15"/>
                <w:color w:val="auto"/>
              </w:rPr>
            </w:pPr>
          </w:p>
        </w:tc>
      </w:tr>
      <w:tr>
        <w:trPr>
          <w:trHeight w:val="175"/>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12,490,233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11,516,672</w:t>
            </w:r>
          </w:p>
        </w:tc>
        <w:tc>
          <w:tcPr>
            <w:tcW w:w="100" w:type="dxa"/>
            <w:vAlign w:val="bottom"/>
          </w:tcPr>
          <w:p>
            <w:pPr>
              <w:spacing w:after="0"/>
              <w:rPr>
                <w:sz w:val="15"/>
                <w:szCs w:val="15"/>
                <w:color w:val="auto"/>
              </w:rPr>
            </w:pPr>
          </w:p>
        </w:tc>
      </w:tr>
      <w:tr>
        <w:trPr>
          <w:trHeight w:val="175"/>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Accumulated other comprehensive income (loss), net</w:t>
            </w:r>
          </w:p>
        </w:tc>
        <w:tc>
          <w:tcPr>
            <w:tcW w:w="16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5"/>
                <w:szCs w:val="15"/>
                <w:color w:val="auto"/>
              </w:rPr>
              <w:t>(80,308)</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(420,081)</w:t>
            </w:r>
          </w:p>
        </w:tc>
      </w:tr>
      <w:tr>
        <w:trPr>
          <w:trHeight w:val="158"/>
        </w:trPr>
        <w:tc>
          <w:tcPr>
            <w:tcW w:w="800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Treasury stock — common, at cost — 27,485,996 shares at September 30, 2019;</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8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21,255,275 shares at December 31, 2018</w:t>
            </w:r>
          </w:p>
        </w:tc>
        <w:tc>
          <w:tcPr>
            <w:tcW w:w="160" w:type="dxa"/>
            <w:vAlign w:val="bottom"/>
          </w:tcPr>
          <w:p>
            <w:pPr>
              <w:spacing w:after="0"/>
              <w:rPr>
                <w:sz w:val="15"/>
                <w:szCs w:val="15"/>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(4,546,237)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(3,528,851)</w:t>
            </w:r>
          </w:p>
        </w:tc>
      </w:tr>
      <w:tr>
        <w:trPr>
          <w:trHeight w:val="169"/>
        </w:trPr>
        <w:tc>
          <w:tcPr>
            <w:tcW w:w="8000" w:type="dxa"/>
            <w:vAlign w:val="bottom"/>
            <w:tcBorders>
              <w:top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15,779,811</w:t>
            </w:r>
          </w:p>
        </w:tc>
        <w:tc>
          <w:tcPr>
            <w:tcW w:w="4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15,460,191</w:t>
            </w:r>
          </w:p>
        </w:tc>
        <w:tc>
          <w:tcPr>
            <w:tcW w:w="100" w:type="dxa"/>
            <w:vAlign w:val="bottom"/>
            <w:tcBorders>
              <w:top w:val="single" w:sz="8" w:color="CFF0FC"/>
            </w:tcBorders>
            <w:shd w:val="clear" w:color="auto" w:fill="CFF0FC"/>
          </w:tcPr>
          <w:p>
            <w:pPr>
              <w:spacing w:after="0"/>
              <w:rPr>
                <w:sz w:val="14"/>
                <w:szCs w:val="14"/>
                <w:color w:val="auto"/>
              </w:rPr>
            </w:pPr>
          </w:p>
        </w:tc>
      </w:tr>
      <w:tr>
        <w:trPr>
          <w:trHeight w:val="169"/>
        </w:trPr>
        <w:tc>
          <w:tcPr>
            <w:tcW w:w="8000" w:type="dxa"/>
            <w:vAlign w:val="bottom"/>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125,500,926</w:t>
            </w: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120,097,403</w:t>
            </w:r>
          </w:p>
        </w:tc>
        <w:tc>
          <w:tcPr>
            <w:tcW w:w="100" w:type="dxa"/>
            <w:vAlign w:val="bottom"/>
          </w:tcPr>
          <w:p>
            <w:pPr>
              <w:spacing w:after="0"/>
              <w:rPr>
                <w:sz w:val="14"/>
                <w:szCs w:val="14"/>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r>
        <w:rPr>
          <w:rFonts w:ascii="Times New Roman" w:cs="Times New Roman" w:eastAsia="Times New Roman" w:hAnsi="Times New Roman"/>
          <w:sz w:val="10"/>
          <w:szCs w:val="10"/>
          <w:color w:val="auto"/>
        </w:rPr>
        <w:t>.</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6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4"/>
                <w:szCs w:val="14"/>
                <w:color w:val="auto"/>
              </w:rPr>
            </w:pPr>
          </w:p>
        </w:tc>
        <w:tc>
          <w:tcPr>
            <w:tcW w:w="23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leases, including fees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1,119,662</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1,060,832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3,363,152</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Fully taxable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69,059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225,048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Exempt from federal taxes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at banks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1,229,469</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1,167,375</w:t>
            </w: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3,693,691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104,724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56,156</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272,419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66,049</w:t>
            </w: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189,805</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199,579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138,337</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572,260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1,029,890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1,029,038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3,121,431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984,890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1,013,038</w:t>
            </w: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2,999,431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banking revenues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339,636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321,991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Trust income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143,915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133,545</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421,083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Brokerage services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and foreign exchange gains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bank investment securities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(10,520)</w:t>
            </w: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113,769</w:t>
            </w: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351,082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527,779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459,294</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1,540,639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1,375,404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476,780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431,371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77,481</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241,187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Outside data processing and software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FDIC assessments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core deposit and other intangible assets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costs of operations</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210,506</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160,830</w:t>
            </w: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663,006</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877,619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775,979</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2,644,999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2,485,900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635,050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696,353</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1,895,071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170,262</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458,988</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480,081</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526,091</w:t>
            </w:r>
          </w:p>
        </w:tc>
        <w:tc>
          <w:tcPr>
            <w:tcW w:w="3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1,436,083</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1,371,861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461,410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505,363</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1,376,128</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505,365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1,376,129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common shares outstanding</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132,965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142,822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4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4"/>
                <w:szCs w:val="14"/>
                <w:color w:val="auto"/>
              </w:rPr>
            </w:pPr>
          </w:p>
        </w:tc>
        <w:tc>
          <w:tcPr>
            <w:tcW w:w="23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155"/>
        </w:trPr>
        <w:tc>
          <w:tcPr>
            <w:tcW w:w="6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480,081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526,091</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1,436,083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1,371,861</w:t>
            </w:r>
          </w:p>
        </w:tc>
        <w:tc>
          <w:tcPr>
            <w:tcW w:w="100" w:type="dxa"/>
            <w:vAlign w:val="bottom"/>
            <w:shd w:val="clear" w:color="auto" w:fill="CFF0FC"/>
          </w:tcPr>
          <w:p>
            <w:pPr>
              <w:spacing w:after="0"/>
              <w:rPr>
                <w:sz w:val="19"/>
                <w:szCs w:val="19"/>
                <w:color w:val="auto"/>
              </w:rPr>
            </w:pPr>
          </w:p>
        </w:tc>
      </w:tr>
      <w:tr>
        <w:trPr>
          <w:trHeight w:val="211"/>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and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gains (losses) on investment securities</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(30,381)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(167,798)</w:t>
            </w:r>
          </w:p>
        </w:tc>
      </w:tr>
      <w:tr>
        <w:trPr>
          <w:trHeight w:val="229"/>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hedges adjustments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(13,972)</w:t>
            </w:r>
          </w:p>
        </w:tc>
      </w:tr>
      <w:tr>
        <w:trPr>
          <w:trHeight w:val="22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r>
      <w:tr>
        <w:trPr>
          <w:trHeight w:val="229"/>
        </w:trPr>
        <w:tc>
          <w:tcPr>
            <w:tcW w:w="6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plans liability adjustments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21,447</w:t>
            </w:r>
          </w:p>
        </w:tc>
        <w:tc>
          <w:tcPr>
            <w:tcW w:w="10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339,773</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(161,732)</w:t>
            </w:r>
          </w:p>
        </w:tc>
        <w:tc>
          <w:tcPr>
            <w:tcW w:w="100" w:type="dxa"/>
            <w:vAlign w:val="bottom"/>
            <w:shd w:val="clear" w:color="auto" w:fill="CFF0FC"/>
          </w:tcPr>
          <w:p>
            <w:pPr>
              <w:spacing w:after="0"/>
              <w:rPr>
                <w:sz w:val="19"/>
                <w:szCs w:val="19"/>
                <w:color w:val="auto"/>
              </w:rPr>
            </w:pPr>
          </w:p>
        </w:tc>
      </w:tr>
      <w:tr>
        <w:trPr>
          <w:trHeight w:val="223"/>
        </w:trPr>
        <w:tc>
          <w:tcPr>
            <w:tcW w:w="6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512,731</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1,775,856</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1,210,129</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8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1,436,083</w:t>
            </w:r>
          </w:p>
        </w:tc>
        <w:tc>
          <w:tcPr>
            <w:tcW w:w="42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1,371,861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122,000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 of premises and equipment</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155,721</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Amortization of capitalized servicing rights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53,137</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Amortization of core deposit and other intangible assets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15,185</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Provision for deferred income taxes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16,683</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(73,410)</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Asset write-downs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53,850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gain on sales of assets</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(13,938)</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(17,681)</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change in accrued interest receivable, payable</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8,771</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(30,178)</w:t>
            </w: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other accrued income and expense</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(75,564)</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change in loans originated for sale</w:t>
            </w: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(20,325)</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(252,981)</w:t>
            </w: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trading account assets and liabilities</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(524,755)</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top w:val="single" w:sz="8" w:color="CFF0FC"/>
            </w:tcBorders>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1,226,848</w:t>
            </w:r>
          </w:p>
        </w:tc>
        <w:tc>
          <w:tcPr>
            <w:tcW w:w="4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1,539,617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sales of investment securities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Available for sale</w:t>
            </w:r>
          </w:p>
        </w:tc>
        <w:tc>
          <w:tcPr>
            <w:tcW w:w="2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878,405</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649,204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investment securities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Available for sale</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1,932,168</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1,415,214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Held to maturity</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787,655</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Available for sale</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(9,791)</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(9,197)</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Held to maturity</w:t>
            </w: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(495,277)</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(444,703)</w:t>
            </w: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(821,120)</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(644,404)</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decrease in loans and leases</w:t>
            </w: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(1,484,135)</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1,443,623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interest-bearing deposits at banks</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(4,390,327)</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(1,444,843)</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net</w:t>
            </w: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(119,522)</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(59,302)</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loan servicing advances</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(333,079)</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net</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55,356</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(11,072)</w:t>
            </w: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Net cash provided (used) by investing activities</w:t>
            </w: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(3,999,667)</w:t>
            </w:r>
          </w:p>
        </w:tc>
        <w:tc>
          <w:tcPr>
            <w:tcW w:w="4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1,536,730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deposits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4,959,327</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(3,289,371)</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in short-term borrowings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1,115,518</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1,135,011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1,773,189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Payments on long-term borrowings</w:t>
            </w: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(1,552,533)</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(707,594)</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(1,067,575)</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(1,694,562)</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paid — common</w:t>
            </w: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(406,967)</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(371,380)</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 — preferred</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(54,642)</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(53,628)</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issuance of Series G preferred stock</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396,000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 Series A and Series C preferred stock</w:t>
            </w:r>
          </w:p>
        </w:tc>
        <w:tc>
          <w:tcPr>
            <w:tcW w:w="2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(381,500)</w:t>
            </w: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net</w:t>
            </w: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(21,187)</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Net cash provided (used) by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2,986,441</w:t>
            </w:r>
          </w:p>
        </w:tc>
        <w:tc>
          <w:tcPr>
            <w:tcW w:w="4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(3,185,624)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213,622</w:t>
            </w: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(109,277)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1,605,439</w:t>
            </w: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1,420,888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1,819,061</w:t>
            </w:r>
          </w:p>
        </w:tc>
        <w:tc>
          <w:tcPr>
            <w:tcW w:w="4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1,311,611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received during the period</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3,700,206</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3,360,710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during the period</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577,291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 paid during the period</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302,441</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197,247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Real estate acquired in settlement of loans</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66,018</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Securitization of residential mortgage loans allocated to</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Available-for-sale investment securities</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Capitalized servicing rights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Adoption of lease accounting standard</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Right-of-use assets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393,877</w:t>
            </w:r>
          </w:p>
        </w:tc>
        <w:tc>
          <w:tcPr>
            <w:tcW w:w="42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398,810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Additions to right-of-use assets under operating leases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69,305</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 except per share</w:t>
            </w:r>
          </w:p>
        </w:tc>
        <w:tc>
          <w:tcPr>
            <w:tcW w:w="8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FF0FC"/>
            </w:tcBorders>
            <w:shd w:val="clear" w:color="auto" w:fill="000000"/>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2019</w:t>
            </w:r>
          </w:p>
        </w:tc>
        <w:tc>
          <w:tcPr>
            <w:tcW w:w="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July 1, 2019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6,577,603</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12,162,278</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(112,958)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(4,247,993)</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$ 15,691,827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480,081</w:t>
            </w:r>
          </w:p>
        </w:tc>
        <w:tc>
          <w:tcPr>
            <w:tcW w:w="180" w:type="dxa"/>
            <w:vAlign w:val="bottom"/>
            <w:tcBorders>
              <w:right w:val="single" w:sz="8" w:color="CFF0FC"/>
            </w:tcBorders>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32,650</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512,731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w:t>
            </w:r>
          </w:p>
        </w:tc>
        <w:tc>
          <w:tcPr>
            <w:tcW w:w="8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(19,144)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(19,144)</w:t>
            </w: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Redemption of Series A and Series C preferred stock</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(381,500)</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(381,500)</w:t>
            </w: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Series G preferred stock</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(299,963)</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(299,963)</w:t>
            </w: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Compensation expense, net</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11,197</w:t>
            </w:r>
          </w:p>
        </w:tc>
        <w:tc>
          <w:tcPr>
            <w:tcW w:w="18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Exercises of stock options, net</w:t>
            </w:r>
          </w:p>
        </w:tc>
        <w:tc>
          <w:tcPr>
            <w:tcW w:w="8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Directors’ stock plan</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Deferred compensation plans, net,</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including dividend equivalents</w:t>
            </w:r>
          </w:p>
        </w:tc>
        <w:tc>
          <w:tcPr>
            <w:tcW w:w="8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Performance share unit dividends</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8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(29)</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$1.00 per share</w:t>
            </w: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(132,932)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(132,932)</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September 30, 2019</w:t>
            </w:r>
          </w:p>
        </w:tc>
        <w:tc>
          <w:tcPr>
            <w:tcW w:w="8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80" w:type="dxa"/>
            <w:vAlign w:val="bottom"/>
            <w:gridSpan w:val="2"/>
            <w:vMerge w:val="continue"/>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$ 1,250,000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6,584,705</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12,490,233</w:t>
            </w:r>
          </w:p>
        </w:tc>
        <w:tc>
          <w:tcPr>
            <w:tcW w:w="180" w:type="dxa"/>
            <w:vAlign w:val="bottom"/>
            <w:tcBorders>
              <w:right w:val="single" w:sz="8" w:color="CFF0FC"/>
            </w:tcBorders>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(80,308)</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(4,546,237)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$ 15,779,811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January 1, 2019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79,883</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6,579,342</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11,516,672</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(420,081)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(3,528,851)</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$ 15,460,191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1,436,083</w:t>
            </w:r>
          </w:p>
        </w:tc>
        <w:tc>
          <w:tcPr>
            <w:tcW w:w="180" w:type="dxa"/>
            <w:vAlign w:val="bottom"/>
            <w:tcBorders>
              <w:right w:val="single" w:sz="8" w:color="CFF0FC"/>
            </w:tcBorders>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339,773</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1,775,856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w:t>
            </w:r>
          </w:p>
        </w:tc>
        <w:tc>
          <w:tcPr>
            <w:tcW w:w="8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(55,404)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(55,404)</w:t>
            </w: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Redemption of Series A and Series C preferred stock</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(381,500)</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(381,500)</w:t>
            </w: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Series G preferred stock</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(1,067,575)</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(1,067,575)</w:t>
            </w: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Compensation expense, net</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12,728</w:t>
            </w:r>
          </w:p>
        </w:tc>
        <w:tc>
          <w:tcPr>
            <w:tcW w:w="18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27,836</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Exercises of stock options, net</w:t>
            </w:r>
          </w:p>
        </w:tc>
        <w:tc>
          <w:tcPr>
            <w:tcW w:w="8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(2,953)</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8,279</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Stock purchase plan</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(67)</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11,899</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Directors’ stock plan</w:t>
            </w:r>
          </w:p>
        </w:tc>
        <w:tc>
          <w:tcPr>
            <w:tcW w:w="8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compensation plans, net,</w:t>
            </w:r>
          </w:p>
        </w:tc>
        <w:tc>
          <w:tcPr>
            <w:tcW w:w="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including dividend equivalents</w:t>
            </w:r>
          </w:p>
        </w:tc>
        <w:tc>
          <w:tcPr>
            <w:tcW w:w="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(179)</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(327)</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(64)</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2"/>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Performance share unit dividends</w:t>
            </w:r>
          </w:p>
        </w:tc>
        <w:tc>
          <w:tcPr>
            <w:tcW w:w="8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$3.00 per share</w:t>
            </w:r>
          </w:p>
        </w:tc>
        <w:tc>
          <w:tcPr>
            <w:tcW w:w="8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(406,967)</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(406,967)</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Balance — September 30, 2019</w:t>
            </w:r>
          </w:p>
        </w:tc>
        <w:tc>
          <w:tcPr>
            <w:tcW w:w="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$ 1,250,000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6,584,705</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12,490,233</w:t>
            </w: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(80,308)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(4,546,237)</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$ 15,779,811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 except per share</w:t>
            </w:r>
          </w:p>
        </w:tc>
        <w:tc>
          <w:tcPr>
            <w:tcW w:w="1000" w:type="dxa"/>
            <w:vAlign w:val="bottom"/>
          </w:tcPr>
          <w:p>
            <w:pPr>
              <w:spacing w:after="0"/>
              <w:rPr>
                <w:sz w:val="13"/>
                <w:szCs w:val="13"/>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FF0FC"/>
            </w:tcBorders>
            <w:shd w:val="clear" w:color="auto" w:fill="000000"/>
          </w:tcPr>
          <w:p>
            <w:pPr>
              <w:spacing w:after="0" w:line="20" w:lineRule="exact"/>
              <w:rPr>
                <w:sz w:val="1"/>
                <w:szCs w:val="1"/>
                <w:color w:val="auto"/>
              </w:rPr>
            </w:pPr>
          </w:p>
        </w:tc>
        <w:tc>
          <w:tcPr>
            <w:tcW w:w="12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2018</w:t>
            </w:r>
          </w:p>
        </w:tc>
        <w:tc>
          <w:tcPr>
            <w:tcW w:w="1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July 1, 2018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79,884</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6,579,395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10,763,638</w:t>
            </w:r>
          </w:p>
        </w:tc>
        <w:tc>
          <w:tcPr>
            <w:tcW w:w="2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(517,941)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(2,560,282)</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$ 15,577,885</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526,091</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(24,458)</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501,633</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(18,130)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(18,130)</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22,291 Series A stock</w:t>
            </w:r>
          </w:p>
        </w:tc>
        <w:tc>
          <w:tcPr>
            <w:tcW w:w="1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3"/>
                <w:szCs w:val="13"/>
                <w:color w:val="auto"/>
              </w:rPr>
              <w:t>warrants into 12,758 shares of</w:t>
            </w:r>
          </w:p>
        </w:tc>
        <w:tc>
          <w:tcPr>
            <w:tcW w:w="1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(2,117)</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2,117</w:t>
            </w: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(498,500)</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(498,500)</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Compensation expense, net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9,030</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9,702</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Exercises of stock options, net</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(880)</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7,002</w:t>
            </w: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6,122</w:t>
            </w:r>
          </w:p>
        </w:tc>
        <w:tc>
          <w:tcPr>
            <w:tcW w:w="0" w:type="dxa"/>
            <w:vAlign w:val="bottom"/>
          </w:tcPr>
          <w:p>
            <w:pPr>
              <w:spacing w:after="0"/>
              <w:rPr>
                <w:sz w:val="1"/>
                <w:szCs w:val="1"/>
                <w:color w:val="auto"/>
              </w:rPr>
            </w:pPr>
          </w:p>
        </w:tc>
      </w:tr>
      <w:tr>
        <w:trPr>
          <w:trHeight w:val="162"/>
        </w:trPr>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Directors’ stock plan</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604</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compensation plans, net,</w:t>
            </w:r>
          </w:p>
        </w:tc>
        <w:tc>
          <w:tcPr>
            <w:tcW w:w="1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including dividend equivalents</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(25)</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$1.00 per share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(143,231)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(143,231)</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September 30, 2018</w:t>
            </w:r>
          </w:p>
        </w:tc>
        <w:tc>
          <w:tcPr>
            <w:tcW w:w="10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0" w:type="dxa"/>
            <w:vAlign w:val="bottom"/>
            <w:gridSpan w:val="2"/>
            <w:vMerge w:val="continue"/>
            <w:shd w:val="clear" w:color="auto" w:fill="CFF0FC"/>
          </w:tcPr>
          <w:p>
            <w:pPr>
              <w:spacing w:after="0"/>
              <w:rPr>
                <w:sz w:val="13"/>
                <w:szCs w:val="13"/>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79,883</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6,585,447</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11,128,343</w:t>
            </w:r>
          </w:p>
        </w:tc>
        <w:tc>
          <w:tcPr>
            <w:tcW w:w="2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(542,399)</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(3,048,405)</w:t>
            </w: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$ 15,436,085</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 2018</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January 1, 2018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79,909</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6,590,855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10,164,804</w:t>
            </w:r>
          </w:p>
        </w:tc>
        <w:tc>
          <w:tcPr>
            <w:tcW w:w="2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(363,814)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(1,454,282)</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$ 16,250,819</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Cumulative effect of change in</w:t>
            </w:r>
          </w:p>
        </w:tc>
        <w:tc>
          <w:tcPr>
            <w:tcW w:w="1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3"/>
                <w:szCs w:val="13"/>
                <w:color w:val="auto"/>
              </w:rPr>
              <w:t>accounting principle — equity</w:t>
            </w:r>
          </w:p>
        </w:tc>
        <w:tc>
          <w:tcPr>
            <w:tcW w:w="1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securities</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16,853</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(16,853)</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1,371,861</w:t>
            </w:r>
          </w:p>
        </w:tc>
        <w:tc>
          <w:tcPr>
            <w:tcW w:w="2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(161,732)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1,210,129</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 cash dividends</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(54,390)</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(54,390)</w:t>
            </w: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76,517 Series A stock</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3"/>
                <w:szCs w:val="13"/>
                <w:color w:val="auto"/>
              </w:rPr>
              <w:t>warrants into 45,426 shares of</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(7,240)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7,240</w:t>
            </w: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(1,694,562)</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(1,694,562)</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Compensation expense, net</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22,338</w:t>
            </w: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25,148</w:t>
            </w:r>
          </w:p>
        </w:tc>
        <w:tc>
          <w:tcPr>
            <w:tcW w:w="0" w:type="dxa"/>
            <w:vAlign w:val="bottom"/>
          </w:tcPr>
          <w:p>
            <w:pPr>
              <w:spacing w:after="0"/>
              <w:rPr>
                <w:sz w:val="1"/>
                <w:szCs w:val="1"/>
                <w:color w:val="auto"/>
              </w:rPr>
            </w:pPr>
          </w:p>
        </w:tc>
      </w:tr>
      <w:tr>
        <w:trPr>
          <w:trHeight w:val="162"/>
        </w:trPr>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Exercises of stock options, net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(3,282)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60,075</w:t>
            </w: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56,793</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Stock purchase plan</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2,358</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8,766</w:t>
            </w: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11,124</w:t>
            </w:r>
          </w:p>
        </w:tc>
        <w:tc>
          <w:tcPr>
            <w:tcW w:w="0" w:type="dxa"/>
            <w:vAlign w:val="bottom"/>
          </w:tcPr>
          <w:p>
            <w:pPr>
              <w:spacing w:after="0"/>
              <w:rPr>
                <w:sz w:val="1"/>
                <w:szCs w:val="1"/>
                <w:color w:val="auto"/>
              </w:rPr>
            </w:pPr>
          </w:p>
        </w:tc>
      </w:tr>
      <w:tr>
        <w:trPr>
          <w:trHeight w:val="162"/>
        </w:trPr>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Directors’ stock plan</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1,796</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compensation plans, net,</w:t>
            </w:r>
          </w:p>
        </w:tc>
        <w:tc>
          <w:tcPr>
            <w:tcW w:w="1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including dividend equivalents</w:t>
            </w: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(131)</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(248)</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(62)</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$2.55 per share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(370,723)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(370,723)</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September 30, 2018</w:t>
            </w:r>
          </w:p>
        </w:tc>
        <w:tc>
          <w:tcPr>
            <w:tcW w:w="10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0" w:type="dxa"/>
            <w:vAlign w:val="bottom"/>
            <w:gridSpan w:val="2"/>
            <w:vMerge w:val="continue"/>
            <w:shd w:val="clear" w:color="auto" w:fill="CFF0FC"/>
          </w:tcPr>
          <w:p>
            <w:pPr>
              <w:spacing w:after="0"/>
              <w:rPr>
                <w:sz w:val="13"/>
                <w:szCs w:val="13"/>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79,883</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6,585,447</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11,128,343</w:t>
            </w:r>
          </w:p>
        </w:tc>
        <w:tc>
          <w:tcPr>
            <w:tcW w:w="2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(542,399)</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(3,048,405)</w:t>
            </w:r>
          </w:p>
        </w:tc>
        <w:tc>
          <w:tcPr>
            <w:tcW w:w="8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$ 15,436,085</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NOTES TO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2018 (“2018 Annual Report”), except that effective January 1, 2019 the Company adopted accounting guidance that is discussed in notes 3, 4 and 17 herein. The financial statements contain all adjustments which are, in the opinion of management, necessary for a fair statement of the Company’s financial position, results of operations and cash flows for the interim periods presented.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Investment securities</w:t>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On January 1, 2018, the Company adopted amended guidance requiring equity investments with readily determinable fair values to be measured at fair value with changes in fair value recognized in the consolidated statement of income. This amended guidance excludes equity method investments, investments in consolidated subsidiaries, exchange membership ownership interests, and Federal Home Loan Bank of New York and Federal Reserve Bank of New York capital stock. Upon adoption the Company reclassified $17 million, after-tax effect, from accumulated other comprehensive income to retained earnings, representing the difference between fair value and the cost basis of equity investments with readily determinable fair values at January 1, 2018.</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amortized cost and estimated fair value of investment securities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gridSpan w:val="4"/>
          </w:tcPr>
          <w:p>
            <w:pPr>
              <w:jc w:val="right"/>
              <w:ind w:right="6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359,723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359,394</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6,435,730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6,494,900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130,173</w:t>
            </w:r>
          </w:p>
        </w:tc>
        <w:tc>
          <w:tcPr>
            <w:tcW w:w="12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6,934,709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89,965</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6,985,417</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498,776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499,732</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2,424,716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2,475,913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99,679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91,510</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2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3,031,299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3,075,304</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9,966,008</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155,809</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61,096</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10,060,721</w:t>
            </w:r>
          </w:p>
        </w:tc>
        <w:tc>
          <w:tcPr>
            <w:tcW w:w="12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109,131</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 at cost</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510,763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510,763</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619,894</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41,152</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660,867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- 9 -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5"/>
          </w:tcPr>
          <w:p>
            <w:pPr>
              <w:ind w:left="6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1,336,931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7,383,340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8,869,423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8,682,509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446,542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2,745,776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113,160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3,316,640</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3,255,483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12,186,063</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281,131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11,937,992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77,440</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 at cost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599,747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677,187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three-month and nine-month periods ended September 30, 2019 and 2018. Net unrealized gains recorded as gain (loss) on bank investment securities in the consolidated statement of income during the three months and nine months ended September 30, 2019 were $4 million and $24 million, respectively, compared with net unrealized losses of $3 million and $11 million during the three months and nine months ended September 30, 2018, respectively.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 September 30, 2019, the amortized cost and estimated fair value of debt securities by contractual maturity were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3"/>
          </w:tcPr>
          <w:p>
            <w:pPr>
              <w:jc w:val="right"/>
              <w:ind w:right="71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3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355,210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354,825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3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498,963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490,501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 available for sale</w:t>
            </w:r>
          </w:p>
        </w:tc>
        <w:tc>
          <w:tcPr>
            <w:tcW w:w="3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6,435,746</w:t>
            </w:r>
          </w:p>
        </w:tc>
        <w:tc>
          <w:tcPr>
            <w:tcW w:w="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6,494,916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2"/>
                <w:szCs w:val="22"/>
                <w:color w:val="auto"/>
              </w:rPr>
            </w:pPr>
          </w:p>
        </w:tc>
        <w:tc>
          <w:tcPr>
            <w:tcW w:w="3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6,934,709</w:t>
            </w:r>
          </w:p>
        </w:tc>
        <w:tc>
          <w:tcPr>
            <w:tcW w:w="32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6,985,417</w:t>
            </w:r>
          </w:p>
        </w:tc>
        <w:tc>
          <w:tcPr>
            <w:tcW w:w="10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3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500,476</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501,438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3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3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19"/>
                <w:szCs w:val="19"/>
                <w:color w:val="auto"/>
              </w:rPr>
            </w:pPr>
          </w:p>
        </w:tc>
        <w:tc>
          <w:tcPr>
            <w:tcW w:w="3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506,904</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507,881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Mortgage-backed securities held to maturity</w:t>
            </w:r>
          </w:p>
        </w:tc>
        <w:tc>
          <w:tcPr>
            <w:tcW w:w="3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2,524,395</w:t>
            </w:r>
          </w:p>
        </w:tc>
        <w:tc>
          <w:tcPr>
            <w:tcW w:w="3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2,567,423</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19"/>
                <w:szCs w:val="19"/>
                <w:color w:val="auto"/>
              </w:rPr>
            </w:pPr>
          </w:p>
        </w:tc>
        <w:tc>
          <w:tcPr>
            <w:tcW w:w="3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3,031,299</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3,075,304</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8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- 11 -</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113"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A summary of investment securities that as of September 30, 2019 and December 31, 2018 had been in a continuous unrealized loss position for less than twelve months and those that had been in a continuous unrealized loss position for twelve months or longer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1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12 Months or More</w:t>
            </w:r>
          </w:p>
        </w:tc>
      </w:tr>
      <w:tr>
        <w:trPr>
          <w:trHeight w:val="131"/>
        </w:trPr>
        <w:tc>
          <w:tcPr>
            <w:tcW w:w="5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tcBorders>
              <w:top w:val="single" w:sz="8" w:color="auto"/>
            </w:tcBorders>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tcBorders>
              <w:top w:val="single" w:sz="8" w:color="auto"/>
            </w:tcBorders>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r>
      <w:tr>
        <w:trPr>
          <w:trHeight w:val="173"/>
        </w:trPr>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55"/>
        </w:trPr>
        <w:tc>
          <w:tcPr>
            <w:tcW w:w="5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ind w:left="5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352,482</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240,208</w:t>
            </w: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2,107,684</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(28,763)</w:t>
            </w: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(563)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(8,944)</w:t>
            </w:r>
          </w:p>
        </w:tc>
      </w:tr>
      <w:tr>
        <w:trPr>
          <w:trHeight w:val="223"/>
        </w:trPr>
        <w:tc>
          <w:tcPr>
            <w:tcW w:w="516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260,498</w:t>
            </w:r>
          </w:p>
        </w:tc>
        <w:tc>
          <w:tcPr>
            <w:tcW w:w="3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3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2,537,681</w:t>
            </w:r>
          </w:p>
        </w:tc>
        <w:tc>
          <w:tcPr>
            <w:tcW w:w="3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(38,105)</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165,983</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(1,879)</w:t>
            </w: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49,824</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(19,960)</w:t>
            </w:r>
          </w:p>
        </w:tc>
      </w:tr>
      <w:tr>
        <w:trPr>
          <w:trHeight w:val="223"/>
        </w:trPr>
        <w:tc>
          <w:tcPr>
            <w:tcW w:w="51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215,807</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260,498</w:t>
            </w:r>
          </w:p>
        </w:tc>
        <w:tc>
          <w:tcPr>
            <w:tcW w:w="3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32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2,753,488</w:t>
            </w:r>
          </w:p>
        </w:tc>
        <w:tc>
          <w:tcPr>
            <w:tcW w:w="3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120" w:type="dxa"/>
            <w:vAlign w:val="bottom"/>
            <w:tcBorders>
              <w:bottom w:val="single" w:sz="8" w:color="CFF0FC"/>
            </w:tcBorders>
          </w:tcPr>
          <w:p>
            <w:pPr>
              <w:spacing w:after="0"/>
              <w:rPr>
                <w:sz w:val="22"/>
                <w:szCs w:val="22"/>
                <w:color w:val="auto"/>
              </w:rPr>
            </w:pPr>
          </w:p>
        </w:tc>
      </w:tr>
      <w:tr>
        <w:trPr>
          <w:trHeight w:val="210"/>
        </w:trPr>
        <w:tc>
          <w:tcPr>
            <w:tcW w:w="5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1,335,559</w:t>
            </w: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(9,849)</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405,558</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(2,892)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5,646,773</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(179,211)</w:t>
            </w:r>
          </w:p>
        </w:tc>
      </w:tr>
      <w:tr>
        <w:trPr>
          <w:trHeight w:val="243"/>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53,478</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(2,187)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66,014</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(9,294)</w:t>
            </w: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459,960</w:t>
            </w: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7,048,346</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(198,354)</w:t>
            </w:r>
          </w:p>
        </w:tc>
      </w:tr>
      <w:tr>
        <w:trPr>
          <w:trHeight w:val="236"/>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8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446,303</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179,354</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(989)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2,082,723</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(54,122)</w:t>
            </w:r>
          </w:p>
        </w:tc>
      </w:tr>
      <w:tr>
        <w:trPr>
          <w:trHeight w:val="243"/>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51,943</w:t>
            </w: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(22,327)</w:t>
            </w:r>
          </w:p>
        </w:tc>
      </w:tr>
      <w:tr>
        <w:trPr>
          <w:trHeight w:val="20"/>
        </w:trPr>
        <w:tc>
          <w:tcPr>
            <w:tcW w:w="51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6"/>
        </w:trPr>
        <w:tc>
          <w:tcPr>
            <w:tcW w:w="516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625,657</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(1,228)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2,137,792</w:t>
            </w:r>
          </w:p>
        </w:tc>
        <w:tc>
          <w:tcPr>
            <w:tcW w:w="3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(76,461)</w:t>
            </w: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1,085,617</w:t>
            </w: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9,186,138</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(274,815)</w:t>
            </w: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owned 657 individual debt securities with aggregate gross unrealized losses of $61 million at September 30, 2019. Based on a review of each of the securities in the investment securities portfolio at September 30, 2019, the Company concluded that it expected to recover the amortized cost basis of its investment. As of September 30, 2019, the Company does not intend to sell nor is it anticipated that it would be required to sell any of its impaired investment securities at a loss. At September 30, 2019, the Company has not identified events or changes in circumstances which may have a significant adverse effect on the fair value of the $511 million of cost method equity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September 30, 2019 and December 31, 2018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Acquired at</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Loans Past</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 Discount</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Due 90</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 or</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90 days</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More (a)</w:t>
            </w:r>
          </w:p>
        </w:tc>
        <w:tc>
          <w:tcPr>
            <w:tcW w:w="3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 More (b)</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Impaired (c)</w:t>
            </w: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$ 22,689,923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382,809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$ 23,201,372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25,613,988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186,157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26,007,585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1,546,570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7,229,925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12,975,992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495,831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439,649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162,475</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223,566</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14,302,759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documentation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1,968,580</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81,679</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4,486,664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5,262,857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3,767,965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1,373,612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86,916,076</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1,146,477</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461,162</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40,733</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253,496</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1,005,249</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89,823,193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$ 22,701,020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234,423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$ 22,977,976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25,250,983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203,672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25,610,365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1,665,178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6,982,077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13,591,790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404,808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documentation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2,278,040</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89,851</w:t>
            </w: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84,685</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2,525,120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4,758,513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4,085,781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3,555,757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1,271,811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86,140,950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88,466,477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loans acquired at a discount.</w:t>
      </w:r>
    </w:p>
    <w:p>
      <w:pPr>
        <w:spacing w:after="0" w:line="29" w:lineRule="exact"/>
        <w:rPr>
          <w:rFonts w:ascii="Times New Roman" w:cs="Times New Roman" w:eastAsia="Times New Roman" w:hAnsi="Times New Roman"/>
          <w:sz w:val="18"/>
          <w:szCs w:val="18"/>
          <w:i w:val="1"/>
          <w:iCs w:val="1"/>
          <w:color w:val="auto"/>
        </w:rPr>
      </w:pPr>
    </w:p>
    <w:p>
      <w:pPr>
        <w:ind w:left="580" w:right="20" w:hanging="572"/>
        <w:spacing w:after="0" w:line="250" w:lineRule="auto"/>
        <w:tabs>
          <w:tab w:leader="none" w:pos="5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Loans acquired at a discount that were recorded at fair value at acquisition date. This category does not include purchased impaired loans that are presented separately.</w:t>
      </w:r>
    </w:p>
    <w:p>
      <w:pPr>
        <w:ind w:left="580" w:hanging="572"/>
        <w:spacing w:after="0"/>
        <w:tabs>
          <w:tab w:leader="none" w:pos="5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Accruing loans acquired at a discount that were impaired at acquisition date and recorded at fair value.</w:t>
      </w:r>
    </w:p>
    <w:p>
      <w:pPr>
        <w:spacing w:after="0" w:line="200" w:lineRule="exact"/>
        <w:rPr>
          <w:rFonts w:ascii="Times New Roman" w:cs="Times New Roman" w:eastAsia="Times New Roman" w:hAnsi="Times New Roman"/>
          <w:sz w:val="18"/>
          <w:szCs w:val="18"/>
          <w:i w:val="1"/>
          <w:iCs w:val="1"/>
          <w:color w:val="auto"/>
        </w:rPr>
      </w:pPr>
    </w:p>
    <w:p>
      <w:pPr>
        <w:spacing w:after="0" w:line="222"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One-to-four family residential mortgage loans held for sale were $391 million and $205 million at September 30, 2019 and December 31, 2018, respectively. Commercial real estate loans held for sale were $197 million at September 30, 2019 and $347 million at December 31, 2018.</w:t>
      </w:r>
    </w:p>
    <w:p>
      <w:pPr>
        <w:spacing w:after="0" w:line="7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outstanding principal balance and the carrying amount of loans acquired at a discount that were recorded at fair value at the acquisition date and included in the consolidated balance sheet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184"/>
        </w:trPr>
        <w:tc>
          <w:tcPr>
            <w:tcW w:w="4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r>
      <w:tr>
        <w:trPr>
          <w:trHeight w:val="201"/>
        </w:trPr>
        <w:tc>
          <w:tcPr>
            <w:tcW w:w="4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1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869,636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1,016,785</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135,047</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398,563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473,511</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91,860</w:t>
            </w:r>
          </w:p>
        </w:tc>
        <w:tc>
          <w:tcPr>
            <w:tcW w:w="8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620,979</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727,491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Purchased impaired loans included in the table above totaled $253 million at September 30, 2019 and $303 million at December 31, 2018, representing less than 1% of the Company’s assets as of each date. A summary of changes in the accretable yield for loans acquired at a discount for the three months and nine months ended September 30, 2019 and 2018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5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5100" w:type="dxa"/>
            <w:vAlign w:val="bottom"/>
          </w:tcPr>
          <w:p>
            <w:pPr>
              <w:spacing w:after="0"/>
              <w:rPr>
                <w:sz w:val="12"/>
                <w:szCs w:val="12"/>
                <w:color w:val="auto"/>
              </w:rPr>
            </w:pPr>
          </w:p>
        </w:tc>
        <w:tc>
          <w:tcPr>
            <w:tcW w:w="86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060" w:type="dxa"/>
            <w:vAlign w:val="bottom"/>
            <w:gridSpan w:val="3"/>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700" w:type="dxa"/>
            <w:vAlign w:val="bottom"/>
          </w:tcPr>
          <w:p>
            <w:pPr>
              <w:jc w:val="center"/>
              <w:ind w:right="35"/>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Acquired</w:t>
            </w:r>
          </w:p>
        </w:tc>
      </w:tr>
      <w:tr>
        <w:trPr>
          <w:trHeight w:val="184"/>
        </w:trPr>
        <w:tc>
          <w:tcPr>
            <w:tcW w:w="5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4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147,104</w:t>
            </w:r>
          </w:p>
        </w:tc>
        <w:tc>
          <w:tcPr>
            <w:tcW w:w="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90,911</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149,388</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117,715</w:t>
            </w:r>
          </w:p>
        </w:tc>
        <w:tc>
          <w:tcPr>
            <w:tcW w:w="80" w:type="dxa"/>
            <w:vAlign w:val="bottom"/>
          </w:tcPr>
          <w:p>
            <w:pPr>
              <w:spacing w:after="0"/>
              <w:rPr>
                <w:sz w:val="24"/>
                <w:szCs w:val="24"/>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(18,001)</w:t>
            </w: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nonaccretable balance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w:t>
            </w: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shd w:val="clear" w:color="auto" w:fill="CFF0FC"/>
          </w:tcPr>
          <w:p>
            <w:pPr>
              <w:spacing w:after="0"/>
              <w:rPr>
                <w:sz w:val="19"/>
                <w:szCs w:val="19"/>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149,728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101,740</w:t>
            </w:r>
          </w:p>
        </w:tc>
        <w:tc>
          <w:tcPr>
            <w:tcW w:w="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1"/>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5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5100" w:type="dxa"/>
            <w:vAlign w:val="bottom"/>
          </w:tcPr>
          <w:p>
            <w:pPr>
              <w:spacing w:after="0"/>
              <w:rPr>
                <w:sz w:val="12"/>
                <w:szCs w:val="12"/>
                <w:color w:val="auto"/>
              </w:rPr>
            </w:pPr>
          </w:p>
        </w:tc>
        <w:tc>
          <w:tcPr>
            <w:tcW w:w="86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060" w:type="dxa"/>
            <w:vAlign w:val="bottom"/>
            <w:gridSpan w:val="3"/>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700" w:type="dxa"/>
            <w:vAlign w:val="bottom"/>
          </w:tcPr>
          <w:p>
            <w:pPr>
              <w:jc w:val="center"/>
              <w:ind w:right="35"/>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Acquired</w:t>
            </w:r>
          </w:p>
        </w:tc>
      </w:tr>
      <w:tr>
        <w:trPr>
          <w:trHeight w:val="184"/>
        </w:trPr>
        <w:tc>
          <w:tcPr>
            <w:tcW w:w="5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147,210</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157,918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(28,621)</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(25,893)</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(48,507)</w:t>
            </w: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 from nonaccretable balance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(a)</w:t>
            </w: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80" w:type="dxa"/>
            <w:vAlign w:val="bottom"/>
          </w:tcPr>
          <w:p>
            <w:pPr>
              <w:spacing w:after="0"/>
              <w:rPr>
                <w:sz w:val="19"/>
                <w:szCs w:val="19"/>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380" w:hanging="372"/>
        <w:spacing w:after="0"/>
        <w:tabs>
          <w:tab w:leader="none" w:pos="3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changes in expected cash flows including changes in interest rates and prepayment assumptions.</w:t>
      </w:r>
    </w:p>
    <w:p>
      <w:pPr>
        <w:spacing w:after="0" w:line="206"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September 30, 2019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16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16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080" w:type="dxa"/>
            <w:vAlign w:val="bottom"/>
            <w:tcBorders>
              <w:top w:val="single" w:sz="8" w:color="auto"/>
            </w:tcBorders>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0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9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335,855</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343,296</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211,220</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78,485</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$ 1,029,867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(16,713)</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37,735</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(251)</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(15,678)</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(1,107)</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(2,721)</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(40,735)</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(60,241)</w:t>
            </w: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351,445</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327,132</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59,492</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78,234</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$ 1,038,437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September 30, 2018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16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16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080" w:type="dxa"/>
            <w:vAlign w:val="bottom"/>
            <w:tcBorders>
              <w:top w:val="single" w:sz="8" w:color="auto"/>
            </w:tcBorders>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9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right"/>
              <w:ind w:right="7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328,830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353,761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182,987</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$ 1,019,248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(6,972)</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(11,394)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(11,792)</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(1,941)</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(3,338)</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(34,995)</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(52,066)</w:t>
            </w: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317,189</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355,003</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75,181</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193,830</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78,285</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$ 1,019,488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nine months ended September 30, 2019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3"/>
                <w:szCs w:val="13"/>
                <w:color w:val="auto"/>
              </w:rPr>
            </w:pPr>
          </w:p>
        </w:tc>
        <w:tc>
          <w:tcPr>
            <w:tcW w:w="2140" w:type="dxa"/>
            <w:vAlign w:val="bottom"/>
            <w:gridSpan w:val="4"/>
            <w:vMerge w:val="restart"/>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5"/>
                <w:szCs w:val="15"/>
                <w:color w:val="auto"/>
              </w:rPr>
            </w:pPr>
          </w:p>
        </w:tc>
        <w:tc>
          <w:tcPr>
            <w:tcW w:w="214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4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261"/>
              <w:spacing w:after="0" w:line="155" w:lineRule="exact"/>
              <w:rPr>
                <w:sz w:val="20"/>
                <w:szCs w:val="20"/>
                <w:color w:val="auto"/>
              </w:rPr>
            </w:pPr>
            <w:r>
              <w:rPr>
                <w:rFonts w:ascii="Times New Roman" w:cs="Times New Roman" w:eastAsia="Times New Roman" w:hAnsi="Times New Roman"/>
                <w:sz w:val="14"/>
                <w:szCs w:val="14"/>
                <w:b w:val="1"/>
                <w:bCs w:val="1"/>
                <w:color w:val="auto"/>
                <w:w w:val="97"/>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3"/>
                <w:szCs w:val="13"/>
                <w:color w:val="auto"/>
              </w:rPr>
            </w:pPr>
          </w:p>
        </w:tc>
        <w:tc>
          <w:tcPr>
            <w:tcW w:w="108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96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right"/>
              <w:ind w:right="70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330,055</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341,655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$ 1,019,444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41,146</w:t>
            </w: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(6,415)</w:t>
            </w:r>
          </w:p>
        </w:tc>
        <w:tc>
          <w:tcPr>
            <w:tcW w:w="10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(5,132)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92,212</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(40,786)</w:t>
            </w:r>
          </w:p>
        </w:tc>
        <w:tc>
          <w:tcPr>
            <w:tcW w:w="1220" w:type="dxa"/>
            <w:vAlign w:val="bottom"/>
            <w:gridSpan w:val="3"/>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(11,555)</w:t>
            </w:r>
          </w:p>
        </w:tc>
        <w:tc>
          <w:tcPr>
            <w:tcW w:w="10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(9,356)</w:t>
            </w:r>
          </w:p>
        </w:tc>
        <w:tc>
          <w:tcPr>
            <w:tcW w:w="10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(113,050)</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(174,747)</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42,408</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(103,007</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327,132</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59,492</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78,234</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$ 1,038,437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- 15 -</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nine months ended September 30, 2018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600" w:type="dxa"/>
            <w:vAlign w:val="bottom"/>
            <w:gridSpan w:val="3"/>
          </w:tcPr>
          <w:p>
            <w:pPr>
              <w:jc w:val="center"/>
              <w:ind w:left="1134"/>
              <w:spacing w:after="0"/>
              <w:rPr>
                <w:sz w:val="20"/>
                <w:szCs w:val="20"/>
                <w:color w:val="auto"/>
              </w:rPr>
            </w:pPr>
            <w:r>
              <w:rPr>
                <w:rFonts w:ascii="Times New Roman" w:cs="Times New Roman" w:eastAsia="Times New Roman" w:hAnsi="Times New Roman"/>
                <w:sz w:val="14"/>
                <w:szCs w:val="14"/>
                <w:color w:val="auto"/>
              </w:rPr>
              <w:t>Commercial,</w:t>
            </w:r>
          </w:p>
        </w:tc>
        <w:tc>
          <w:tcPr>
            <w:tcW w:w="2140" w:type="dxa"/>
            <w:vAlign w:val="bottom"/>
            <w:gridSpan w:val="4"/>
            <w:vMerge w:val="restart"/>
          </w:tcPr>
          <w:p>
            <w:pPr>
              <w:jc w:val="right"/>
              <w:ind w:right="821"/>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color w:val="auto"/>
              </w:rPr>
              <w:t>Financial,</w:t>
            </w:r>
          </w:p>
        </w:tc>
        <w:tc>
          <w:tcPr>
            <w:tcW w:w="214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60" w:type="dxa"/>
            <w:vAlign w:val="bottom"/>
            <w:gridSpan w:val="2"/>
          </w:tcPr>
          <w:p>
            <w:pPr>
              <w:jc w:val="center"/>
              <w:ind w:right="241"/>
              <w:spacing w:after="0" w:line="155" w:lineRule="exact"/>
              <w:rPr>
                <w:sz w:val="20"/>
                <w:szCs w:val="20"/>
                <w:color w:val="auto"/>
              </w:rPr>
            </w:pPr>
            <w:r>
              <w:rPr>
                <w:rFonts w:ascii="Times New Roman" w:cs="Times New Roman" w:eastAsia="Times New Roman" w:hAnsi="Times New Roman"/>
                <w:sz w:val="14"/>
                <w:szCs w:val="14"/>
                <w:color w:val="auto"/>
              </w:rPr>
              <w:t>Leasing, etc.</w:t>
            </w:r>
          </w:p>
        </w:tc>
        <w:tc>
          <w:tcPr>
            <w:tcW w:w="108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3"/>
                <w:szCs w:val="13"/>
                <w:color w:val="auto"/>
              </w:rPr>
            </w:pPr>
          </w:p>
        </w:tc>
        <w:tc>
          <w:tcPr>
            <w:tcW w:w="1080" w:type="dxa"/>
            <w:vAlign w:val="bottom"/>
            <w:gridSpan w:val="2"/>
          </w:tcPr>
          <w:p>
            <w:pPr>
              <w:jc w:val="right"/>
              <w:ind w:right="321"/>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106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Unallocated</w:t>
            </w:r>
          </w:p>
        </w:tc>
        <w:tc>
          <w:tcPr>
            <w:tcW w:w="960" w:type="dxa"/>
            <w:vAlign w:val="bottom"/>
            <w:gridSpan w:val="2"/>
          </w:tcPr>
          <w:p>
            <w:pPr>
              <w:jc w:val="right"/>
              <w:ind w:right="321"/>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right"/>
              <w:ind w:right="701"/>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$ 328,599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374,085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170,809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$ 1,017,198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(27,464)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16,469</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93,502</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2600" w:type="dxa"/>
            <w:vAlign w:val="bottom"/>
            <w:gridSpan w:val="3"/>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(41,273)</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(7,855)</w:t>
            </w:r>
          </w:p>
        </w:tc>
        <w:tc>
          <w:tcPr>
            <w:tcW w:w="10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(11,658)</w:t>
            </w:r>
          </w:p>
        </w:tc>
        <w:tc>
          <w:tcPr>
            <w:tcW w:w="10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(105,479)</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(166,265)</w:t>
            </w:r>
          </w:p>
        </w:tc>
        <w:tc>
          <w:tcPr>
            <w:tcW w:w="0" w:type="dxa"/>
            <w:vAlign w:val="bottom"/>
          </w:tcPr>
          <w:p>
            <w:pPr>
              <w:spacing w:after="0"/>
              <w:rPr>
                <w:sz w:val="1"/>
                <w:szCs w:val="1"/>
                <w:color w:val="auto"/>
              </w:rPr>
            </w:pPr>
          </w:p>
        </w:tc>
      </w:tr>
      <w:tr>
        <w:trPr>
          <w:trHeight w:val="229"/>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34,998</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15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(22,918</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(70,481</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(91,710</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5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$ 317,189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355,003</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75,181</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193,830</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78,285</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$ 1,019,488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w:t>
      </w:r>
    </w:p>
    <w:p>
      <w:pPr>
        <w:spacing w:after="0" w:line="5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In establishing the allowance for credit losses, the Company estimates losses attributable to specific troubled credits identified through both normal and targeted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Information with respect to loans and leases that were considered impaired as of September 30, 2019 and December 31, 2018 and for the three-month and nine-month periods ended September 30, 2019 and 2018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7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00" w:type="dxa"/>
            <w:vAlign w:val="bottom"/>
          </w:tcPr>
          <w:p>
            <w:pPr>
              <w:spacing w:after="0"/>
              <w:rPr>
                <w:sz w:val="11"/>
                <w:szCs w:val="11"/>
                <w:color w:val="auto"/>
              </w:rPr>
            </w:pPr>
          </w:p>
        </w:tc>
        <w:tc>
          <w:tcPr>
            <w:tcW w:w="11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Unpaid</w:t>
            </w: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Unpaid</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$ 245,355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273,931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175,549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67,104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125,117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125,498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146,098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124,974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147,817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81,918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90,066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51,759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53,248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Recreational finance</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581,303</w:t>
            </w:r>
          </w:p>
        </w:tc>
        <w:tc>
          <w:tcPr>
            <w:tcW w:w="3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678,185</w:t>
            </w: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90,992</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542,255</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630,609</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172,191</w:t>
            </w:r>
          </w:p>
        </w:tc>
        <w:tc>
          <w:tcPr>
            <w:tcW w:w="2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136,128</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163,120</w:t>
            </w:r>
          </w:p>
        </w:tc>
        <w:tc>
          <w:tcPr>
            <w:tcW w:w="2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124,657</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2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349,499</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389,977</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254,196</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305,559</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405,346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446,122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258,985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311,677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205,043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223,629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249,774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144,447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170,448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168,313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89,242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Recreational finance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$ 930,802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1,068,162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90,992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936,168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60" w:type="dxa"/>
            <w:vAlign w:val="bottom"/>
          </w:tcPr>
          <w:p>
            <w:pPr>
              <w:spacing w:after="0"/>
              <w:rPr>
                <w:sz w:val="24"/>
                <w:szCs w:val="24"/>
                <w:color w:val="auto"/>
              </w:rPr>
            </w:pPr>
          </w:p>
        </w:tc>
        <w:tc>
          <w:tcPr>
            <w:tcW w:w="180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color w:val="auto"/>
                <w:w w:val="97"/>
              </w:rPr>
              <w:t>- 17 -</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1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0" w:type="dxa"/>
            <w:vAlign w:val="bottom"/>
          </w:tcPr>
          <w:p>
            <w:pPr>
              <w:spacing w:after="0"/>
              <w:rPr>
                <w:sz w:val="15"/>
                <w:szCs w:val="15"/>
                <w:color w:val="auto"/>
              </w:rPr>
            </w:pPr>
          </w:p>
        </w:tc>
        <w:tc>
          <w:tcPr>
            <w:tcW w:w="310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6"/>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5"/>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0" w:type="dxa"/>
            <w:vAlign w:val="bottom"/>
          </w:tcPr>
          <w:p>
            <w:pPr>
              <w:spacing w:after="0"/>
              <w:rPr>
                <w:sz w:val="12"/>
                <w:szCs w:val="12"/>
                <w:color w:val="auto"/>
              </w:rPr>
            </w:pPr>
          </w:p>
        </w:tc>
        <w:tc>
          <w:tcPr>
            <w:tcW w:w="1300" w:type="dxa"/>
            <w:vAlign w:val="bottom"/>
            <w:gridSpan w:val="5"/>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0" w:type="dxa"/>
            <w:vAlign w:val="bottom"/>
          </w:tcPr>
          <w:p>
            <w:pPr>
              <w:spacing w:after="0"/>
              <w:rPr>
                <w:sz w:val="12"/>
                <w:szCs w:val="12"/>
                <w:color w:val="auto"/>
              </w:rPr>
            </w:pPr>
          </w:p>
        </w:tc>
        <w:tc>
          <w:tcPr>
            <w:tcW w:w="1300" w:type="dxa"/>
            <w:vAlign w:val="bottom"/>
            <w:gridSpan w:val="4"/>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 w:type="dxa"/>
            <w:vAlign w:val="bottom"/>
          </w:tcPr>
          <w:p>
            <w:pPr>
              <w:spacing w:after="0"/>
              <w:rPr>
                <w:sz w:val="15"/>
                <w:szCs w:val="15"/>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288,516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256,196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143,508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757,997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1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0" w:type="dxa"/>
            <w:vAlign w:val="bottom"/>
          </w:tcPr>
          <w:p>
            <w:pPr>
              <w:spacing w:after="0"/>
              <w:rPr>
                <w:sz w:val="24"/>
                <w:szCs w:val="24"/>
                <w:color w:val="auto"/>
              </w:rPr>
            </w:pPr>
          </w:p>
        </w:tc>
        <w:tc>
          <w:tcPr>
            <w:tcW w:w="310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7"/>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6"/>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5"/>
                <w:szCs w:val="15"/>
                <w:color w:val="auto"/>
              </w:rPr>
            </w:pPr>
          </w:p>
        </w:tc>
        <w:tc>
          <w:tcPr>
            <w:tcW w:w="1300" w:type="dxa"/>
            <w:vAlign w:val="bottom"/>
            <w:tcBorders>
              <w:bottom w:val="single" w:sz="8" w:color="auto"/>
            </w:tcBorders>
            <w:gridSpan w:val="5"/>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5"/>
                <w:szCs w:val="15"/>
                <w:color w:val="auto"/>
              </w:rPr>
            </w:pPr>
          </w:p>
        </w:tc>
        <w:tc>
          <w:tcPr>
            <w:tcW w:w="1300" w:type="dxa"/>
            <w:vAlign w:val="bottom"/>
            <w:tcBorders>
              <w:bottom w:val="single" w:sz="8" w:color="auto"/>
            </w:tcBorders>
            <w:gridSpan w:val="4"/>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0" w:type="dxa"/>
            <w:vAlign w:val="bottom"/>
          </w:tcPr>
          <w:p>
            <w:pPr>
              <w:spacing w:after="0"/>
              <w:rPr>
                <w:sz w:val="12"/>
                <w:szCs w:val="12"/>
                <w:color w:val="auto"/>
              </w:rPr>
            </w:pPr>
          </w:p>
        </w:tc>
        <w:tc>
          <w:tcPr>
            <w:tcW w:w="1300" w:type="dxa"/>
            <w:vAlign w:val="bottom"/>
            <w:gridSpan w:val="5"/>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0" w:type="dxa"/>
            <w:vAlign w:val="bottom"/>
          </w:tcPr>
          <w:p>
            <w:pPr>
              <w:spacing w:after="0"/>
              <w:rPr>
                <w:sz w:val="12"/>
                <w:szCs w:val="12"/>
                <w:color w:val="auto"/>
              </w:rPr>
            </w:pPr>
          </w:p>
        </w:tc>
        <w:tc>
          <w:tcPr>
            <w:tcW w:w="130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 w:type="dxa"/>
            <w:vAlign w:val="bottom"/>
          </w:tcPr>
          <w:p>
            <w:pPr>
              <w:spacing w:after="0"/>
              <w:rPr>
                <w:sz w:val="15"/>
                <w:szCs w:val="15"/>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275,896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7,501</w:t>
            </w:r>
          </w:p>
        </w:tc>
        <w:tc>
          <w:tcPr>
            <w:tcW w:w="28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266,594</w:t>
            </w:r>
          </w:p>
        </w:tc>
        <w:tc>
          <w:tcPr>
            <w:tcW w:w="2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4,101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4,921</w:t>
            </w:r>
          </w:p>
        </w:tc>
        <w:tc>
          <w:tcPr>
            <w:tcW w:w="2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184,795</w:t>
            </w: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10,101</w:t>
            </w: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9,111</w:t>
            </w: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25,126</w:t>
            </w: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9,056</w:t>
            </w: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142,155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2,654</w:t>
            </w:r>
          </w:p>
        </w:tc>
        <w:tc>
          <w:tcPr>
            <w:tcW w:w="2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126,910</w:t>
            </w: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75,702</w:t>
            </w: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2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83,700</w:t>
            </w: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47,325</w:t>
            </w: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48,661</w:t>
            </w: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2,156</w:t>
            </w: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11,189</w:t>
            </w:r>
          </w:p>
        </w:tc>
        <w:tc>
          <w:tcPr>
            <w:tcW w:w="2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2,389</w:t>
            </w: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804,751</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744,561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30,818</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following table summarizes the loan grades applied to the various classes of the Company’s commercial loans and commercial real estate loans.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9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Builder and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Leasing, etc.</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Developer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2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$ 21,893,239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25,095,663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1,447,978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Criticized accrual</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925,324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727,291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105,531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Criticized nonaccrual</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382,809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23,201,372</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26,007,586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1,558,484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7,379,162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Pass</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$ 21,693,705</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24,539,706</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1,546,002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Criticized accrual</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1,049,848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866,987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Criticized nonaccrual</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234,423</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203,672</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22,977,976</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25,610,365</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1,690,309</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totaled $26 million and $20 million, respectively, at September 30, 2019 and $29 million and $23 million, respectively, at December 31, 2018. Residential real estate loans and home equity loans and lines of credit that were more than 150 days past due but did not require a partial charge-off because the net realizable value of the collateral exceeded the outstanding customer balance were $19 million and $29 million, respectively, at September 30, 2019 and $21 million and $31 million, respectively, at December 31, 2018.</w:t>
      </w:r>
    </w:p>
    <w:p>
      <w:pPr>
        <w:spacing w:after="0" w:line="83"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allocation of the allowance for credit losses summarized on the basis of the Company’s impairment methodology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060" w:type="dxa"/>
            <w:vAlign w:val="bottom"/>
            <w:gridSpan w:val="4"/>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3060" w:type="dxa"/>
            <w:vAlign w:val="bottom"/>
            <w:gridSpan w:val="4"/>
            <w:vMerge w:val="continue"/>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52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1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80" w:type="dxa"/>
            <w:vAlign w:val="bottom"/>
          </w:tcPr>
          <w:p>
            <w:pPr>
              <w:spacing w:after="0"/>
              <w:rPr>
                <w:sz w:val="13"/>
                <w:szCs w:val="13"/>
                <w:color w:val="auto"/>
              </w:rPr>
            </w:pPr>
          </w:p>
        </w:tc>
        <w:tc>
          <w:tcPr>
            <w:tcW w:w="152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260" w:type="dxa"/>
            <w:vAlign w:val="bottom"/>
          </w:tcPr>
          <w:p>
            <w:pPr>
              <w:spacing w:after="0"/>
              <w:rPr>
                <w:sz w:val="13"/>
                <w:szCs w:val="13"/>
                <w:color w:val="auto"/>
              </w:rPr>
            </w:pPr>
          </w:p>
        </w:tc>
        <w:tc>
          <w:tcPr>
            <w:tcW w:w="10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3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291,035</w:t>
            </w: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317,625</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210,407</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1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3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351,445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327,132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78,234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Borders>
              <w:bottom w:val="single" w:sz="8" w:color="CFF0FC"/>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1,038,437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284,021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328,616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Allocated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330,055</w:t>
            </w:r>
          </w:p>
        </w:tc>
        <w:tc>
          <w:tcPr>
            <w:tcW w:w="38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341,655</w:t>
            </w:r>
          </w:p>
        </w:tc>
        <w:tc>
          <w:tcPr>
            <w:tcW w:w="36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380" w:type="dxa"/>
            <w:vAlign w:val="bottom"/>
            <w:tcBorders>
              <w:bottom w:val="single" w:sz="8" w:color="CFF0FC"/>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200,564</w:t>
            </w:r>
          </w:p>
        </w:tc>
        <w:tc>
          <w:tcPr>
            <w:tcW w:w="3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CFF0FC"/>
            </w:tcBorders>
          </w:tcPr>
          <w:p>
            <w:pPr>
              <w:spacing w:after="0"/>
              <w:rPr>
                <w:sz w:val="22"/>
                <w:szCs w:val="22"/>
                <w:color w:val="auto"/>
              </w:rPr>
            </w:pPr>
          </w:p>
        </w:tc>
        <w:tc>
          <w:tcPr>
            <w:tcW w:w="92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941,399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recorded investment in loans and leases summarized on the basis of the Company’s impairment methodology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960" w:type="dxa"/>
            <w:vAlign w:val="bottom"/>
            <w:gridSpan w:val="4"/>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9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500" w:type="dxa"/>
            <w:vAlign w:val="bottom"/>
            <w:tcBorders>
              <w:top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8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405,346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248,755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216,183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60,518</w:t>
            </w:r>
          </w:p>
        </w:tc>
        <w:tc>
          <w:tcPr>
            <w:tcW w:w="380" w:type="dxa"/>
            <w:vAlign w:val="bottom"/>
          </w:tcPr>
          <w:p>
            <w:pPr>
              <w:spacing w:after="0"/>
              <w:rPr>
                <w:sz w:val="19"/>
                <w:szCs w:val="19"/>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22,796,026</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34,680,577</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16,047,175</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15,115,117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88,638,895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237,597</w:t>
            </w:r>
          </w:p>
        </w:tc>
        <w:tc>
          <w:tcPr>
            <w:tcW w:w="38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23,201,372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34,945,231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16,500,955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15,175,635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89,823,193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258,985</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254,476</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220,140</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62,850</w:t>
            </w:r>
          </w:p>
        </w:tc>
        <w:tc>
          <w:tcPr>
            <w:tcW w:w="3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22,718,991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34,098,670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16,641,411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13,907,649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292,895</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22,977,976</w:t>
            </w:r>
          </w:p>
        </w:tc>
        <w:tc>
          <w:tcPr>
            <w:tcW w:w="3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34,363,556</w:t>
            </w:r>
          </w:p>
        </w:tc>
        <w:tc>
          <w:tcPr>
            <w:tcW w:w="3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17,154,446</w:t>
            </w:r>
          </w:p>
        </w:tc>
        <w:tc>
          <w:tcPr>
            <w:tcW w:w="3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13,970,499</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88,466,477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The table that follows summarizes the Company’s loan modification activities that were considered troubled debt restructurings for the three-month and nine-month periods ended September 30, 2019 and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1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180" w:type="dxa"/>
            <w:vAlign w:val="bottom"/>
            <w:vMerge w:val="restart"/>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30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Types</w:t>
            </w: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60" w:type="dxa"/>
            <w:vAlign w:val="bottom"/>
            <w:tcBorders>
              <w:bottom w:val="single" w:sz="8" w:color="auto"/>
            </w:tcBorders>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7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560" w:type="dxa"/>
            <w:vAlign w:val="bottom"/>
            <w:tcBorders>
              <w:top w:val="single" w:sz="8" w:color="auto"/>
            </w:tcBorders>
            <w:shd w:val="clear" w:color="auto" w:fill="CFF0FC"/>
          </w:tcPr>
          <w:p>
            <w:pPr>
              <w:spacing w:after="0"/>
              <w:rPr>
                <w:sz w:val="5"/>
                <w:szCs w:val="5"/>
                <w:color w:val="auto"/>
              </w:rPr>
            </w:pPr>
          </w:p>
        </w:tc>
        <w:tc>
          <w:tcPr>
            <w:tcW w:w="1180" w:type="dxa"/>
            <w:vAlign w:val="bottom"/>
            <w:tcBorders>
              <w:top w:val="single" w:sz="8" w:color="CFF0FC"/>
            </w:tcBorders>
            <w:shd w:val="clear" w:color="auto" w:fill="CFF0FC"/>
          </w:tcPr>
          <w:p>
            <w:pPr>
              <w:spacing w:after="0"/>
              <w:rPr>
                <w:sz w:val="5"/>
                <w:szCs w:val="5"/>
                <w:color w:val="auto"/>
              </w:rPr>
            </w:pPr>
          </w:p>
        </w:tc>
        <w:tc>
          <w:tcPr>
            <w:tcW w:w="780" w:type="dxa"/>
            <w:vAlign w:val="bottom"/>
            <w:tcBorders>
              <w:top w:val="single" w:sz="8" w:color="CFF0FC"/>
            </w:tcBorders>
            <w:shd w:val="clear" w:color="auto" w:fill="CFF0FC"/>
          </w:tcPr>
          <w:p>
            <w:pPr>
              <w:spacing w:after="0"/>
              <w:rPr>
                <w:sz w:val="5"/>
                <w:szCs w:val="5"/>
                <w:color w:val="auto"/>
              </w:rPr>
            </w:pPr>
          </w:p>
        </w:tc>
        <w:tc>
          <w:tcPr>
            <w:tcW w:w="5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5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29,537</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- 21 -</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2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20" w:type="dxa"/>
            <w:vAlign w:val="bottom"/>
            <w:gridSpan w:val="3"/>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860" w:type="dxa"/>
            <w:vAlign w:val="bottom"/>
            <w:gridSpan w:val="3"/>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Deferral</w:t>
            </w:r>
          </w:p>
        </w:tc>
        <w:tc>
          <w:tcPr>
            <w:tcW w:w="88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line="159" w:lineRule="exact"/>
              <w:rPr>
                <w:sz w:val="20"/>
                <w:szCs w:val="20"/>
                <w:color w:val="auto"/>
              </w:rPr>
            </w:pPr>
            <w:r>
              <w:rPr>
                <w:rFonts w:ascii="Times New Roman" w:cs="Times New Roman" w:eastAsia="Times New Roman" w:hAnsi="Times New Roman"/>
                <w:sz w:val="14"/>
                <w:szCs w:val="14"/>
                <w:b w:val="1"/>
                <w:bCs w:val="1"/>
                <w:color w:val="auto"/>
              </w:rPr>
              <w:t>Types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80" w:type="dxa"/>
            <w:vAlign w:val="bottom"/>
            <w:tcBorders>
              <w:top w:val="single" w:sz="8" w:color="auto"/>
            </w:tcBorders>
          </w:tcPr>
          <w:p>
            <w:pPr>
              <w:spacing w:after="0"/>
              <w:rPr>
                <w:sz w:val="16"/>
                <w:szCs w:val="16"/>
                <w:color w:val="auto"/>
              </w:rPr>
            </w:pPr>
          </w:p>
        </w:tc>
        <w:tc>
          <w:tcPr>
            <w:tcW w:w="27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39,357</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23,981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tcPr>
          <w:p>
            <w:pPr>
              <w:spacing w:after="0"/>
              <w:rPr>
                <w:sz w:val="19"/>
                <w:szCs w:val="19"/>
                <w:color w:val="auto"/>
              </w:rPr>
            </w:pPr>
          </w:p>
        </w:tc>
        <w:tc>
          <w:tcPr>
            <w:tcW w:w="2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47,029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6,111</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14,693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3,869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15,785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80,032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9,980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161,617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right="20" w:hanging="372"/>
        <w:spacing w:after="0" w:line="26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74"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2019 and 2018 and for which there was a subsequent payment default during the nine-month periods ended September 30, 2019 and 2018, respectively, were not material.</w:t>
      </w:r>
    </w:p>
    <w:p>
      <w:pPr>
        <w:spacing w:after="0" w:line="82"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 amount of foreclosed residential real estate property held by the Company was $70 million and $77 million at September 30, 2019 and December 31, 2018, respectively. There were $391 million in loans secured by residential real estate that were in the process of foreclosure at both September 30, 2019 and December 31, 2018. Of all loans in the process of foreclosure at September 30, 2019, approximately 27% were classified as purchased impaired and 33% were government guaranteed.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Company’s loan and lease portfolio includes commercial lease financing receivables consisting of direct financing and leveraged leases for machinery and equipment, railroad equipment, commercial trucks and trailers, and aircraft. Certain leases contain payment schedules that are tied to variable interest rate indices. In general, early termination options are provided if the lessee is not in default, returns the leased equipment and pays an early termination fee. Additionally, options to purchase the underlying asset by the lessee are generally at the fair market value of the equipment. Effective January 1, 2019, the Company adopted new guidance related to lease accounting published by the Financial Accounting Standards Board (“FASB”). Under the new guidance, the accounting applied by lessors is largely unchanged from previous GAAP, however, the guidance eliminates the accounting model for leveraged leases that commence after the effective date of the guidance. A summary of lease financing receivables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155"/>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4"/>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5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Commercial leases: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Direct financings: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21"/>
                <w:szCs w:val="21"/>
                <w:color w:val="auto"/>
              </w:rPr>
              <w:t>Lease payments receivable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97"/>
              </w:rPr>
              <w:t>1,177,518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97"/>
              </w:rPr>
              <w:t>1,155,464</w:t>
            </w: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Times New Roman" w:cs="Times New Roman" w:eastAsia="Times New Roman" w:hAnsi="Times New Roman"/>
                <w:sz w:val="21"/>
                <w:szCs w:val="21"/>
                <w:color w:val="auto"/>
              </w:rPr>
              <w:t>Estimated residual value of leased assets</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84,692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85,169</w:t>
            </w: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21"/>
                <w:szCs w:val="21"/>
                <w:color w:val="auto"/>
              </w:rPr>
              <w:t>Unearned income</w:t>
            </w:r>
          </w:p>
        </w:tc>
        <w:tc>
          <w:tcPr>
            <w:tcW w:w="1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1"/>
                <w:szCs w:val="21"/>
                <w:color w:val="auto"/>
              </w:rPr>
              <w:t>(105,774)</w:t>
            </w:r>
          </w:p>
        </w:tc>
        <w:tc>
          <w:tcPr>
            <w:tcW w:w="1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1"/>
                <w:szCs w:val="21"/>
                <w:color w:val="auto"/>
              </w:rPr>
              <w:t>(110,458)</w:t>
            </w:r>
          </w:p>
        </w:tc>
      </w:tr>
      <w:tr>
        <w:trPr>
          <w:trHeight w:val="250"/>
        </w:trPr>
        <w:tc>
          <w:tcPr>
            <w:tcW w:w="688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Investment in direct financings</w:t>
            </w: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1,156,436</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1,130,175</w:t>
            </w:r>
          </w:p>
        </w:tc>
        <w:tc>
          <w:tcPr>
            <w:tcW w:w="80" w:type="dxa"/>
            <w:vAlign w:val="bottom"/>
          </w:tcPr>
          <w:p>
            <w:pPr>
              <w:spacing w:after="0"/>
              <w:rPr>
                <w:sz w:val="21"/>
                <w:szCs w:val="21"/>
                <w:color w:val="auto"/>
              </w:rPr>
            </w:pPr>
          </w:p>
        </w:tc>
      </w:tr>
      <w:tr>
        <w:trPr>
          <w:trHeight w:val="256"/>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Leveraged leases: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Times New Roman" w:cs="Times New Roman" w:eastAsia="Times New Roman" w:hAnsi="Times New Roman"/>
                <w:sz w:val="21"/>
                <w:szCs w:val="21"/>
                <w:color w:val="auto"/>
              </w:rPr>
              <w:t>Lease payments receivable</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82,127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85,007</w:t>
            </w: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21"/>
                <w:szCs w:val="21"/>
                <w:color w:val="auto"/>
              </w:rPr>
              <w:t>Estimated residual value of leased assets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81,163</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81,261</w:t>
            </w: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Times New Roman" w:cs="Times New Roman" w:eastAsia="Times New Roman" w:hAnsi="Times New Roman"/>
                <w:sz w:val="21"/>
                <w:szCs w:val="21"/>
                <w:color w:val="auto"/>
              </w:rPr>
              <w:t>Unearned income</w:t>
            </w: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1"/>
                <w:szCs w:val="21"/>
                <w:color w:val="auto"/>
              </w:rPr>
              <w:t>(32,220)</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(33,717)</w:t>
            </w:r>
          </w:p>
        </w:tc>
      </w:tr>
      <w:tr>
        <w:trPr>
          <w:trHeight w:val="250"/>
        </w:trPr>
        <w:tc>
          <w:tcPr>
            <w:tcW w:w="68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21"/>
                <w:szCs w:val="21"/>
                <w:color w:val="auto"/>
              </w:rPr>
              <w:t>Investment in leveraged leases</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131,070</w:t>
            </w:r>
          </w:p>
        </w:tc>
        <w:tc>
          <w:tcPr>
            <w:tcW w:w="2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132,551</w:t>
            </w:r>
          </w:p>
        </w:tc>
        <w:tc>
          <w:tcPr>
            <w:tcW w:w="80" w:type="dxa"/>
            <w:vAlign w:val="bottom"/>
            <w:tcBorders>
              <w:top w:val="single" w:sz="8" w:color="CFF0FC"/>
            </w:tcBorders>
            <w:shd w:val="clear" w:color="auto" w:fill="CFF0FC"/>
          </w:tcPr>
          <w:p>
            <w:pPr>
              <w:spacing w:after="0"/>
              <w:rPr>
                <w:sz w:val="21"/>
                <w:szCs w:val="21"/>
                <w:color w:val="auto"/>
              </w:rPr>
            </w:pPr>
          </w:p>
        </w:tc>
      </w:tr>
      <w:tr>
        <w:trPr>
          <w:trHeight w:val="290"/>
        </w:trPr>
        <w:tc>
          <w:tcPr>
            <w:tcW w:w="6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1"/>
                <w:szCs w:val="21"/>
                <w:color w:val="auto"/>
              </w:rPr>
              <w:t>Total investment in leases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1,287,506</w:t>
            </w: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1,262,726</w:t>
            </w:r>
          </w:p>
        </w:tc>
        <w:tc>
          <w:tcPr>
            <w:tcW w:w="80" w:type="dxa"/>
            <w:vAlign w:val="bottom"/>
            <w:tcBorders>
              <w:bottom w:val="single" w:sz="8" w:color="CFF0FC"/>
            </w:tcBorders>
          </w:tcPr>
          <w:p>
            <w:pPr>
              <w:spacing w:after="0"/>
              <w:rPr>
                <w:sz w:val="24"/>
                <w:szCs w:val="24"/>
                <w:color w:val="auto"/>
              </w:rPr>
            </w:pPr>
          </w:p>
        </w:tc>
      </w:tr>
      <w:tr>
        <w:trPr>
          <w:trHeight w:val="237"/>
        </w:trPr>
        <w:tc>
          <w:tcPr>
            <w:tcW w:w="68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1"/>
                <w:szCs w:val="21"/>
                <w:color w:val="auto"/>
              </w:rPr>
              <w:t>Deferred taxes payable arising from leveraged leases</w:t>
            </w:r>
          </w:p>
        </w:tc>
        <w:tc>
          <w:tcPr>
            <w:tcW w:w="1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1"/>
                <w:szCs w:val="21"/>
                <w:color w:val="auto"/>
              </w:rPr>
              <w:t>71,432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1"/>
                <w:szCs w:val="21"/>
                <w:color w:val="auto"/>
              </w:rPr>
              <w:t>74,995</w:t>
            </w:r>
          </w:p>
        </w:tc>
        <w:tc>
          <w:tcPr>
            <w:tcW w:w="80" w:type="dxa"/>
            <w:vAlign w:val="bottom"/>
            <w:shd w:val="clear" w:color="auto" w:fill="CFF0FC"/>
          </w:tcPr>
          <w:p>
            <w:pPr>
              <w:spacing w:after="0"/>
              <w:rPr>
                <w:sz w:val="20"/>
                <w:szCs w:val="20"/>
                <w:color w:val="auto"/>
              </w:rPr>
            </w:pPr>
          </w:p>
        </w:tc>
      </w:tr>
    </w:tbl>
    <w:p>
      <w:pPr>
        <w:spacing w:after="0" w:line="225"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Included within the estimated residual value of leased assets at September 30, 2019 and December 31, 2018 were $38 million and $39 million, respectively, in residual value associated with direct financing leases that are guaranteed by the lessees or others.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 September 30, 2019, the minimum future lease payments to be received from lease financings were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Twelve-month period ending September 30:</w:t>
            </w:r>
          </w:p>
        </w:tc>
        <w:tc>
          <w:tcPr>
            <w:tcW w:w="3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2020</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346,223</w:t>
            </w:r>
          </w:p>
        </w:tc>
        <w:tc>
          <w:tcPr>
            <w:tcW w:w="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2021</w:t>
            </w:r>
          </w:p>
        </w:tc>
        <w:tc>
          <w:tcPr>
            <w:tcW w:w="3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305,385</w:t>
            </w:r>
          </w:p>
        </w:tc>
        <w:tc>
          <w:tcPr>
            <w:tcW w:w="80" w:type="dxa"/>
            <w:vAlign w:val="bottom"/>
            <w:shd w:val="clear" w:color="auto" w:fill="CFF0FC"/>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2022</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216,018</w:t>
            </w:r>
          </w:p>
        </w:tc>
        <w:tc>
          <w:tcPr>
            <w:tcW w:w="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2023</w:t>
            </w:r>
          </w:p>
        </w:tc>
        <w:tc>
          <w:tcPr>
            <w:tcW w:w="3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164,490</w:t>
            </w:r>
          </w:p>
        </w:tc>
        <w:tc>
          <w:tcPr>
            <w:tcW w:w="80" w:type="dxa"/>
            <w:vAlign w:val="bottom"/>
            <w:shd w:val="clear" w:color="auto" w:fill="CFF0FC"/>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2024</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82,455</w:t>
            </w:r>
          </w:p>
        </w:tc>
        <w:tc>
          <w:tcPr>
            <w:tcW w:w="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Later years</w:t>
            </w:r>
          </w:p>
        </w:tc>
        <w:tc>
          <w:tcPr>
            <w:tcW w:w="3300" w:type="dxa"/>
            <w:vAlign w:val="bottom"/>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145,074</w:t>
            </w:r>
          </w:p>
        </w:tc>
        <w:tc>
          <w:tcPr>
            <w:tcW w:w="80" w:type="dxa"/>
            <w:vAlign w:val="bottom"/>
            <w:shd w:val="clear" w:color="auto" w:fill="CFF0FC"/>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1,259,645</w:t>
            </w: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300" w:type="dxa"/>
            <w:vAlign w:val="bottom"/>
            <w:vMerge w:val="restart"/>
          </w:tcPr>
          <w:p>
            <w:pPr>
              <w:jc w:val="right"/>
              <w:ind w:right="1883"/>
              <w:spacing w:after="0"/>
              <w:rPr>
                <w:sz w:val="20"/>
                <w:szCs w:val="20"/>
                <w:color w:val="auto"/>
              </w:rPr>
            </w:pPr>
            <w:r>
              <w:rPr>
                <w:rFonts w:ascii="Times New Roman" w:cs="Times New Roman" w:eastAsia="Times New Roman" w:hAnsi="Times New Roman"/>
                <w:sz w:val="18"/>
                <w:szCs w:val="18"/>
                <w:color w:val="auto"/>
              </w:rPr>
              <w:t>- 23 -</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5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Operating leases</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January 1, 2019 adoption of new lease accounting guidance resulted in the Company recording right-of-use assets and lease liabilities in the consolidated balance sheet for all operating leases with a term greater than twelve months. In addition, the Company elected the practical expedients that (1) reassessment is not needed for whether any existing contracts are or contain leases, (2) reassessment of the classification of existing operating and finance leases is not required, and (3) a lease that has a term of twelve months or less is not required to apply the asset and liability recognition requirements.</w:t>
      </w:r>
    </w:p>
    <w:p>
      <w:pPr>
        <w:spacing w:after="0" w:line="79"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Company determines whether a contract contains a lease based on whether a contract, or a part of a contract, conveys the right to control the use of an identified asset for a period of time in exchange for consideration. If it is determined that a contract contains a lease, the consideration in the contract is separated between lease and nonlease components (for example, taxes or common area maintenance). In calculating the present value of the lease payments, the Company has utilized its incremental borrowing rate based on electing the original lease term to account for each lease component.</w:t>
      </w:r>
    </w:p>
    <w:p>
      <w:pPr>
        <w:spacing w:after="0" w:line="7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right-of-use assets and lease liabilities relate to banking offices and other space occupied by the Company and use of certain equipment under noncancelable operating lease agreements, which prior to the adoption of the guidance were not reflected in the consolidated balance sheet.</w:t>
      </w:r>
    </w:p>
    <w:p>
      <w:pPr>
        <w:spacing w:after="0" w:line="7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As of September 30, 2019, the Company reported right-of-use assets recognized as a component of “premises and equipment” and lease liabilities recognized as a component of “accrued interest and other liabilities” in the consolidated balance sheet, as follows:</w:t>
      </w:r>
    </w:p>
    <w:p>
      <w:pPr>
        <w:spacing w:after="0" w:line="22"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4861560</wp:posOffset>
            </wp:positionH>
            <wp:positionV relativeFrom="paragraph">
              <wp:posOffset>7620</wp:posOffset>
            </wp:positionV>
            <wp:extent cx="882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9"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620" w:type="dxa"/>
            <w:vAlign w:val="bottom"/>
          </w:tcPr>
          <w:p>
            <w:pPr>
              <w:spacing w:after="0"/>
              <w:rPr>
                <w:sz w:val="20"/>
                <w:szCs w:val="20"/>
                <w:color w:val="auto"/>
              </w:rPr>
            </w:pPr>
            <w:r>
              <w:rPr>
                <w:rFonts w:ascii="Times New Roman" w:cs="Times New Roman" w:eastAsia="Times New Roman" w:hAnsi="Times New Roman"/>
                <w:sz w:val="21"/>
                <w:szCs w:val="21"/>
                <w:color w:val="auto"/>
              </w:rPr>
              <w:t>Right-of-use assets</w:t>
            </w:r>
          </w:p>
        </w:tc>
        <w:tc>
          <w:tcPr>
            <w:tcW w:w="3440" w:type="dxa"/>
            <w:vAlign w:val="bottom"/>
          </w:tcPr>
          <w:p>
            <w:pPr>
              <w:jc w:val="right"/>
              <w:ind w:right="197"/>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392,324</w:t>
            </w:r>
          </w:p>
        </w:tc>
      </w:tr>
      <w:tr>
        <w:trPr>
          <w:trHeight w:val="25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Lease liabilities</w:t>
            </w:r>
          </w:p>
        </w:tc>
        <w:tc>
          <w:tcPr>
            <w:tcW w:w="34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424,854</w:t>
            </w:r>
          </w:p>
        </w:tc>
      </w:tr>
    </w:tbl>
    <w:p>
      <w:pPr>
        <w:spacing w:after="0" w:line="198"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Company’s noncancelable operating lease agreements expire at various dates over the next 22 years. Real estate leases generally consist of fixed monthly rental payments with certain leases containing escalation clauses. Any variable lease payments or payments for nonlease components are recognized in the consolidated statement of income as a component of “equipment and net occupancy” expense based on actual costs incurred. Some of these real estate leases contain lessee options to extend the term. Those options are included in the lease term when it is determined that it is reasonably certain the option will be exercised.</w:t>
      </w:r>
    </w:p>
    <w:p>
      <w:pPr>
        <w:spacing w:after="0" w:line="7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has noncancelable operating lease agreements for certain equipment related to ATMs, servers, printers and mail machines that are used in the normal course of operations. The ATM leases are either based on the rights to a specific square footage or a license agreement whereby the Company has the right to operate an ATM in a landlord's location. The lease terms generally contain both fixed payments and variable payments that are transaction-based. Given the transaction-based nature of the variable payments, they are excluded from the measurement of the right-of-use asset and lease liability and are recognized in the consolidated statement of income as a component of “equipment and net occupancy” expense when incurred.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Operating leases, continued</w:t>
      </w:r>
    </w:p>
    <w:p>
      <w:pPr>
        <w:spacing w:after="0" w:line="113" w:lineRule="exact"/>
        <w:rPr>
          <w:sz w:val="20"/>
          <w:szCs w:val="20"/>
          <w:color w:val="auto"/>
        </w:rPr>
      </w:pPr>
    </w:p>
    <w:p>
      <w:pPr>
        <w:ind w:right="20" w:firstLine="518"/>
        <w:spacing w:after="0" w:line="267" w:lineRule="auto"/>
        <w:rPr>
          <w:sz w:val="20"/>
          <w:szCs w:val="20"/>
          <w:color w:val="auto"/>
        </w:rPr>
      </w:pPr>
      <w:r>
        <w:rPr>
          <w:rFonts w:ascii="Times New Roman" w:cs="Times New Roman" w:eastAsia="Times New Roman" w:hAnsi="Times New Roman"/>
          <w:sz w:val="21"/>
          <w:szCs w:val="21"/>
          <w:color w:val="auto"/>
        </w:rPr>
        <w:t>The following table presents information about the Company’s lease costs for operating leases recorded in the consolidated balance sheet, cash paid toward lease liabilities, and the weighted-average remaining term and discount rates of the operating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55"/>
        </w:trPr>
        <w:tc>
          <w:tcPr>
            <w:tcW w:w="60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3"/>
          </w:tcPr>
          <w:p>
            <w:pPr>
              <w:jc w:val="right"/>
              <w:ind w:right="9"/>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b w:val="1"/>
                <w:bCs w:val="1"/>
                <w:color w:val="auto"/>
              </w:rPr>
              <w:t>Lease cost</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Operating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25,058</w:t>
            </w:r>
          </w:p>
        </w:tc>
        <w:tc>
          <w:tcPr>
            <w:tcW w:w="300" w:type="dxa"/>
            <w:vAlign w:val="bottom"/>
          </w:tcPr>
          <w:p>
            <w:pPr>
              <w:spacing w:after="0"/>
              <w:rPr>
                <w:sz w:val="22"/>
                <w:szCs w:val="22"/>
                <w:color w:val="auto"/>
              </w:rPr>
            </w:pPr>
          </w:p>
        </w:tc>
        <w:tc>
          <w:tcPr>
            <w:tcW w:w="620" w:type="dxa"/>
            <w:vAlign w:val="bottom"/>
          </w:tcPr>
          <w:p>
            <w:pPr>
              <w:jc w:val="right"/>
              <w:ind w:right="409"/>
              <w:spacing w:after="0"/>
              <w:rPr>
                <w:sz w:val="20"/>
                <w:szCs w:val="20"/>
                <w:color w:val="auto"/>
              </w:rPr>
            </w:pPr>
            <w:r>
              <w:rPr>
                <w:rFonts w:ascii="Times New Roman" w:cs="Times New Roman" w:eastAsia="Times New Roman" w:hAnsi="Times New Roman"/>
                <w:sz w:val="21"/>
                <w:szCs w:val="21"/>
                <w:color w:val="auto"/>
                <w:w w:val="9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74,599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Short-term lease cost</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20</w:t>
            </w:r>
          </w:p>
        </w:tc>
        <w:tc>
          <w:tcPr>
            <w:tcW w:w="3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82</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Variable lease cost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644</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1,733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Sublease income</w:t>
            </w:r>
          </w:p>
        </w:tc>
        <w:tc>
          <w:tcPr>
            <w:tcW w:w="1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21"/>
                <w:szCs w:val="21"/>
                <w:color w:val="auto"/>
              </w:rPr>
              <w:t>(1,903)</w:t>
            </w:r>
          </w:p>
        </w:tc>
        <w:tc>
          <w:tcPr>
            <w:tcW w:w="6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1"/>
                <w:szCs w:val="21"/>
                <w:color w:val="auto"/>
              </w:rPr>
              <w:t>(5,724)</w:t>
            </w:r>
          </w:p>
        </w:tc>
        <w:tc>
          <w:tcPr>
            <w:tcW w:w="0" w:type="dxa"/>
            <w:vAlign w:val="bottom"/>
          </w:tcPr>
          <w:p>
            <w:pPr>
              <w:spacing w:after="0"/>
              <w:rPr>
                <w:sz w:val="1"/>
                <w:szCs w:val="1"/>
                <w:color w:val="auto"/>
              </w:rPr>
            </w:pPr>
          </w:p>
        </w:tc>
      </w:tr>
      <w:tr>
        <w:trPr>
          <w:trHeight w:val="290"/>
        </w:trPr>
        <w:tc>
          <w:tcPr>
            <w:tcW w:w="6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21"/>
                <w:szCs w:val="21"/>
                <w:color w:val="auto"/>
              </w:rPr>
              <w:t>Total net lease cost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23,819</w:t>
            </w:r>
          </w:p>
        </w:tc>
        <w:tc>
          <w:tcPr>
            <w:tcW w:w="300" w:type="dxa"/>
            <w:vAlign w:val="bottom"/>
            <w:tcBorders>
              <w:bottom w:val="single" w:sz="8" w:color="CFF0FC"/>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21"/>
                <w:szCs w:val="21"/>
                <w:color w:val="auto"/>
                <w:w w:val="9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70,690</w:t>
            </w:r>
          </w:p>
        </w:tc>
        <w:tc>
          <w:tcPr>
            <w:tcW w:w="1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Other information</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020" w:type="dxa"/>
            <w:vAlign w:val="bottom"/>
            <w:shd w:val="clear" w:color="auto" w:fill="CFF0FC"/>
          </w:tcPr>
          <w:p>
            <w:pPr>
              <w:spacing w:after="0" w:line="239" w:lineRule="exact"/>
              <w:rPr>
                <w:sz w:val="20"/>
                <w:szCs w:val="20"/>
                <w:color w:val="auto"/>
              </w:rPr>
            </w:pPr>
            <w:r>
              <w:rPr>
                <w:rFonts w:ascii="Times New Roman" w:cs="Times New Roman" w:eastAsia="Times New Roman" w:hAnsi="Times New Roman"/>
                <w:sz w:val="21"/>
                <w:szCs w:val="21"/>
                <w:color w:val="auto"/>
              </w:rPr>
              <w:t>Right-of-use assets obtained in exchange for new</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operating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24,377</w:t>
            </w:r>
          </w:p>
        </w:tc>
        <w:tc>
          <w:tcPr>
            <w:tcW w:w="30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21"/>
                <w:szCs w:val="21"/>
                <w:color w:val="auto"/>
                <w:w w:val="9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69,305</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Cash paid toward lease liabilities</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25,189</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76,050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Weighted-average remaining lease term</w:t>
            </w:r>
          </w:p>
        </w:tc>
        <w:tc>
          <w:tcPr>
            <w:tcW w:w="1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21"/>
                <w:szCs w:val="21"/>
                <w:color w:val="auto"/>
              </w:rPr>
              <w:t>7 years</w:t>
            </w:r>
          </w:p>
        </w:tc>
        <w:tc>
          <w:tcPr>
            <w:tcW w:w="6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1"/>
                <w:szCs w:val="21"/>
                <w:color w:val="auto"/>
              </w:rPr>
              <w:t>7 years</w:t>
            </w:r>
          </w:p>
        </w:tc>
        <w:tc>
          <w:tcPr>
            <w:tcW w:w="0" w:type="dxa"/>
            <w:vAlign w:val="bottom"/>
          </w:tcPr>
          <w:p>
            <w:pPr>
              <w:spacing w:after="0"/>
              <w:rPr>
                <w:sz w:val="1"/>
                <w:szCs w:val="1"/>
                <w:color w:val="auto"/>
              </w:rPr>
            </w:pPr>
          </w:p>
        </w:tc>
      </w:tr>
      <w:tr>
        <w:trPr>
          <w:trHeight w:val="268"/>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Weighted-average discount rate</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3.1%</w:t>
            </w:r>
          </w:p>
        </w:tc>
        <w:tc>
          <w:tcPr>
            <w:tcW w:w="6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Minimum lease payments under noncancelable operating leases are summarized in the following table. These minimum lease payments are not materially different from those reported in the 2018 Annual Report.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Twelve-month period ending September 30:</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97,712</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2021</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87,106</w:t>
            </w: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72,577</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2023</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56,821</w:t>
            </w: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42,770</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Later years</w:t>
            </w:r>
          </w:p>
        </w:tc>
        <w:tc>
          <w:tcPr>
            <w:tcW w:w="2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116,467</w:t>
            </w:r>
          </w:p>
        </w:tc>
        <w:tc>
          <w:tcPr>
            <w:tcW w:w="80" w:type="dxa"/>
            <w:vAlign w:val="bottom"/>
            <w:shd w:val="clear" w:color="auto" w:fill="CFF0FC"/>
          </w:tcPr>
          <w:p>
            <w:pPr>
              <w:spacing w:after="0"/>
              <w:rPr>
                <w:sz w:val="22"/>
                <w:szCs w:val="22"/>
                <w:color w:val="auto"/>
              </w:rPr>
            </w:pPr>
          </w:p>
        </w:tc>
      </w:tr>
      <w:tr>
        <w:trPr>
          <w:trHeight w:val="250"/>
        </w:trPr>
        <w:tc>
          <w:tcPr>
            <w:tcW w:w="7740" w:type="dxa"/>
            <w:vAlign w:val="bottom"/>
          </w:tcPr>
          <w:p>
            <w:pPr>
              <w:spacing w:after="0"/>
              <w:rPr>
                <w:sz w:val="20"/>
                <w:szCs w:val="20"/>
                <w:color w:val="auto"/>
              </w:rPr>
            </w:pPr>
            <w:r>
              <w:rPr>
                <w:rFonts w:ascii="Times New Roman" w:cs="Times New Roman" w:eastAsia="Times New Roman" w:hAnsi="Times New Roman"/>
                <w:sz w:val="21"/>
                <w:szCs w:val="21"/>
                <w:color w:val="auto"/>
              </w:rPr>
              <w:t>Total lease payments</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473,453</w:t>
            </w:r>
          </w:p>
        </w:tc>
        <w:tc>
          <w:tcPr>
            <w:tcW w:w="80" w:type="dxa"/>
            <w:vAlign w:val="bottom"/>
          </w:tcPr>
          <w:p>
            <w:pPr>
              <w:spacing w:after="0"/>
              <w:rPr>
                <w:sz w:val="21"/>
                <w:szCs w:val="21"/>
                <w:color w:val="auto"/>
              </w:rPr>
            </w:pPr>
          </w:p>
        </w:tc>
      </w:tr>
      <w:tr>
        <w:trPr>
          <w:trHeight w:val="25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Less: imputed interest</w:t>
            </w:r>
          </w:p>
        </w:tc>
        <w:tc>
          <w:tcPr>
            <w:tcW w:w="2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48,599</w:t>
            </w:r>
          </w:p>
        </w:tc>
        <w:tc>
          <w:tcPr>
            <w:tcW w:w="80" w:type="dxa"/>
            <w:vAlign w:val="bottom"/>
            <w:shd w:val="clear" w:color="auto" w:fill="CFF0FC"/>
          </w:tcPr>
          <w:p>
            <w:pPr>
              <w:spacing w:after="0"/>
              <w:rPr>
                <w:sz w:val="22"/>
                <w:szCs w:val="22"/>
                <w:color w:val="auto"/>
              </w:rPr>
            </w:pPr>
          </w:p>
        </w:tc>
      </w:tr>
      <w:tr>
        <w:trPr>
          <w:trHeight w:val="250"/>
        </w:trPr>
        <w:tc>
          <w:tcPr>
            <w:tcW w:w="7740" w:type="dxa"/>
            <w:vAlign w:val="bottom"/>
          </w:tcPr>
          <w:p>
            <w:pPr>
              <w:spacing w:after="0"/>
              <w:rPr>
                <w:sz w:val="20"/>
                <w:szCs w:val="20"/>
                <w:color w:val="auto"/>
              </w:rPr>
            </w:pPr>
            <w:r>
              <w:rPr>
                <w:rFonts w:ascii="Times New Roman" w:cs="Times New Roman" w:eastAsia="Times New Roman" w:hAnsi="Times New Roman"/>
                <w:sz w:val="21"/>
                <w:szCs w:val="21"/>
                <w:color w:val="auto"/>
              </w:rPr>
              <w:t>Total</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424,854</w:t>
            </w:r>
          </w:p>
        </w:tc>
        <w:tc>
          <w:tcPr>
            <w:tcW w:w="8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All other operating leasing activities were not material to the Company’s consolidated results of operations.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Borrowings</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M&amp;T had $524 million of fixed and variable rate junior subordinated deferrable interest debentures ("Junior Subordinated Debentures") outstanding at September 30, 2019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8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8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64"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Also included in long-term borrowings are agreements to repurchase securities of $102 million and $409 million at September 30, 2019 and December 31, 2018, respectively. The repurchase agreement held at September 30, 2019 matures in 2020, however, the contractual maturities of the underlying investment securities extend beyond such repurchase date.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$108 million and $428 million at September 30, 2019 and December 31, 2018, respectively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Shareholders’ equity</w:t>
      </w:r>
    </w:p>
    <w:p>
      <w:pPr>
        <w:spacing w:after="0" w:line="19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Issued and outstanding preferred stock of M&amp;T as of September 30, 2019 and December 31, 2018 is presented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tcBorders>
              <w:bottom w:val="single" w:sz="8" w:color="auto"/>
            </w:tcBorders>
            <w:gridSpan w:val="2"/>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00" w:type="dxa"/>
            <w:vAlign w:val="bottom"/>
          </w:tcPr>
          <w:p>
            <w:pPr>
              <w:spacing w:after="0"/>
              <w:rPr>
                <w:sz w:val="15"/>
                <w:szCs w:val="15"/>
                <w:color w:val="auto"/>
              </w:rPr>
            </w:pPr>
          </w:p>
        </w:tc>
        <w:tc>
          <w:tcPr>
            <w:tcW w:w="184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00" w:type="dxa"/>
            <w:vAlign w:val="bottom"/>
          </w:tcPr>
          <w:p>
            <w:pPr>
              <w:jc w:val="center"/>
              <w:ind w:right="81"/>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2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00" w:type="dxa"/>
            <w:vAlign w:val="bottom"/>
            <w:gridSpan w:val="2"/>
            <w:vMerge w:val="continue"/>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2200" w:type="dxa"/>
            <w:vAlign w:val="bottom"/>
            <w:gridSpan w:val="2"/>
          </w:tcPr>
          <w:p>
            <w:pPr>
              <w:jc w:val="center"/>
              <w:ind w:left="10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4"/>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Series A (a)</w:t>
            </w:r>
          </w:p>
        </w:tc>
        <w:tc>
          <w:tcPr>
            <w:tcW w:w="1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08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Rate Cumulative Perpetual Preferred Stock,</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$1,000 liquidation preference per share</w:t>
            </w:r>
          </w:p>
        </w:tc>
        <w:tc>
          <w:tcPr>
            <w:tcW w:w="1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230,000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C (a)</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Rate Cumulative Perpetual Preferred Stock,</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$1,000 liquidation preference per share</w:t>
            </w:r>
          </w:p>
        </w:tc>
        <w:tc>
          <w:tcPr>
            <w:tcW w:w="1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151,500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$ 151,500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E (b)</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Fixed-to-Floating Rate Non-cumulative Perpetual Preferred Stock,</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$1,000 liquidation preference per share</w:t>
            </w:r>
          </w:p>
        </w:tc>
        <w:tc>
          <w:tcPr>
            <w:tcW w:w="2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350,000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$ 350,000</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350,000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F (c)</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Fixed-to-Floating Rate Non-cumulative Perpetual Preferred Stock,</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$10,000 liquidation preference per share</w:t>
            </w:r>
          </w:p>
        </w:tc>
        <w:tc>
          <w:tcPr>
            <w:tcW w:w="2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$ 500,000</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G (d)</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Reset Non-cumulative Perpetual Preferred Stock,</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$10,000 liquidation preference per share</w:t>
            </w:r>
          </w:p>
        </w:tc>
        <w:tc>
          <w:tcPr>
            <w:tcW w:w="2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40,000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760" w:right="1980" w:hanging="752"/>
        <w:spacing w:after="0" w:line="237" w:lineRule="auto"/>
        <w:tabs>
          <w:tab w:leader="none" w:pos="835"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4"/>
          <w:szCs w:val="14"/>
          <w:i w:val="1"/>
          <w:iCs w:val="1"/>
          <w:color w:val="auto"/>
        </w:rPr>
        <w:t>The shares were fully redeemed in August 2019, having received the approval of the Federal Reserve to redeem such shares after issuing the Series G preferred stock.</w:t>
      </w:r>
    </w:p>
    <w:p>
      <w:pPr>
        <w:spacing w:after="0" w:line="1" w:lineRule="exact"/>
        <w:rPr>
          <w:rFonts w:ascii="Times New Roman" w:cs="Times New Roman" w:eastAsia="Times New Roman" w:hAnsi="Times New Roman"/>
          <w:sz w:val="16"/>
          <w:szCs w:val="16"/>
          <w:i w:val="1"/>
          <w:iCs w:val="1"/>
          <w:color w:val="auto"/>
        </w:rPr>
      </w:pPr>
    </w:p>
    <w:p>
      <w:pPr>
        <w:ind w:left="760" w:right="2160" w:hanging="752"/>
        <w:spacing w:after="0" w:line="221" w:lineRule="auto"/>
        <w:tabs>
          <w:tab w:leader="none" w:pos="814"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ind w:left="760" w:right="2160" w:hanging="752"/>
        <w:spacing w:after="0" w:line="221" w:lineRule="auto"/>
        <w:tabs>
          <w:tab w:leader="none" w:pos="806"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ind w:left="760" w:right="520" w:hanging="752"/>
        <w:spacing w:after="0" w:line="221" w:lineRule="auto"/>
        <w:tabs>
          <w:tab w:leader="none" w:pos="76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5.0% through July 31, 2024 and thereafter will be paid semiannually at a rate of the five-year U.S. Treasury rate plus 3.174%. The shares are redeemable in whole or in part on or after August 1, 2024. Notwithstanding M&amp;T’s</w:t>
      </w:r>
    </w:p>
    <w:p>
      <w:pPr>
        <w:ind w:left="760" w:right="2160"/>
        <w:spacing w:after="0" w:line="238"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option to redeem the shares, if an event occurs such that the shares no longer qualify as Tier 1 capital, M&amp;T may redeem all of the shares within 90 days following that occurrence.</w:t>
      </w:r>
    </w:p>
    <w:p>
      <w:pPr>
        <w:spacing w:after="0" w:line="106" w:lineRule="exact"/>
        <w:rPr>
          <w:sz w:val="20"/>
          <w:szCs w:val="20"/>
          <w:color w:val="auto"/>
        </w:rPr>
      </w:pPr>
    </w:p>
    <w:p>
      <w:pPr>
        <w:ind w:right="180" w:firstLine="476"/>
        <w:spacing w:after="0" w:line="251" w:lineRule="auto"/>
        <w:rPr>
          <w:sz w:val="20"/>
          <w:szCs w:val="20"/>
          <w:color w:val="auto"/>
        </w:rPr>
      </w:pPr>
      <w:r>
        <w:rPr>
          <w:rFonts w:ascii="Times New Roman" w:cs="Times New Roman" w:eastAsia="Times New Roman" w:hAnsi="Times New Roman"/>
          <w:sz w:val="19"/>
          <w:szCs w:val="19"/>
          <w:color w:val="auto"/>
        </w:rPr>
        <w:t>For each of the three-month periods ended September 30, 2019 and 2018, dividends declared per share were: Series A- $15.9375; Series C - $15.9375; Series E - $16.125; and Series F - $128.125. For each of the nine-month periods ended September 30, 2019 and 2018, dividends per share were: Series A- $47.8125; Series C - $47.8125; Series E - $48.375; and Series F - $384.375.</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Revenue from contracts with customers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73"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70"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September 30, 2019 and December 31, 2018, the Company had $59 million and $56 million, respectively, of uncollected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September 30, 2019 and December 31, 2018, the Company had deferred revenue of $43 million related to the sources in the accompanying tables recorded in accrued interest and other liabilities in the consolidated balance sheet.</w:t>
      </w:r>
    </w:p>
    <w:p>
      <w:pPr>
        <w:spacing w:after="0" w:line="78"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following tables summarize sources of the Company’s noninterest income during the three-month and nine-month periods ended September 30, 2019 and 2018 that are subject to the noted accounting guidance.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Mortgage</w:t>
            </w:r>
          </w:p>
        </w:tc>
        <w:tc>
          <w:tcPr>
            <w:tcW w:w="90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5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5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 statement</w:t>
            </w:r>
          </w:p>
        </w:tc>
        <w:tc>
          <w:tcPr>
            <w:tcW w:w="5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$ 15,131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68,455</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$ 111,092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143,664</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5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9,347</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$ 24,832</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38,317</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81,952</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164,750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$ 315,627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5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 statement</w:t>
            </w:r>
          </w:p>
        </w:tc>
        <w:tc>
          <w:tcPr>
            <w:tcW w:w="5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$ 15,767</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$ 108,647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133,545</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5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9,238</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9,397</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$ 25,005</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2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78,014</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154,625</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$ 303,136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Revenue from contracts with customers, continued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94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8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3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480" w:type="dxa"/>
            <w:vAlign w:val="bottom"/>
            <w:tcBorders>
              <w:top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 statement</w:t>
            </w: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$ 45,415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69,731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195,267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$ 321,991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420,382</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37,031</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27,170</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26,159</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$ 73,905</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114,427</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14,915</w:t>
            </w:r>
          </w:p>
        </w:tc>
        <w:tc>
          <w:tcPr>
            <w:tcW w:w="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2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234,291</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489,134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$ 931,134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480" w:type="dxa"/>
            <w:vAlign w:val="bottom"/>
            <w:tcBorders>
              <w:top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 statement</w:t>
            </w: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$ 46,782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188,325</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$ 320,546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402,561</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38,288</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28,875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23,429</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$ 71,857</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118,736</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14,110</w:t>
            </w:r>
          </w:p>
        </w:tc>
        <w:tc>
          <w:tcPr>
            <w:tcW w:w="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2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228,636</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470,724</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$ 908,208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Pension plans and other postretirement benefits</w:t>
      </w:r>
    </w:p>
    <w:p>
      <w:pPr>
        <w:spacing w:after="0" w:line="11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80" w:type="dxa"/>
            <w:vAlign w:val="bottom"/>
            <w:gridSpan w:val="7"/>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(30,534)</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(30,781)</w:t>
            </w:r>
          </w:p>
        </w:tc>
        <w:tc>
          <w:tcPr>
            <w:tcW w:w="13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80" w:type="dxa"/>
            <w:vAlign w:val="bottom"/>
            <w:gridSpan w:val="7"/>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56,029</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Pr>
          <w:p>
            <w:pPr>
              <w:spacing w:after="0"/>
              <w:rPr>
                <w:sz w:val="19"/>
                <w:szCs w:val="19"/>
                <w:color w:val="auto"/>
              </w:rPr>
            </w:pP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(91,604)</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(92,344)</w:t>
            </w: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(3,547)</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32,844</w:t>
            </w:r>
          </w:p>
        </w:tc>
        <w:tc>
          <w:tcPr>
            <w:tcW w:w="3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(935)</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expense in the consolidated statement of income. The other components of net periodic cost (benefit) are reflected in other costs of operations. Expenses incurred in connection with the Company's defined contribution pension and retirement savings plans totaled $21 million and $17 million for the three months ended September 30, 2019 and 2018, respectively, and $61 million and $55 million for the nine months ended September 30, 2019 and 2018, respectively, and are included in salaries and employee benefits expense.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Earnings per common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tbl>
      <w:tblPr>
        <w:tblLayout w:type="fixed"/>
        <w:tblInd w:w="0"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7"/>
          </w:tcPr>
          <w:p>
            <w:pPr>
              <w:jc w:val="center"/>
              <w:ind w:right="420"/>
              <w:spacing w:after="0" w:line="15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60" w:type="dxa"/>
            <w:vAlign w:val="bottom"/>
            <w:gridSpan w:val="4"/>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2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24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184"/>
        </w:trPr>
        <w:tc>
          <w:tcPr>
            <w:tcW w:w="24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240" w:type="dxa"/>
            <w:vAlign w:val="bottom"/>
            <w:shd w:val="clear" w:color="auto" w:fill="CFF0FC"/>
          </w:tcPr>
          <w:p>
            <w:pPr>
              <w:spacing w:after="0"/>
              <w:rPr>
                <w:sz w:val="19"/>
                <w:szCs w:val="19"/>
                <w:color w:val="auto"/>
              </w:rPr>
            </w:pPr>
          </w:p>
        </w:tc>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480,081</w:t>
            </w: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526,091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1,436,083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1,371,861</w:t>
            </w:r>
          </w:p>
        </w:tc>
        <w:tc>
          <w:tcPr>
            <w:tcW w:w="100" w:type="dxa"/>
            <w:vAlign w:val="bottom"/>
            <w:shd w:val="clear" w:color="auto" w:fill="CFF0FC"/>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 (a)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(16,103)</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(18,130)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(52,364)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(54,390)</w:t>
            </w:r>
          </w:p>
        </w:tc>
      </w:tr>
      <w:tr>
        <w:trPr>
          <w:trHeight w:val="223"/>
        </w:trPr>
        <w:tc>
          <w:tcPr>
            <w:tcW w:w="240" w:type="dxa"/>
            <w:vAlign w:val="bottom"/>
            <w:tcBorders>
              <w:top w:val="single" w:sz="8" w:color="CFF0FC"/>
            </w:tcBorders>
            <w:shd w:val="clear" w:color="auto" w:fill="CFF0FC"/>
          </w:tcPr>
          <w:p>
            <w:pPr>
              <w:spacing w:after="0"/>
              <w:rPr>
                <w:sz w:val="19"/>
                <w:szCs w:val="19"/>
                <w:color w:val="auto"/>
              </w:rPr>
            </w:pPr>
          </w:p>
        </w:tc>
        <w:tc>
          <w:tcPr>
            <w:tcW w:w="58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463,978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507,961</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1,383,719</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1,317,471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2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awards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(2,568)</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(2,598)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(7,591)</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(6,774)</w:t>
            </w:r>
          </w:p>
        </w:tc>
      </w:tr>
      <w:tr>
        <w:trPr>
          <w:trHeight w:val="223"/>
        </w:trPr>
        <w:tc>
          <w:tcPr>
            <w:tcW w:w="61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461,410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505,363</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1,376,128</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1,310,697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40" w:type="dxa"/>
            <w:vAlign w:val="bottom"/>
            <w:shd w:val="clear" w:color="auto" w:fill="CFF0FC"/>
          </w:tcPr>
          <w:p>
            <w:pPr>
              <w:spacing w:after="0"/>
              <w:rPr>
                <w:sz w:val="18"/>
                <w:szCs w:val="18"/>
                <w:color w:val="auto"/>
              </w:rPr>
            </w:pPr>
          </w:p>
        </w:tc>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outstanding (including common stock</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40" w:type="dxa"/>
            <w:vAlign w:val="bottom"/>
            <w:shd w:val="clear" w:color="auto" w:fill="CFF0FC"/>
          </w:tcPr>
          <w:p>
            <w:pPr>
              <w:spacing w:after="0"/>
              <w:rPr>
                <w:sz w:val="18"/>
                <w:szCs w:val="18"/>
                <w:color w:val="auto"/>
              </w:rPr>
            </w:pPr>
          </w:p>
        </w:tc>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issuable) and unvested stock-based compensation</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40" w:type="dxa"/>
            <w:vAlign w:val="bottom"/>
            <w:shd w:val="clear" w:color="auto" w:fill="CFF0FC"/>
          </w:tcPr>
          <w:p>
            <w:pPr>
              <w:spacing w:after="0"/>
              <w:rPr>
                <w:sz w:val="20"/>
                <w:szCs w:val="20"/>
                <w:color w:val="auto"/>
              </w:rPr>
            </w:pPr>
          </w:p>
        </w:tc>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awards</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133,703</w:t>
            </w:r>
          </w:p>
        </w:tc>
        <w:tc>
          <w:tcPr>
            <w:tcW w:w="16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143,556</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136,156</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146,177</w:t>
            </w:r>
          </w:p>
        </w:tc>
        <w:tc>
          <w:tcPr>
            <w:tcW w:w="100" w:type="dxa"/>
            <w:vAlign w:val="bottom"/>
            <w:shd w:val="clear" w:color="auto" w:fill="CFF0FC"/>
          </w:tcPr>
          <w:p>
            <w:pPr>
              <w:spacing w:after="0"/>
              <w:rPr>
                <w:sz w:val="20"/>
                <w:szCs w:val="20"/>
                <w:color w:val="auto"/>
              </w:rPr>
            </w:pPr>
          </w:p>
        </w:tc>
      </w:tr>
      <w:tr>
        <w:trPr>
          <w:trHeight w:val="229"/>
        </w:trPr>
        <w:tc>
          <w:tcPr>
            <w:tcW w:w="24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(734)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w:t>
            </w:r>
          </w:p>
        </w:tc>
      </w:tr>
      <w:tr>
        <w:trPr>
          <w:trHeight w:val="223"/>
        </w:trPr>
        <w:tc>
          <w:tcPr>
            <w:tcW w:w="61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132,965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142,822</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135,411</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FF0FC"/>
          </w:tcPr>
          <w:p>
            <w:pPr>
              <w:spacing w:after="0"/>
              <w:rPr>
                <w:sz w:val="19"/>
                <w:szCs w:val="19"/>
                <w:color w:val="auto"/>
              </w:rPr>
            </w:pPr>
          </w:p>
        </w:tc>
      </w:tr>
      <w:tr>
        <w:trPr>
          <w:trHeight w:val="277"/>
        </w:trPr>
        <w:tc>
          <w:tcPr>
            <w:tcW w:w="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w w:val="96"/>
              </w:rPr>
              <w:t>(a)</w:t>
            </w:r>
          </w:p>
        </w:tc>
        <w:tc>
          <w:tcPr>
            <w:tcW w:w="5860" w:type="dxa"/>
            <w:vAlign w:val="bottom"/>
          </w:tcPr>
          <w:p>
            <w:pPr>
              <w:ind w:left="640"/>
              <w:spacing w:after="0"/>
              <w:rPr>
                <w:sz w:val="20"/>
                <w:szCs w:val="20"/>
                <w:color w:val="auto"/>
              </w:rPr>
            </w:pPr>
            <w:r>
              <w:rPr>
                <w:rFonts w:ascii="Times New Roman" w:cs="Times New Roman" w:eastAsia="Times New Roman" w:hAnsi="Times New Roman"/>
                <w:sz w:val="16"/>
                <w:szCs w:val="16"/>
                <w:i w:val="1"/>
                <w:iCs w:val="1"/>
                <w:color w:val="auto"/>
              </w:rPr>
              <w:t>Including impact of not as yet declared cumulative dividends.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240" w:type="dxa"/>
            <w:vAlign w:val="bottom"/>
          </w:tcPr>
          <w:p>
            <w:pPr>
              <w:spacing w:after="0"/>
              <w:rPr>
                <w:sz w:val="24"/>
                <w:szCs w:val="24"/>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24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2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24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184"/>
        </w:trPr>
        <w:tc>
          <w:tcPr>
            <w:tcW w:w="24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463,978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507,961</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1,383,719</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1,317,471</w:t>
            </w:r>
          </w:p>
        </w:tc>
        <w:tc>
          <w:tcPr>
            <w:tcW w:w="100" w:type="dxa"/>
            <w:vAlign w:val="bottom"/>
          </w:tcPr>
          <w:p>
            <w:pPr>
              <w:spacing w:after="0"/>
              <w:rPr>
                <w:sz w:val="24"/>
                <w:szCs w:val="24"/>
                <w:color w:val="auto"/>
              </w:rPr>
            </w:pPr>
          </w:p>
        </w:tc>
      </w:tr>
      <w:tr>
        <w:trPr>
          <w:trHeight w:val="211"/>
        </w:trPr>
        <w:tc>
          <w:tcPr>
            <w:tcW w:w="240" w:type="dxa"/>
            <w:vAlign w:val="bottom"/>
            <w:shd w:val="clear" w:color="auto" w:fill="CFF0FC"/>
          </w:tcPr>
          <w:p>
            <w:pPr>
              <w:spacing w:after="0"/>
              <w:rPr>
                <w:sz w:val="18"/>
                <w:szCs w:val="18"/>
                <w:color w:val="auto"/>
              </w:rPr>
            </w:pPr>
          </w:p>
        </w:tc>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40" w:type="dxa"/>
            <w:vAlign w:val="bottom"/>
            <w:shd w:val="clear" w:color="auto" w:fill="CFF0FC"/>
          </w:tcPr>
          <w:p>
            <w:pPr>
              <w:spacing w:after="0"/>
              <w:rPr>
                <w:sz w:val="20"/>
                <w:szCs w:val="20"/>
                <w:color w:val="auto"/>
              </w:rPr>
            </w:pPr>
          </w:p>
        </w:tc>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 awards</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(2,568)</w:t>
            </w:r>
          </w:p>
        </w:tc>
        <w:tc>
          <w:tcPr>
            <w:tcW w:w="11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(2,596)</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(7,590)</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(6,768)</w:t>
            </w: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505,365</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1,376,129</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1,310,703</w:t>
            </w:r>
          </w:p>
        </w:tc>
        <w:tc>
          <w:tcPr>
            <w:tcW w:w="100" w:type="dxa"/>
            <w:vAlign w:val="bottom"/>
          </w:tcPr>
          <w:p>
            <w:pPr>
              <w:spacing w:after="0"/>
              <w:rPr>
                <w:sz w:val="19"/>
                <w:szCs w:val="19"/>
                <w:color w:val="auto"/>
              </w:rPr>
            </w:pPr>
          </w:p>
        </w:tc>
      </w:tr>
      <w:tr>
        <w:trPr>
          <w:trHeight w:val="229"/>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2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unvested stock-based compensation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143,556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146,177</w:t>
            </w:r>
          </w:p>
        </w:tc>
        <w:tc>
          <w:tcPr>
            <w:tcW w:w="100" w:type="dxa"/>
            <w:vAlign w:val="bottom"/>
          </w:tcPr>
          <w:p>
            <w:pPr>
              <w:spacing w:after="0"/>
              <w:rPr>
                <w:sz w:val="20"/>
                <w:szCs w:val="20"/>
                <w:color w:val="auto"/>
              </w:rPr>
            </w:pPr>
          </w:p>
        </w:tc>
      </w:tr>
      <w:tr>
        <w:trPr>
          <w:trHeight w:val="229"/>
        </w:trPr>
        <w:tc>
          <w:tcPr>
            <w:tcW w:w="240" w:type="dxa"/>
            <w:vAlign w:val="bottom"/>
            <w:shd w:val="clear" w:color="auto" w:fill="CFF0FC"/>
          </w:tcPr>
          <w:p>
            <w:pPr>
              <w:spacing w:after="0"/>
              <w:rPr>
                <w:sz w:val="19"/>
                <w:szCs w:val="19"/>
                <w:color w:val="auto"/>
              </w:rPr>
            </w:pPr>
          </w:p>
        </w:tc>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11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(734)</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(753)</w:t>
            </w:r>
          </w:p>
        </w:tc>
      </w:tr>
      <w:tr>
        <w:trPr>
          <w:trHeight w:val="211"/>
        </w:trPr>
        <w:tc>
          <w:tcPr>
            <w:tcW w:w="2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Incremental shares from assumed conversion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awards and warrants to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common stock</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r>
      <w:tr>
        <w:trPr>
          <w:trHeight w:val="223"/>
        </w:trPr>
        <w:tc>
          <w:tcPr>
            <w:tcW w:w="61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00" w:type="dxa"/>
            <w:vAlign w:val="bottom"/>
            <w:gridSpan w:val="2"/>
          </w:tcPr>
          <w:p>
            <w:pPr>
              <w:spacing w:after="0"/>
              <w:rPr>
                <w:sz w:val="19"/>
                <w:szCs w:val="19"/>
                <w:color w:val="auto"/>
              </w:rPr>
            </w:pPr>
          </w:p>
        </w:tc>
        <w:tc>
          <w:tcPr>
            <w:tcW w:w="16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19"/>
                <w:szCs w:val="19"/>
                <w:color w:val="auto"/>
              </w:rPr>
            </w:pPr>
          </w:p>
        </w:tc>
      </w:tr>
    </w:tbl>
    <w:p>
      <w:pPr>
        <w:spacing w:after="0" w:line="91"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9"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Stock-based compensation awards and warrants to purchase common stock of M&amp;T representing 277,840 and 212,407 common shares during the three-month periods ended September 30, 2019 and 2018, respectively, and 224,639 and 220,653 common shares during the nine-month periods ended September 30, 2019 and 2018, respectively, were not included in the computations of diluted earnings per common share because the effect on those periods would have been antidilutive.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Comprehensive income</w:t>
      </w:r>
    </w:p>
    <w:p>
      <w:pPr>
        <w:spacing w:after="0" w:line="1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3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Defined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59"/>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740" w:type="dxa"/>
            <w:vAlign w:val="bottom"/>
          </w:tcPr>
          <w:p>
            <w:pPr>
              <w:spacing w:after="0"/>
              <w:rPr>
                <w:sz w:val="14"/>
                <w:szCs w:val="14"/>
                <w:color w:val="auto"/>
              </w:rPr>
            </w:pPr>
          </w:p>
        </w:tc>
        <w:tc>
          <w:tcPr>
            <w:tcW w:w="780" w:type="dxa"/>
            <w:vAlign w:val="bottom"/>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860" w:type="dxa"/>
            <w:vAlign w:val="bottom"/>
            <w:gridSpan w:val="3"/>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Before Tax</w:t>
            </w:r>
          </w:p>
        </w:tc>
        <w:tc>
          <w:tcPr>
            <w:tcW w:w="34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4"/>
                <w:szCs w:val="14"/>
                <w:color w:val="auto"/>
              </w:rPr>
            </w:pPr>
          </w:p>
        </w:tc>
        <w:tc>
          <w:tcPr>
            <w:tcW w:w="700" w:type="dxa"/>
            <w:vAlign w:val="bottom"/>
            <w:gridSpan w:val="2"/>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6"/>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Balance — January 1, 2019</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(200,107)</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(354,502)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(14,719)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(569,328)</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149,247</w:t>
            </w:r>
          </w:p>
        </w:tc>
        <w:tc>
          <w:tcPr>
            <w:tcW w:w="260" w:type="dxa"/>
            <w:vAlign w:val="bottom"/>
          </w:tcPr>
          <w:p>
            <w:pPr>
              <w:spacing w:after="0"/>
              <w:rPr>
                <w:sz w:val="24"/>
                <w:szCs w:val="24"/>
                <w:color w:val="auto"/>
              </w:rPr>
            </w:pP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(420,081)</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(62,432)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(2,663)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gains on cash flow hedges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(53,786)</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Total other comprehensive income before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7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237,615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201,924</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439,539</w:t>
            </w: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(115,659)</w:t>
            </w: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323,880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 that (increase) decrease net income: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held-to-maturity (“HTM”) securities</w:t>
            </w: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9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Losses realized in net income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(c)</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 effect</w:t>
            </w: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(3,129)</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(3,129)</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(2,306)</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15,559</w:t>
            </w:r>
          </w:p>
        </w:tc>
        <w:tc>
          <w:tcPr>
            <w:tcW w:w="2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15,559</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(4,091)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240,146</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12,430</w:t>
            </w:r>
          </w:p>
        </w:tc>
        <w:tc>
          <w:tcPr>
            <w:tcW w:w="2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208,524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461,100</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(121,327)</w:t>
            </w: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339,773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2019</w:t>
            </w:r>
          </w:p>
        </w:tc>
        <w:tc>
          <w:tcPr>
            <w:tcW w:w="1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40,039</w:t>
            </w:r>
          </w:p>
        </w:tc>
        <w:tc>
          <w:tcPr>
            <w:tcW w:w="10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(342,072)</w:t>
            </w:r>
          </w:p>
        </w:tc>
        <w:tc>
          <w:tcPr>
            <w:tcW w:w="2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193,805</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(108,228</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27,920</w:t>
            </w:r>
          </w:p>
        </w:tc>
        <w:tc>
          <w:tcPr>
            <w:tcW w:w="2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(80,308</w:t>
            </w:r>
          </w:p>
        </w:tc>
        <w:tc>
          <w:tcPr>
            <w:tcW w:w="100" w:type="dxa"/>
            <w:vAlign w:val="bottom"/>
            <w:tcBorders>
              <w:bottom w:val="single" w:sz="8" w:color="CFF0FC"/>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5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January 1, 2018</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(59,957)</w:t>
            </w: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(413,168)</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(20,165)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(493,290)</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129,476</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(363,814)</w:t>
            </w:r>
          </w:p>
        </w:tc>
        <w:tc>
          <w:tcPr>
            <w:tcW w:w="0" w:type="dxa"/>
            <w:vAlign w:val="bottom"/>
          </w:tcPr>
          <w:p>
            <w:pPr>
              <w:spacing w:after="0"/>
              <w:rPr>
                <w:sz w:val="1"/>
                <w:szCs w:val="1"/>
                <w:color w:val="auto"/>
              </w:rPr>
            </w:pPr>
          </w:p>
        </w:tc>
      </w:tr>
      <w:tr>
        <w:trPr>
          <w:trHeight w:val="139"/>
        </w:trPr>
        <w:tc>
          <w:tcPr>
            <w:tcW w:w="57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Cumulative effect of change in accounting principle — equity</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(22,795)</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(22,795)</w:t>
            </w:r>
          </w:p>
        </w:tc>
        <w:tc>
          <w:tcPr>
            <w:tcW w:w="3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(16,853)</w:t>
            </w:r>
          </w:p>
        </w:tc>
        <w:tc>
          <w:tcPr>
            <w:tcW w:w="0" w:type="dxa"/>
            <w:vAlign w:val="bottom"/>
          </w:tcPr>
          <w:p>
            <w:pPr>
              <w:spacing w:after="0"/>
              <w:rPr>
                <w:sz w:val="1"/>
                <w:szCs w:val="1"/>
                <w:color w:val="auto"/>
              </w:rPr>
            </w:pPr>
          </w:p>
        </w:tc>
      </w:tr>
      <w:tr>
        <w:trPr>
          <w:trHeight w:val="171"/>
        </w:trPr>
        <w:tc>
          <w:tcPr>
            <w:tcW w:w="5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0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(230,135)</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(230,135)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(169,641)</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(26,522)</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(19,550)</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74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(230,135)</w:t>
            </w:r>
          </w:p>
        </w:tc>
        <w:tc>
          <w:tcPr>
            <w:tcW w:w="12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(28,305)</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(258,440)</w:t>
            </w:r>
          </w:p>
        </w:tc>
        <w:tc>
          <w:tcPr>
            <w:tcW w:w="3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67,840</w:t>
            </w:r>
          </w:p>
        </w:tc>
        <w:tc>
          <w:tcPr>
            <w:tcW w:w="2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(190,600)</w:t>
            </w: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 that (increase) decrease net income: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HTM securities</w:t>
            </w: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9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Gains realized in net income</w:t>
            </w:r>
          </w:p>
        </w:tc>
        <w:tc>
          <w:tcPr>
            <w:tcW w:w="10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(c)</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 effect</w:t>
            </w: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(3,129)</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(3,129)</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(2,306)</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32,225</w:t>
            </w:r>
          </w:p>
        </w:tc>
        <w:tc>
          <w:tcPr>
            <w:tcW w:w="2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32,225</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(8,472)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other comprehensive income (loss)</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(227,634)</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29,096</w:t>
            </w:r>
          </w:p>
        </w:tc>
        <w:tc>
          <w:tcPr>
            <w:tcW w:w="2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(20,738)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(219,276)</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57,544</w:t>
            </w: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(161,732)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2018</w:t>
            </w:r>
          </w:p>
        </w:tc>
        <w:tc>
          <w:tcPr>
            <w:tcW w:w="1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(310,386</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(384,072)</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(40,903)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(735,361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192,962</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(542,399</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gain (loss) on bank investment securities.</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expense.</w:t>
      </w:r>
    </w:p>
    <w:p>
      <w:pPr>
        <w:ind w:left="520" w:hanging="512"/>
        <w:spacing w:after="0"/>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-388620</wp:posOffset>
            </wp:positionV>
            <wp:extent cx="35375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7585" cy="8255"/>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76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76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11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ind w:left="8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07"/>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Balance — December 31, 2018</w:t>
            </w:r>
          </w:p>
        </w:tc>
        <w:tc>
          <w:tcPr>
            <w:tcW w:w="2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(147,526)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(261,303)</w:t>
            </w: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(11,252)</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(420,081)</w:t>
            </w:r>
          </w:p>
        </w:tc>
      </w:tr>
      <w:tr>
        <w:trPr>
          <w:trHeight w:val="16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gain during period</w:t>
            </w:r>
          </w:p>
        </w:tc>
        <w:tc>
          <w:tcPr>
            <w:tcW w:w="20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177,049</w:t>
            </w:r>
          </w:p>
        </w:tc>
        <w:tc>
          <w:tcPr>
            <w:tcW w:w="38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9,162</w:t>
            </w:r>
          </w:p>
        </w:tc>
        <w:tc>
          <w:tcPr>
            <w:tcW w:w="3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153,562</w:t>
            </w:r>
          </w:p>
        </w:tc>
        <w:tc>
          <w:tcPr>
            <w:tcW w:w="3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339,773</w:t>
            </w:r>
          </w:p>
        </w:tc>
        <w:tc>
          <w:tcPr>
            <w:tcW w:w="100" w:type="dxa"/>
            <w:vAlign w:val="bottom"/>
            <w:shd w:val="clear" w:color="auto" w:fill="CFF0FC"/>
          </w:tcPr>
          <w:p>
            <w:pPr>
              <w:spacing w:after="0"/>
              <w:rPr>
                <w:sz w:val="14"/>
                <w:szCs w:val="14"/>
                <w:color w:val="auto"/>
              </w:rPr>
            </w:pPr>
          </w:p>
        </w:tc>
      </w:tr>
      <w:tr>
        <w:trPr>
          <w:trHeight w:val="155"/>
        </w:trPr>
        <w:tc>
          <w:tcPr>
            <w:tcW w:w="3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2019</w:t>
            </w:r>
          </w:p>
        </w:tc>
        <w:tc>
          <w:tcPr>
            <w:tcW w:w="20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29,523</w:t>
            </w:r>
          </w:p>
        </w:tc>
        <w:tc>
          <w:tcPr>
            <w:tcW w:w="38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(252,141)</w:t>
            </w:r>
          </w:p>
        </w:tc>
        <w:tc>
          <w:tcPr>
            <w:tcW w:w="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142,310</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(80,308)</w:t>
            </w:r>
          </w:p>
        </w:tc>
        <w:tc>
          <w:tcPr>
            <w:tcW w:w="10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Derivative financial instruments</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September 30, 2019.</w:t>
      </w:r>
    </w:p>
    <w:p>
      <w:pPr>
        <w:spacing w:after="0" w:line="82"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 net effect of interest rate swap agreements was to increase net interest income by $1 million during the three-month period ended September 30, 2019 and decrease net interest income by $23 million during the nine-month period ended September 30, 2019, compared with decreases of $8 million and $12 million during the three-month and nine-month periods ended September 30, 2018, respectively.</w:t>
      </w:r>
    </w:p>
    <w:p>
      <w:pPr>
        <w:spacing w:after="0" w:line="73"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00" w:type="dxa"/>
            <w:vAlign w:val="bottom"/>
          </w:tcPr>
          <w:p>
            <w:pPr>
              <w:spacing w:after="0"/>
              <w:rPr>
                <w:sz w:val="15"/>
                <w:szCs w:val="15"/>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15"/>
                <w:szCs w:val="15"/>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Gain (Loss) (a)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3,800,000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payments on variable rate commercial real</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estate loans (b)(c)</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43,600,000</w:t>
            </w: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47,400,000</w:t>
            </w:r>
          </w:p>
        </w:tc>
        <w:tc>
          <w:tcPr>
            <w:tcW w:w="300" w:type="dxa"/>
            <w:vAlign w:val="bottom"/>
            <w:tcBorders>
              <w:bottom w:val="single" w:sz="8" w:color="CFF0FC"/>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4,450,000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payments on variable rate commercial real</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estate loans (b)(d)</w:t>
            </w: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15,400,000</w:t>
            </w:r>
          </w:p>
        </w:tc>
        <w:tc>
          <w:tcPr>
            <w:tcW w:w="30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19,850,000</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540" w:right="80" w:hanging="532"/>
        <w:spacing w:after="0" w:line="227" w:lineRule="auto"/>
        <w:tabs>
          <w:tab w:leader="none" w:pos="5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treatment at September 30, 2019 and December 31, 2018 was a reduction of the estimated fair value gains on interest rate swap agreements designated as fair value hedges of $64.0 million and fair value losses of $54.7 million, respectively, and on interest rate swaps designated as cash flow hedges a reduction of fair value gains of $208.5 million and a reduction of fair value losses of $9.1 million, respectively.</w:t>
      </w:r>
    </w:p>
    <w:p>
      <w:pPr>
        <w:spacing w:after="0" w:line="2" w:lineRule="exact"/>
        <w:rPr>
          <w:rFonts w:ascii="Times New Roman" w:cs="Times New Roman" w:eastAsia="Times New Roman" w:hAnsi="Times New Roman"/>
          <w:sz w:val="14"/>
          <w:szCs w:val="14"/>
          <w:i w:val="1"/>
          <w:iCs w:val="1"/>
          <w:color w:val="auto"/>
        </w:rPr>
      </w:pPr>
    </w:p>
    <w:p>
      <w:pPr>
        <w:ind w:left="540" w:hanging="532"/>
        <w:spacing w:after="0" w:line="221" w:lineRule="auto"/>
        <w:tabs>
          <w:tab w:leader="none" w:pos="5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ind w:left="540" w:hanging="532"/>
        <w:spacing w:after="0"/>
        <w:tabs>
          <w:tab w:leader="none" w:pos="5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$30.3 billion of forward-starting interest rate swap agreements that become effective in 2019, 2020 and 2021.</w:t>
      </w:r>
    </w:p>
    <w:p>
      <w:pPr>
        <w:spacing w:after="0" w:line="11" w:lineRule="exact"/>
        <w:rPr>
          <w:rFonts w:ascii="Times New Roman" w:cs="Times New Roman" w:eastAsia="Times New Roman" w:hAnsi="Times New Roman"/>
          <w:sz w:val="14"/>
          <w:szCs w:val="14"/>
          <w:i w:val="1"/>
          <w:iCs w:val="1"/>
          <w:color w:val="auto"/>
        </w:rPr>
      </w:pPr>
    </w:p>
    <w:p>
      <w:pPr>
        <w:ind w:left="540" w:hanging="532"/>
        <w:spacing w:after="0" w:line="187" w:lineRule="auto"/>
        <w:tabs>
          <w:tab w:leader="none" w:pos="540" w:val="left"/>
        </w:tabs>
        <w:numPr>
          <w:ilvl w:val="0"/>
          <w:numId w:val="8"/>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Includes notional amount and terms of $12.6 billion of forward-starting interest rate swap agreements that become effective in 2019 and 2020</w:t>
      </w:r>
      <w:r>
        <w:rPr>
          <w:rFonts w:ascii="Times New Roman" w:cs="Times New Roman" w:eastAsia="Times New Roman" w:hAnsi="Times New Roman"/>
          <w:sz w:val="13"/>
          <w:szCs w:val="13"/>
          <w:i w:val="1"/>
          <w:iCs w:val="1"/>
          <w:color w:val="auto"/>
        </w:rPr>
        <w:t>.</w:t>
      </w:r>
    </w:p>
    <w:p>
      <w:pPr>
        <w:spacing w:after="0" w:line="119"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83"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$47.6 billion and $42.9 billion at September 30, 2019 and December 31, 2018, respectively. The notional amounts of foreign currency and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11. Derivative financial instruments, continued</w:t>
      </w:r>
    </w:p>
    <w:p>
      <w:pPr>
        <w:spacing w:after="0" w:line="1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color w:val="auto"/>
        </w:rPr>
        <w:t>option and futures contracts entered into for trading account purposes aggregated $843 million and $763 million at September 30, 2019 and December 31, 2018, respectively.</w:t>
      </w:r>
    </w:p>
    <w:p>
      <w:pPr>
        <w:spacing w:after="0" w:line="1" w:lineRule="exact"/>
        <w:rPr>
          <w:sz w:val="20"/>
          <w:szCs w:val="20"/>
          <w:color w:val="auto"/>
        </w:rPr>
      </w:pPr>
    </w:p>
    <w:p>
      <w:pPr>
        <w:ind w:firstLine="518"/>
        <w:spacing w:after="0" w:line="246"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ind w:left="355"/>
              <w:spacing w:after="0" w:line="14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left="355"/>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and qualifying as hedging instruments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 (a)</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and qualifying as hedging instruments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Mortgage-related commitments to originate real estate loans</w:t>
            </w:r>
          </w:p>
        </w:tc>
        <w:tc>
          <w:tcPr>
            <w:tcW w:w="1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for sale (a)</w:t>
            </w:r>
          </w:p>
        </w:tc>
        <w:tc>
          <w:tcPr>
            <w:tcW w:w="18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Trading:</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rate contracts (b)</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exchange and other option and futures contracts (b)</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569,892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142,242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148,862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 derivatives are reported in other assets and liability derivatives are reported in other liabilities.</w:t>
      </w:r>
    </w:p>
    <w:p>
      <w:pPr>
        <w:spacing w:after="0" w:line="9" w:lineRule="exact"/>
        <w:rPr>
          <w:rFonts w:ascii="Times New Roman" w:cs="Times New Roman" w:eastAsia="Times New Roman" w:hAnsi="Times New Roman"/>
          <w:sz w:val="15"/>
          <w:szCs w:val="15"/>
          <w:i w:val="1"/>
          <w:iCs w:val="1"/>
          <w:color w:val="auto"/>
        </w:rPr>
      </w:pPr>
    </w:p>
    <w:p>
      <w:pPr>
        <w:jc w:val="both"/>
        <w:ind w:left="520" w:hanging="512"/>
        <w:spacing w:after="0" w:line="234" w:lineRule="auto"/>
        <w:tabs>
          <w:tab w:leader="none" w:pos="52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 derivatives are reported in trading account assets and liability derivatives are reported in other liabilities. The impact of variation margin payments at September 30, 2019 and December 31, 2018 was a reduction of the estimated fair value of interest rate contracts in the trading account in an asset position of $17.2 million and $170.7 million, respectively, and in a liability position of $390.6 million and $49.7 million, respectively.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4"/>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780" w:type="dxa"/>
            <w:vAlign w:val="bottom"/>
            <w:gridSpan w:val="3"/>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15"/>
                <w:szCs w:val="15"/>
                <w:color w:val="auto"/>
              </w:rPr>
            </w:pPr>
          </w:p>
        </w:tc>
        <w:tc>
          <w:tcPr>
            <w:tcW w:w="18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32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3"/>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(22,412)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(12,568)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0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Trading:</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(1,348)</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3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- 34 -</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11. Derivative financial instruments,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4"/>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1"/>
                <w:szCs w:val="11"/>
                <w:color w:val="auto"/>
              </w:rPr>
            </w:pPr>
          </w:p>
        </w:tc>
        <w:tc>
          <w:tcPr>
            <w:tcW w:w="178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15"/>
                <w:szCs w:val="15"/>
                <w:color w:val="auto"/>
              </w:rPr>
            </w:pPr>
          </w:p>
        </w:tc>
        <w:tc>
          <w:tcPr>
            <w:tcW w:w="18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155"/>
        </w:trPr>
        <w:tc>
          <w:tcPr>
            <w:tcW w:w="606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32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3"/>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113,441</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(112,884)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Trading:</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(5,639)</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3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24,329</w:t>
            </w: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520" w:hanging="472"/>
        <w:spacing w:after="0"/>
        <w:tabs>
          <w:tab w:leader="none" w:pos="52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Reported as interest expense.</w:t>
      </w:r>
    </w:p>
    <w:p>
      <w:pPr>
        <w:spacing w:after="0" w:line="28" w:lineRule="exact"/>
        <w:rPr>
          <w:rFonts w:ascii="Times New Roman" w:cs="Times New Roman" w:eastAsia="Times New Roman" w:hAnsi="Times New Roman"/>
          <w:sz w:val="16"/>
          <w:szCs w:val="16"/>
          <w:i w:val="1"/>
          <w:iCs w:val="1"/>
          <w:color w:val="auto"/>
        </w:rPr>
      </w:pPr>
    </w:p>
    <w:p>
      <w:pPr>
        <w:ind w:left="520" w:hanging="472"/>
        <w:spacing w:after="0"/>
        <w:tabs>
          <w:tab w:leader="none" w:pos="52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Reported as trading account and foreign exchange gains.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 Increasing</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the Carrying Amount of</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2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120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top w:val="single" w:sz="8" w:color="auto"/>
            </w:tcBorders>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top w:val="single" w:sz="8" w:color="auto"/>
            </w:tcBorders>
            <w:gridSpan w:val="2"/>
          </w:tcPr>
          <w:p>
            <w:pPr>
              <w:jc w:val="center"/>
              <w:ind w:left="30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2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60" w:type="dxa"/>
            <w:vAlign w:val="bottom"/>
            <w:gridSpan w:val="4"/>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Location in the Consolidated Balance Sheet of</w:t>
            </w:r>
          </w:p>
        </w:tc>
        <w:tc>
          <w:tcPr>
            <w:tcW w:w="1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the Hedged Items in Fair Value Hedges</w:t>
            </w:r>
          </w:p>
        </w:tc>
        <w:tc>
          <w:tcPr>
            <w:tcW w:w="1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8"/>
                <w:szCs w:val="18"/>
                <w:color w:val="auto"/>
              </w:rPr>
              <w:t>$  3,858,490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4,394,109</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61,782</w:t>
            </w:r>
          </w:p>
        </w:tc>
        <w:tc>
          <w:tcPr>
            <w:tcW w:w="6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(51,102)</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$24 million and $18 million at September 30, 2019 and December 31, 2018, respectively. Changes in unrealized gains and losses are included in mortgage banking revenues and, in general, are realized in subsequent periods as the related loans are sold and commitments satisfied.</w:t>
      </w:r>
    </w:p>
    <w:p>
      <w:pPr>
        <w:spacing w:after="0" w:line="82"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11. Derivative financial instruments, continued</w:t>
      </w:r>
    </w:p>
    <w:p>
      <w:pPr>
        <w:spacing w:after="0" w:line="11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 liability position and the net liability positions with counterparties, which are subject to enforceable master netting arrangements, was $70 million and $21 million at September 30, 2019 and December 31, 2018, respectively. The Company was required to post collateral relating to those positions of $68 million and $18 million at September 30, 2019 and December 31, 2018,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however, the aggregate fair value of such derivative financial instruments in a net liability position and the amount of incremental collateralization that could be required was not significant at September 30, 2019.</w:t>
      </w:r>
    </w:p>
    <w:p>
      <w:pPr>
        <w:spacing w:after="0" w:line="84"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an asset position and the net asset positions with counterparties, which are subject to enforceable master netting arrangements, was $639 thousand and $18 million at September 30, 2019 and December 31, 2018, respectively. Counterparties posted collateral relating to those positions of $81 thousand and $16 million at September 30, 2019 and December 31, 2018, respectively. Trading account interest rate swap agreements entered into with customers are subject to the Company’s credit risk standards and often contain collateral provisions.</w:t>
      </w:r>
    </w:p>
    <w:p>
      <w:pPr>
        <w:spacing w:after="0" w:line="7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$129 million and $65 million at September 30, 2019 and December 31, 2018,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Variable interest entities and asset securitizations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Company’s securitization activity has consisted of securitizing loans originated for sale into government issued or guaranteed mortgage-backed securities. The amounts of those securitizations during the nine-month periods ended September 30, 2019 and 2018 are presented in the Company’s consolidated statement of cash flows. The Company has not recognized any losses as a result of having securitized assets.</w:t>
      </w:r>
    </w:p>
    <w:p>
      <w:pPr>
        <w:spacing w:after="0" w:line="7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September 30, 2019 and December 31, 2018,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82"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$1.4 billion at September 30, 2019 and $1.1 billion at December 31, 2018.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at September 30, 2019 and December 31, 2018 was $604 million and $523 million, respectively, including $390 million of unfunded commitments at September 30, 2019 and $280 million of unfunded commitments at December 31, 2018. Contingent commitments to provide additional capital contributions to these partnerships were not material at September 30, 2019. The Company has not provided financial or other support to the partnerships that was not contractually required. The Company’s maximum exposure to loss from its investments in such partnerships as of September 30, 2019 was $803 million,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$17 million and $51 million of its investments in qualified affordable housing projects to income tax expense during the three-month and nine-month periods ended September 30, 2019, respectively, and recognized $21 million and $62 million of tax credits and other tax benefits during those periods. Similarly, for the three-month and nine-month periods ended September 30, 2018, the Company amortized $13 million and $39 million, respectively, of its investments in qualified affordable housing projects to income tax expense and recognized $15 million and $47 million of tax credits and other tax benefits during those respective periods.</w:t>
      </w:r>
    </w:p>
    <w:p>
      <w:pPr>
        <w:spacing w:after="0" w:line="92" w:lineRule="exact"/>
        <w:rPr>
          <w:sz w:val="20"/>
          <w:szCs w:val="20"/>
          <w:color w:val="auto"/>
        </w:rPr>
      </w:pPr>
    </w:p>
    <w:p>
      <w:pPr>
        <w:jc w:val="both"/>
        <w:ind w:right="20" w:firstLine="518"/>
        <w:spacing w:after="0" w:line="267"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because of market conditions</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13. Fair value measurements</w:t>
      </w:r>
    </w:p>
    <w:p>
      <w:pPr>
        <w:spacing w:after="0" w:line="1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September 30, 2019.</w:t>
      </w:r>
    </w:p>
    <w:p>
      <w:pPr>
        <w:spacing w:after="0" w:line="56"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0"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1"/>
          <w:szCs w:val="21"/>
          <w:color w:val="auto"/>
        </w:rPr>
      </w:pPr>
    </w:p>
    <w:p>
      <w:pPr>
        <w:jc w:val="both"/>
        <w:ind w:left="1040" w:hanging="519"/>
        <w:spacing w:after="0" w:line="254" w:lineRule="auto"/>
        <w:tabs>
          <w:tab w:leader="none" w:pos="10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69" w:lineRule="exact"/>
        <w:rPr>
          <w:rFonts w:ascii="Times New Roman" w:cs="Times New Roman" w:eastAsia="Times New Roman" w:hAnsi="Times New Roman"/>
          <w:sz w:val="21"/>
          <w:szCs w:val="21"/>
          <w:color w:val="auto"/>
        </w:rPr>
      </w:pPr>
    </w:p>
    <w:p>
      <w:pPr>
        <w:jc w:val="both"/>
        <w:ind w:left="1040" w:hanging="519"/>
        <w:spacing w:after="0" w:line="254" w:lineRule="auto"/>
        <w:tabs>
          <w:tab w:leader="none" w:pos="10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78"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Trading account assets and liabilities</w:t>
      </w:r>
    </w:p>
    <w:p>
      <w:pPr>
        <w:spacing w:after="0" w:line="1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Investment securities available for sale and equity securities</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Real estate loans held for sale</w:t>
      </w:r>
    </w:p>
    <w:p>
      <w:pPr>
        <w:spacing w:after="0" w:line="1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Commitments to originate real estate loans for sale and commitments to sell real estate loans</w:t>
      </w:r>
    </w:p>
    <w:p>
      <w:pPr>
        <w:spacing w:after="0" w:line="1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 used for interest rate risk management</w:t>
      </w:r>
    </w:p>
    <w:p>
      <w:pPr>
        <w:spacing w:after="0" w:line="1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113"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The following tables present assets and liabilities at September 30, 2019 and December 31, 2018 measured at estimated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Level 1 (a)</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Level 2 (a)</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614,256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48,724</w:t>
            </w:r>
          </w:p>
        </w:tc>
        <w:tc>
          <w:tcPr>
            <w:tcW w:w="6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565,532</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359,394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359,394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6,494,900</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6,494,900</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Privately issued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debt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130,173</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130,173</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6,985,417</w:t>
            </w:r>
          </w:p>
        </w:tc>
        <w:tc>
          <w:tcPr>
            <w:tcW w:w="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6,985,401</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150,104</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104,199</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45,905</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588,233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588,233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(b)</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8,365,938</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152,923</w:t>
            </w:r>
          </w:p>
        </w:tc>
        <w:tc>
          <w:tcPr>
            <w:tcW w:w="3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8,188,536</w:t>
            </w:r>
          </w:p>
        </w:tc>
        <w:tc>
          <w:tcPr>
            <w:tcW w:w="3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82,042</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82,042</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 (b)</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103,561</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46,018</w:t>
            </w:r>
          </w:p>
        </w:tc>
        <w:tc>
          <w:tcPr>
            <w:tcW w:w="6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139,566</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1,336,931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1,336,931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7,216,991</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7,216,991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Privately issued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debt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126,906</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126,906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8,682,509</w:t>
            </w:r>
          </w:p>
        </w:tc>
        <w:tc>
          <w:tcPr>
            <w:tcW w:w="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8,682,487</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93,917</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71,989</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21,928</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551,697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551,697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(b)</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9,533,333</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118,007</w:t>
            </w:r>
          </w:p>
        </w:tc>
        <w:tc>
          <w:tcPr>
            <w:tcW w:w="3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9,406,000</w:t>
            </w:r>
          </w:p>
        </w:tc>
        <w:tc>
          <w:tcPr>
            <w:tcW w:w="3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178,125</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178,125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 (b)</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190,686</w:t>
            </w:r>
          </w:p>
        </w:tc>
        <w:tc>
          <w:tcPr>
            <w:tcW w:w="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189,094</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20" w:right="140" w:hanging="512"/>
        <w:spacing w:after="0" w:line="262" w:lineRule="auto"/>
        <w:tabs>
          <w:tab w:leader="none" w:pos="5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 were no significant transfers between Level 1 and Level 2 of the fair value hierarchy during the nine months ended September 30, 2019 and the year ended December 31, 2018.</w:t>
      </w:r>
    </w:p>
    <w:p>
      <w:pPr>
        <w:ind w:left="520" w:hanging="512"/>
        <w:spacing w:after="0" w:line="260" w:lineRule="auto"/>
        <w:tabs>
          <w:tab w:leader="none" w:pos="5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0"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2019 and 2018 were as follows:</w:t>
      </w:r>
    </w:p>
    <w:p>
      <w:pPr>
        <w:spacing w:after="0" w:line="22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Investment</w:t>
      </w:r>
    </w:p>
    <w:p>
      <w:pPr>
        <w:jc w:val="center"/>
        <w:ind w:left="700"/>
        <w:spacing w:after="0" w:line="229" w:lineRule="auto"/>
        <w:rPr>
          <w:sz w:val="20"/>
          <w:szCs w:val="20"/>
          <w:color w:val="auto"/>
        </w:rPr>
      </w:pPr>
      <w:r>
        <w:rPr>
          <w:rFonts w:ascii="Times New Roman" w:cs="Times New Roman" w:eastAsia="Times New Roman" w:hAnsi="Times New Roman"/>
          <w:sz w:val="14"/>
          <w:szCs w:val="14"/>
          <w:b w:val="1"/>
          <w:bCs w:val="1"/>
          <w:color w:val="auto"/>
        </w:rPr>
        <w:t>Securities</w:t>
      </w:r>
    </w:p>
    <w:p>
      <w:pPr>
        <w:jc w:val="center"/>
        <w:ind w:left="700"/>
        <w:spacing w:after="0" w:line="231" w:lineRule="auto"/>
        <w:rPr>
          <w:sz w:val="20"/>
          <w:szCs w:val="20"/>
          <w:color w:val="auto"/>
        </w:rPr>
      </w:pPr>
      <w:r>
        <w:rPr>
          <w:rFonts w:ascii="Times New Roman" w:cs="Times New Roman" w:eastAsia="Times New Roman" w:hAnsi="Times New Roman"/>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1"/>
        </w:trPr>
        <w:tc>
          <w:tcPr>
            <w:tcW w:w="3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00" w:type="dxa"/>
            <w:vAlign w:val="bottom"/>
            <w:tcBorders>
              <w:top w:val="single" w:sz="8" w:color="auto"/>
            </w:tcBorders>
          </w:tcPr>
          <w:p>
            <w:pPr>
              <w:jc w:val="cente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Privately Issued</w:t>
            </w:r>
          </w:p>
        </w:tc>
        <w:tc>
          <w:tcPr>
            <w:tcW w:w="2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Other Assets and</w:t>
            </w: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0" w:type="dxa"/>
            <w:vAlign w:val="bottom"/>
          </w:tcPr>
          <w:p>
            <w:pPr>
              <w:jc w:val="cente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4900" w:type="dxa"/>
            <w:vAlign w:val="bottom"/>
          </w:tcPr>
          <w:p>
            <w:pPr>
              <w:spacing w:after="0"/>
              <w:rPr>
                <w:sz w:val="15"/>
                <w:szCs w:val="15"/>
                <w:color w:val="auto"/>
              </w:rPr>
            </w:pPr>
          </w:p>
        </w:tc>
        <w:tc>
          <w:tcPr>
            <w:tcW w:w="14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Backed Securities</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0" w:type="dxa"/>
            <w:vAlign w:val="bottom"/>
            <w:tcBorders>
              <w:bottom w:val="single" w:sz="8" w:color="auto"/>
            </w:tcBorders>
            <w:vMerge w:val="continue"/>
          </w:tcPr>
          <w:p>
            <w:pPr>
              <w:spacing w:after="0"/>
              <w:rPr>
                <w:sz w:val="15"/>
                <w:szCs w:val="15"/>
                <w:color w:val="auto"/>
              </w:rPr>
            </w:pPr>
          </w:p>
        </w:tc>
        <w:tc>
          <w:tcPr>
            <w:tcW w:w="4900" w:type="dxa"/>
            <w:vAlign w:val="bottom"/>
          </w:tcPr>
          <w:p>
            <w:pPr>
              <w:spacing w:after="0"/>
              <w:rPr>
                <w:sz w:val="15"/>
                <w:szCs w:val="15"/>
                <w:color w:val="auto"/>
              </w:rPr>
            </w:pPr>
          </w:p>
        </w:tc>
        <w:tc>
          <w:tcPr>
            <w:tcW w:w="348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June 30, 2019</w:t>
            </w:r>
          </w:p>
        </w:tc>
        <w:tc>
          <w:tcPr>
            <w:tcW w:w="1400" w:type="dxa"/>
            <w:vAlign w:val="bottom"/>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140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62,178</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out of Level 3 (a)</w:t>
            </w:r>
          </w:p>
        </w:tc>
        <w:tc>
          <w:tcPr>
            <w:tcW w:w="140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(55,104) (c)</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September 30, 2019</w:t>
            </w:r>
          </w:p>
        </w:tc>
        <w:tc>
          <w:tcPr>
            <w:tcW w:w="1400" w:type="dxa"/>
            <w:vAlign w:val="bottom"/>
            <w:tcBorders>
              <w:top w:val="single" w:sz="8" w:color="auto"/>
              <w:bottom w:val="single" w:sz="8" w:color="auto"/>
            </w:tcBorders>
            <w:shd w:val="clear" w:color="auto" w:fill="CFF0FC"/>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6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September 30, 2019</w:t>
            </w:r>
          </w:p>
        </w:tc>
        <w:tc>
          <w:tcPr>
            <w:tcW w:w="1400" w:type="dxa"/>
            <w:vAlign w:val="bottom"/>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tcBorders>
          </w:tcPr>
          <w:p>
            <w:pPr>
              <w:spacing w:after="0"/>
              <w:rPr>
                <w:sz w:val="21"/>
                <w:szCs w:val="21"/>
                <w:color w:val="auto"/>
              </w:rPr>
            </w:pPr>
          </w:p>
        </w:tc>
        <w:tc>
          <w:tcPr>
            <w:tcW w:w="49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2018</w:t>
            </w:r>
          </w:p>
        </w:tc>
        <w:tc>
          <w:tcPr>
            <w:tcW w:w="1400" w:type="dxa"/>
            <w:vAlign w:val="bottom"/>
            <w:shd w:val="clear" w:color="auto" w:fill="CFF0FC"/>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3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 (a)</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(16,849) (c)</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Balance — September 30, 2018</w:t>
            </w:r>
          </w:p>
        </w:tc>
        <w:tc>
          <w:tcPr>
            <w:tcW w:w="1400" w:type="dxa"/>
            <w:vAlign w:val="bottom"/>
            <w:tcBorders>
              <w:top w:val="single" w:sz="8" w:color="auto"/>
              <w:bottom w:val="single" w:sz="8" w:color="auto"/>
            </w:tcBorders>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CFF0FC"/>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380" w:type="dxa"/>
            <w:vAlign w:val="bottom"/>
            <w:tcBorders>
              <w:bottom w:val="single" w:sz="8" w:color="CFF0FC"/>
            </w:tcBorders>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26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September 30, 2018</w:t>
            </w:r>
          </w:p>
        </w:tc>
        <w:tc>
          <w:tcPr>
            <w:tcW w:w="1400" w:type="dxa"/>
            <w:vAlign w:val="bottom"/>
            <w:shd w:val="clear" w:color="auto" w:fill="CFF0FC"/>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49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tcPr>
          <w:p>
            <w:pPr>
              <w:jc w:val="right"/>
              <w:ind w:right="680"/>
              <w:spacing w:after="0"/>
              <w:rPr>
                <w:sz w:val="20"/>
                <w:szCs w:val="20"/>
                <w:color w:val="auto"/>
              </w:rPr>
            </w:pPr>
            <w:r>
              <w:rPr>
                <w:rFonts w:ascii="Times New Roman" w:cs="Times New Roman" w:eastAsia="Times New Roman" w:hAnsi="Times New Roman"/>
                <w:sz w:val="18"/>
                <w:szCs w:val="18"/>
                <w:color w:val="auto"/>
              </w:rPr>
              <w:t>- 41 -</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2019 and 2018 were as follows:</w:t>
      </w:r>
    </w:p>
    <w:p>
      <w:pPr>
        <w:spacing w:after="0" w:line="242"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Investment</w:t>
      </w:r>
    </w:p>
    <w:p>
      <w:pPr>
        <w:jc w:val="center"/>
        <w:ind w:left="880"/>
        <w:spacing w:after="0" w:line="229" w:lineRule="auto"/>
        <w:rPr>
          <w:sz w:val="20"/>
          <w:szCs w:val="20"/>
          <w:color w:val="auto"/>
        </w:rPr>
      </w:pPr>
      <w:r>
        <w:rPr>
          <w:rFonts w:ascii="Times New Roman" w:cs="Times New Roman" w:eastAsia="Times New Roman" w:hAnsi="Times New Roman"/>
          <w:sz w:val="14"/>
          <w:szCs w:val="14"/>
          <w:b w:val="1"/>
          <w:bCs w:val="1"/>
          <w:color w:val="auto"/>
        </w:rPr>
        <w:t>Securities</w:t>
      </w:r>
    </w:p>
    <w:p>
      <w:pPr>
        <w:jc w:val="center"/>
        <w:ind w:left="880"/>
        <w:spacing w:after="0" w:line="231" w:lineRule="auto"/>
        <w:rPr>
          <w:sz w:val="20"/>
          <w:szCs w:val="20"/>
          <w:color w:val="auto"/>
        </w:rPr>
      </w:pPr>
      <w:r>
        <w:rPr>
          <w:rFonts w:ascii="Times New Roman" w:cs="Times New Roman" w:eastAsia="Times New Roman" w:hAnsi="Times New Roman"/>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1"/>
        </w:trPr>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Privately Issued</w:t>
            </w:r>
          </w:p>
        </w:tc>
        <w:tc>
          <w:tcPr>
            <w:tcW w:w="520" w:type="dxa"/>
            <w:vAlign w:val="bottom"/>
            <w:gridSpan w:val="2"/>
          </w:tcPr>
          <w:p>
            <w:pPr>
              <w:spacing w:after="0"/>
              <w:rPr>
                <w:sz w:val="11"/>
                <w:szCs w:val="11"/>
                <w:color w:val="auto"/>
              </w:rPr>
            </w:pPr>
          </w:p>
        </w:tc>
        <w:tc>
          <w:tcPr>
            <w:tcW w:w="1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Other Assets and</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2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Backed Securities</w:t>
            </w: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 January 1, 2019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115,187</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Transfers out of Level 3 (a)</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(98,625) (c)</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September 30, 2019</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September 30, 2019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80" w:type="dxa"/>
            <w:vAlign w:val="bottom"/>
            <w:tcBorders>
              <w:bottom w:val="single" w:sz="8" w:color="auto"/>
            </w:tcBorders>
            <w:gridSpan w:val="2"/>
            <w:vMerge w:val="continue"/>
          </w:tcPr>
          <w:p>
            <w:pPr>
              <w:spacing w:after="0"/>
              <w:rPr>
                <w:sz w:val="24"/>
                <w:szCs w:val="24"/>
                <w:color w:val="auto"/>
              </w:rPr>
            </w:pPr>
          </w:p>
        </w:tc>
        <w:tc>
          <w:tcPr>
            <w:tcW w:w="4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 January 1, 2018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38,691</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Transfers out of Level 3 (a)</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(42,808) (c)</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September 30, 2018</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September 30, 2018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520" w:hanging="512"/>
        <w:spacing w:after="0" w:line="262" w:lineRule="auto"/>
        <w:tabs>
          <w:tab w:leader="none" w:pos="5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policy for transfers between fair value levels is to recognize the transfer as of the actual date of the event or change in circumstances that caused the transfer.</w:t>
      </w:r>
    </w:p>
    <w:p>
      <w:pPr>
        <w:ind w:left="520" w:hanging="512"/>
        <w:spacing w:after="0"/>
        <w:tabs>
          <w:tab w:leader="none" w:pos="5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mortgage banking revenues in the consolidated statement of income and includes the fair value of commitment issuances and expirations.</w:t>
      </w:r>
    </w:p>
    <w:p>
      <w:pPr>
        <w:spacing w:after="0" w:line="8"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Transfers out of Level 3 consist of interest rate locks transferred to closed loans.</w:t>
      </w:r>
    </w:p>
    <w:p>
      <w:pPr>
        <w:spacing w:after="0" w:line="206"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113" w:lineRule="exact"/>
        <w:rPr>
          <w:sz w:val="20"/>
          <w:szCs w:val="20"/>
          <w:color w:val="auto"/>
        </w:rPr>
      </w:pPr>
    </w:p>
    <w:p>
      <w:pPr>
        <w:ind w:right="320" w:firstLine="518"/>
        <w:spacing w:after="0" w:line="267"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85% at September 30, 2019.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$302 million at September 30, 2019 ($122 million and $180 million of which were classified as Level 2 and Level 3, respectively), $268 million at December 31, 2018 ($120 million and $148 million of which were classified as Level 2 and Level 3, respectively) and $292 million at September 30, 2018 ($128 million and $164 million of which were classified as Level 2 and Level 3, respectively). Changes in fair value recognized for partial charge-offs of loans and loan impairment reserves on loans held by the Company on September 30, 2019 were decreases of $51 million and $85 million for the three-month and nine-month periods ended September 30, 2019, respectively. Changes in fair value recognized for partial charge-offs of loans and loan impairment reserves on loans held by the Company on September 30, 2018 were decreases of $35 million and $69 million for the three-month and nine-month periods ended September 30, 2018,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Assets taken in foreclosure of defaulted loans</w:t>
      </w:r>
    </w:p>
    <w:p>
      <w:pPr>
        <w:spacing w:after="0" w:line="1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$17 million and $32 million at September 30, 2019 and 2018, respectively. Changes in fair value recognized for those foreclosed assets held by the Company were not material during the three-month and nine-month periods ended September 30, 2019 and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right="7900" w:firstLine="8"/>
        <w:spacing w:after="0" w:line="350" w:lineRule="auto"/>
        <w:tabs>
          <w:tab w:leader="none" w:pos="310"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Fair value measurements, continued </w:t>
      </w:r>
      <w:r>
        <w:rPr>
          <w:rFonts w:ascii="Times New Roman" w:cs="Times New Roman" w:eastAsia="Times New Roman" w:hAnsi="Times New Roman"/>
          <w:sz w:val="21"/>
          <w:szCs w:val="21"/>
          <w:b w:val="1"/>
          <w:bCs w:val="1"/>
          <w:i w:val="1"/>
          <w:iCs w:val="1"/>
          <w:color w:val="auto"/>
        </w:rPr>
        <w:t>Capitalized servicing rights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September 30, 2019, $193 million of capitalized servicing rights required a valuation allowance of approximately $23 million. No stratum of capitalized servicing rights required a valuation allowance at December 31, 2018 or September 30, 2018. Changes in fair value recognized for impairment of capitalized servicing rights were $14 million and $23 million for the three months and nine months ended September 30, 2019, respectively. No changes in fair value were recognized in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Significant unobservable inputs to Level 3 measurements</w:t>
      </w:r>
    </w:p>
    <w:p>
      <w:pPr>
        <w:spacing w:after="0" w:line="11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The following tables present quantitative information about significant unobservable inputs used in the fair value measurements for certain Level 3 assets and liabilities at September 30, 2019 and December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Inputs/Assumptions</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Privately issued mortgage-backed</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Two independent</w:t>
            </w: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pricing quotes</w:t>
            </w:r>
          </w:p>
        </w:tc>
        <w:tc>
          <w:tcPr>
            <w:tcW w:w="15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Discounted cash</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2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flow</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0%-96% (11%)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Privately issued mortgage-backed</w:t>
            </w:r>
          </w:p>
        </w:tc>
        <w:tc>
          <w:tcPr>
            <w:tcW w:w="72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040" w:type="dxa"/>
            <w:vAlign w:val="bottom"/>
            <w:tcBorders>
              <w:top w:val="single" w:sz="8" w:color="CFF0FC"/>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Two independent</w:t>
            </w:r>
          </w:p>
        </w:tc>
        <w:tc>
          <w:tcPr>
            <w:tcW w:w="124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5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pricing quotes</w:t>
            </w: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Discounted cash</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w:t>
            </w: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0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flow</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0%-95% (13%)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Level 3 assets (liabilities) consist of commitments to originate real estate loans.</w:t>
      </w:r>
    </w:p>
    <w:p>
      <w:pPr>
        <w:spacing w:after="0" w:line="226"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Sensitivity of fair value measurements to changes in unobservable inputs</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Disclosures of fair value of financial instruments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carrying amounts and estimated fair value for financial instrument assets (liabilities) are presented in the following table: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1,818,861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1,818,861</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1,765,090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12,495,524</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12,495,524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12,495,524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Trading account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614,256</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614,256</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565,532</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10,677,583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10,721,588</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104,199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10,525,863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23,201,372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34,945,231</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34,772,982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197,141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34,575,841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16,500,955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16,575,991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4,021,885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15,175,635</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15,157,025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15,157,025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(1,038,437)</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88,784,756</w:t>
            </w:r>
          </w:p>
        </w:tc>
        <w:tc>
          <w:tcPr>
            <w:tcW w:w="3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89,350,881</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4,219,026</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85,131,855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340,543</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(31,766,724)</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(31,766,724)</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(31,766,724)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8"/>
              </w:rPr>
              <w:t>(55,581,533)</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(55,581,533)</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(55,581,533)</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(6,203,679)</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(6,289,534)</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(6,289,534)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(1,561,997)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(1,561,997)</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(1,561,997)</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(5,513,896)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(5,513,896)</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(5,513,896)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(7,002,524)</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(7,056,344)</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(7,056,344)</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(90,623)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(90,623)</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(90,623)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(82,042)</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(82,042)</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(82,042)</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for sale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(11,912)</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(11,912)</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(130,413)</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(130,413)</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(130,413)</w:t>
            </w:r>
          </w:p>
        </w:tc>
        <w:tc>
          <w:tcPr>
            <w:tcW w:w="0" w:type="dxa"/>
            <w:vAlign w:val="bottom"/>
          </w:tcPr>
          <w:p>
            <w:pPr>
              <w:spacing w:after="0"/>
              <w:rPr>
                <w:sz w:val="1"/>
                <w:szCs w:val="1"/>
                <w:color w:val="auto"/>
              </w:rPr>
            </w:pPr>
          </w:p>
        </w:tc>
      </w:tr>
      <w:tr>
        <w:trPr>
          <w:trHeight w:val="211"/>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risk management</w:t>
            </w:r>
          </w:p>
        </w:tc>
        <w:tc>
          <w:tcPr>
            <w:tcW w:w="1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(6,142)</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(6,142)</w:t>
            </w:r>
          </w:p>
        </w:tc>
        <w:tc>
          <w:tcPr>
            <w:tcW w:w="2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(6,142)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- 45 -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1,605,439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1,605,439</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1,528,302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77,137</w:t>
            </w:r>
          </w:p>
        </w:tc>
        <w:tc>
          <w:tcPr>
            <w:tcW w:w="3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8,105,197</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8,105,197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8,105,197</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185,584</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46,018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139,566</w:t>
            </w:r>
          </w:p>
        </w:tc>
        <w:tc>
          <w:tcPr>
            <w:tcW w:w="3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12,692,813</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12,631,656</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12,456,467</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22,977,976</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22,587,387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22,587,387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34,363,556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33,832,558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346,775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17,154,446</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16,974,545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3,920,447</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13,054,098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13,970,499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13,819,545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(1,019,444)</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87,447,033</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87,214,035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4,267,222</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82,946,813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353,965</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353,965</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(32,256,668)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(32,256,668)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(32,256,668)</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(50,963,744)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(50,963,744)</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(50,963,744)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(6,124,254)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(6,201,957)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(6,201,957)</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(811,906)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(811,906)</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(811,906)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(4,398,378)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(4,398,378)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(4,398,378)</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(8,444,914)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(8,385,289)</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(8,385,289)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(95,274)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(95,274)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(95,274)</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(178,125)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(178,125)</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(178,125)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(6,177)</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(6,177)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(6,177)</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(131,688)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(131,688)</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(131,688)</w:t>
            </w:r>
          </w:p>
        </w:tc>
        <w:tc>
          <w:tcPr>
            <w:tcW w:w="0" w:type="dxa"/>
            <w:vAlign w:val="bottom"/>
          </w:tcPr>
          <w:p>
            <w:pPr>
              <w:spacing w:after="0"/>
              <w:rPr>
                <w:sz w:val="1"/>
                <w:szCs w:val="1"/>
                <w:color w:val="auto"/>
              </w:rPr>
            </w:pPr>
          </w:p>
        </w:tc>
      </w:tr>
      <w:tr>
        <w:trPr>
          <w:trHeight w:val="211"/>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 interest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rate risk management</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8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Commitments and contingencies</w:t>
      </w:r>
    </w:p>
    <w:p>
      <w:pPr>
        <w:spacing w:after="0" w:line="1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Certain of these commitments are not included in the Company's 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155"/>
        </w:trPr>
        <w:tc>
          <w:tcPr>
            <w:tcW w:w="5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2"/>
          </w:tcPr>
          <w:p>
            <w:pPr>
              <w:jc w:val="right"/>
              <w:ind w:right="7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5,451,328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5,484,197</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 loans to be sold</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393,397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229,401</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8,222,395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7,556,722</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real estate loans to be sold</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530,093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245,211</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residential real estate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511,854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219,351</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other</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16,313,801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14,363,803</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2,373,846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2,326,991</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38,633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55,808</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3,996,029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3,529,136</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1,350,292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940,692</w:t>
            </w:r>
          </w:p>
        </w:tc>
        <w:tc>
          <w:tcPr>
            <w:tcW w:w="80" w:type="dxa"/>
            <w:vAlign w:val="bottom"/>
            <w:shd w:val="clear" w:color="auto" w:fill="CFF0FC"/>
          </w:tcPr>
          <w:p>
            <w:pPr>
              <w:spacing w:after="0"/>
              <w:rPr>
                <w:sz w:val="19"/>
                <w:szCs w:val="19"/>
                <w:color w:val="auto"/>
              </w:rPr>
            </w:pPr>
          </w:p>
        </w:tc>
      </w:tr>
    </w:tbl>
    <w:p>
      <w:pPr>
        <w:spacing w:after="0" w:line="239"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$8.9 billion and $8.6 billion at September 30, 2019 and December 31, 2018,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8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$3.8 billion and $3.4 billion at September 30, 2019 and December 31, 2018, respectively.</w:t>
      </w:r>
    </w:p>
    <w:p>
      <w:pPr>
        <w:spacing w:after="0" w:line="188" w:lineRule="exact"/>
        <w:rPr>
          <w:sz w:val="20"/>
          <w:szCs w:val="20"/>
          <w:color w:val="auto"/>
        </w:rPr>
      </w:pPr>
    </w:p>
    <w:p>
      <w:pPr>
        <w:jc w:val="both"/>
        <w:ind w:right="20" w:firstLine="518"/>
        <w:spacing w:after="0" w:line="267"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64"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Commitments and contingencies, continued</w:t>
      </w:r>
    </w:p>
    <w:p>
      <w:pPr>
        <w:spacing w:after="0" w:line="11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2019, the Company believes that its obligation to loan purchasers was not material to the Company’s consolidated financial position.</w:t>
      </w:r>
    </w:p>
    <w:p>
      <w:pPr>
        <w:spacing w:after="0" w:line="8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As previously disclosed, Wilmington Trust Corporation, a wholly-owned subsidiary of M&amp;T, was the subject of a class action lawsuit alleging that Wilmington Trust Corporation’s financial reporting and securities filings prior to its acquisition by M&amp;T in 2011 were in violation of securities laws. In April 2018, the parties reached an agreement in principle and a formal settlement agreement was executed and filed with the court later in the second quarter of 2018. The proposed settlement was preliminarily approved by the court in July 2018. In the first quarter of 2018, the Company increased its reserve for litigation matters in anticipation of the settlement. The settlement amount of $200 million was paid, pursuant to the settlement agreement, during the third quarter of 2018. The settlement agreement was approved by the court in the fourth quarter of 2018.</w:t>
      </w:r>
    </w:p>
    <w:p>
      <w:pPr>
        <w:spacing w:after="0" w:line="19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Wilmington Trust, N.A., a wholly owned bank subsidiary of M&amp;T, provides retirement services, including serving in certain trustee roles relating to Employee 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In July 2019, Wilmington Trust, N.A. reached a settlement in principle with the DOL to resolve certain pending DOL ESOP matters. Although a formal settlement agreement has yet to be prepared and executed, the Company does not expect that the agreed-upon settlement will have a material incremental impact on the Company’s consolidated financial position or results of operations. Wilmington Trust, N.A. has also been named as a defendant in five private party lawsuits relating to its role as trustee for five ESOP transactions.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86"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other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Such expense was $50 million and $135 million during the three months ended March 31, 2019 and 2018, respectively.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$50 million as of September 30, 2019.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15. Segment information</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22 of Notes to Financial Statements in the 2018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Information about the Company's segments is presented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760" w:type="dxa"/>
            <w:vAlign w:val="bottom"/>
            <w:gridSpan w:val="4"/>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60" w:type="dxa"/>
            <w:vAlign w:val="bottom"/>
          </w:tcPr>
          <w:p>
            <w:pPr>
              <w:spacing w:after="0"/>
              <w:rPr>
                <w:sz w:val="11"/>
                <w:szCs w:val="11"/>
                <w:color w:val="auto"/>
              </w:rPr>
            </w:pPr>
          </w:p>
        </w:tc>
        <w:tc>
          <w:tcPr>
            <w:tcW w:w="720" w:type="dxa"/>
            <w:vAlign w:val="bottom"/>
            <w:gridSpan w:val="2"/>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7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4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40" w:type="dxa"/>
            <w:vAlign w:val="bottom"/>
          </w:tcPr>
          <w:p>
            <w:pPr>
              <w:spacing w:after="0"/>
              <w:rPr>
                <w:sz w:val="15"/>
                <w:szCs w:val="15"/>
                <w:color w:val="auto"/>
              </w:rPr>
            </w:pPr>
          </w:p>
        </w:tc>
        <w:tc>
          <w:tcPr>
            <w:tcW w:w="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10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143,741</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46,147</w:t>
            </w:r>
          </w:p>
        </w:tc>
        <w:tc>
          <w:tcPr>
            <w:tcW w:w="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138,898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27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282,757</w:t>
            </w:r>
          </w:p>
        </w:tc>
        <w:tc>
          <w:tcPr>
            <w:tcW w:w="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132,668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280,671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238,364</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131,161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214,266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27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50,871</w:t>
            </w:r>
          </w:p>
        </w:tc>
        <w:tc>
          <w:tcPr>
            <w:tcW w:w="100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(10,550)</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29,604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53,061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(10,270)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115,239</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8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15,846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27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432,339</w:t>
            </w:r>
          </w:p>
        </w:tc>
        <w:tc>
          <w:tcPr>
            <w:tcW w:w="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131,638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427,452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294,358</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(12,971)</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294,381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(10,160)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$ 1,557,669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480,081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$ 1,488,332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3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0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5"/>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60" w:type="dxa"/>
            <w:vAlign w:val="bottom"/>
          </w:tcPr>
          <w:p>
            <w:pPr>
              <w:spacing w:after="0"/>
              <w:rPr>
                <w:sz w:val="11"/>
                <w:szCs w:val="11"/>
                <w:color w:val="auto"/>
              </w:rPr>
            </w:pPr>
          </w:p>
        </w:tc>
        <w:tc>
          <w:tcPr>
            <w:tcW w:w="580" w:type="dxa"/>
            <w:vAlign w:val="bottom"/>
          </w:tcPr>
          <w:p>
            <w:pPr>
              <w:jc w:val="center"/>
              <w:ind w:right="206"/>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78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40" w:type="dxa"/>
            <w:vAlign w:val="bottom"/>
          </w:tcPr>
          <w:p>
            <w:pPr>
              <w:spacing w:after="0"/>
              <w:rPr>
                <w:sz w:val="11"/>
                <w:szCs w:val="11"/>
                <w:color w:val="auto"/>
              </w:rPr>
            </w:pPr>
          </w:p>
        </w:tc>
        <w:tc>
          <w:tcPr>
            <w:tcW w:w="720" w:type="dxa"/>
            <w:vAlign w:val="bottom"/>
          </w:tcPr>
          <w:p>
            <w:pPr>
              <w:jc w:val="center"/>
              <w:ind w:right="86"/>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00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8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10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1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10"/>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423,830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131,668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402,811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2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828,357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388,393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816,566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682,979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370,288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622,414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2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175,764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(29,140)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162,075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(31,656)</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295,449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244,228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2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1,299,823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417,198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1,241,468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955,868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(35,690)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(14,709)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899,184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(30,147)</w:t>
            </w:r>
          </w:p>
        </w:tc>
        <w:tc>
          <w:tcPr>
            <w:tcW w:w="1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(30,033)</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$ 4,662,070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1,436,083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$ 4,388,746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1,371,861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0" w:type="dxa"/>
            <w:vAlign w:val="bottom"/>
          </w:tcPr>
          <w:p>
            <w:pPr>
              <w:spacing w:after="0"/>
              <w:rPr>
                <w:sz w:val="24"/>
                <w:szCs w:val="24"/>
                <w:color w:val="auto"/>
              </w:rPr>
            </w:pPr>
          </w:p>
        </w:tc>
        <w:tc>
          <w:tcPr>
            <w:tcW w:w="2440" w:type="dxa"/>
            <w:vAlign w:val="bottom"/>
            <w:gridSpan w:val="3"/>
          </w:tcPr>
          <w:p>
            <w:pPr>
              <w:jc w:val="right"/>
              <w:ind w:right="262"/>
              <w:spacing w:after="0"/>
              <w:rPr>
                <w:sz w:val="20"/>
                <w:szCs w:val="20"/>
                <w:color w:val="auto"/>
              </w:rPr>
            </w:pPr>
            <w:r>
              <w:rPr>
                <w:rFonts w:ascii="Times New Roman" w:cs="Times New Roman" w:eastAsia="Times New Roman" w:hAnsi="Times New Roman"/>
                <w:sz w:val="18"/>
                <w:szCs w:val="18"/>
                <w:color w:val="auto"/>
              </w:rPr>
              <w:t>- 49 -</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15. Segment information,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Total Assets</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31"/>
        </w:trPr>
        <w:tc>
          <w:tcPr>
            <w:tcW w:w="5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5"/>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1"/>
                <w:szCs w:val="11"/>
                <w:color w:val="auto"/>
              </w:rPr>
            </w:pPr>
          </w:p>
        </w:tc>
      </w:tr>
      <w:tr>
        <w:trPr>
          <w:trHeight w:val="162"/>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184"/>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80" w:type="dxa"/>
            <w:vAlign w:val="bottom"/>
          </w:tcPr>
          <w:p>
            <w:pPr>
              <w:spacing w:after="0"/>
              <w:rPr>
                <w:sz w:val="24"/>
                <w:szCs w:val="24"/>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8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32,123</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80" w:type="dxa"/>
            <w:vAlign w:val="bottom"/>
          </w:tcPr>
          <w:p>
            <w:pPr>
              <w:spacing w:after="0"/>
              <w:rPr>
                <w:sz w:val="19"/>
                <w:szCs w:val="19"/>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jc w:val="both"/>
        <w:ind w:left="520" w:hanging="512"/>
        <w:spacing w:after="0" w:line="267" w:lineRule="auto"/>
        <w:tabs>
          <w:tab w:leader="none" w:pos="52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$5,579,000 and $5,733,000 for the three-month periods ended September 30, 2019 and 2018, respectively, and $17,471,000 and $15,939,000 for the nine-month periods ended September 30, 2019 and 2018, respectively, and is eliminated in "All Other" total revenues. Intersegment revenues are included in total revenues of the reportable segments. The elimination of intersegment revenues is included in the determination of "All Other" total revenues</w:t>
      </w:r>
      <w:r>
        <w:rPr>
          <w:rFonts w:ascii="Times New Roman" w:cs="Times New Roman" w:eastAsia="Times New Roman" w:hAnsi="Times New Roman"/>
          <w:sz w:val="14"/>
          <w:szCs w:val="14"/>
          <w:i w:val="1"/>
          <w:iCs w:val="1"/>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Relationship with Bayview Lending Group LLC and Bayview Financial Holdings, L.P.</w:t>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M&amp;T holds a 20% minority interest in Bayview Lending Group LLC ("BLG"), a privately-held commercial mortgage company. M&amp;T recognizes income or loss from BLG using the equity method of accounting. That investment had no remaining carrying value at September 30, 2019 as a result of cumulative losses recognized and cash distributions received in prior years. Income recognized by M&amp;T is included in other revenues from operations and was not significant during the three-month periods ended September 30, 2019 and 2018. Income recognized during the nine month-periods ended September 30, 2019 and 2018 totaled $37 million and $24 million, respectively.</w:t>
      </w:r>
    </w:p>
    <w:p>
      <w:pPr>
        <w:spacing w:after="0" w:line="8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$2.3 billion and $2.5 billion at September 30, 2019 and December 31, 2018, respectively. Revenues from those servicing rights were $3 million and $4 million for the three-month periods ended September 30, 2019 and 2018, respectively, and $9 million and $11 million for the nine-month periods ended September 30, 2019 and 2018, respectively. The Company sub-services residential mortgage loans for Bayview Financial having outstanding principal balances of $65.1 billion and $56.8 billion at September 30, 2019 and December 31, 2018, respectively. Revenues earned for sub-servicing loans for Bayview Financial were $33 million and $28 million for the three-month periods ended September 30, 2019 and 2018, respectively, and $90 million and $86 million for the nine-month periods ended September 30, 2019 and 2018, respectively. In addition, the Company held $100 million and $113 million of mortgage-backed securities in its held-to-maturity portfolio at September 30, 2019 and December 31, 2018, respectively, that were securitized by Bayview Financial. At September 30, 2019, the Company held $90 million of Bayview Financial’s $714 million syndicated loan facility.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 Recent accounting developments</w:t>
      </w:r>
    </w:p>
    <w:p>
      <w:pPr>
        <w:spacing w:after="0" w:line="22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21"/>
          <w:szCs w:val="21"/>
          <w:color w:val="auto"/>
        </w:rPr>
        <w:t>The following table provides a description of accounting standards that were adopted by the Company in 2019 as well as standards that are not effective that could have an impact to M&amp;T’s consolidated financial statements upon adoption.</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120" w:type="dxa"/>
            <w:vAlign w:val="bottom"/>
            <w:tcBorders>
              <w:top w:val="single" w:sz="8" w:color="auto"/>
            </w:tcBorders>
          </w:tcPr>
          <w:p>
            <w:pPr>
              <w:spacing w:after="0"/>
              <w:rPr>
                <w:sz w:val="11"/>
                <w:szCs w:val="11"/>
                <w:color w:val="auto"/>
              </w:rPr>
            </w:pPr>
          </w:p>
        </w:tc>
        <w:tc>
          <w:tcPr>
            <w:tcW w:w="3860" w:type="dxa"/>
            <w:vAlign w:val="bottom"/>
            <w:tcBorders>
              <w:top w:val="single" w:sz="8" w:color="auto"/>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360" w:type="dxa"/>
            <w:vAlign w:val="bottom"/>
            <w:tcBorders>
              <w:top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vMerge w:val="continue"/>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Adopted in 2019</w:t>
            </w:r>
          </w:p>
        </w:tc>
        <w:tc>
          <w:tcPr>
            <w:tcW w:w="3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Leases</w:t>
            </w:r>
          </w:p>
        </w:tc>
        <w:tc>
          <w:tcPr>
            <w:tcW w:w="120" w:type="dxa"/>
            <w:vAlign w:val="bottom"/>
            <w:shd w:val="clear" w:color="auto" w:fill="CFF0FC"/>
          </w:tcPr>
          <w:p>
            <w:pPr>
              <w:spacing w:after="0"/>
              <w:rPr>
                <w:sz w:val="23"/>
                <w:szCs w:val="23"/>
                <w:color w:val="auto"/>
              </w:rPr>
            </w:pPr>
          </w:p>
        </w:tc>
        <w:tc>
          <w:tcPr>
            <w:tcW w:w="386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The new guidance requires lessees to record a right-of-use asset</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2019</w:t>
            </w:r>
          </w:p>
        </w:tc>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Company adopted the guidance on January 1, 2019 and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and a lease liability for all leases with a term greater than 12</w:t>
            </w:r>
          </w:p>
        </w:tc>
        <w:tc>
          <w:tcPr>
            <w:tcW w:w="148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guidance retrospectively at the beginning of the period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months. While the guidance requires all leases to be</w:t>
            </w:r>
          </w:p>
        </w:tc>
        <w:tc>
          <w:tcPr>
            <w:tcW w:w="1480" w:type="dxa"/>
            <w:vAlign w:val="bottom"/>
            <w:tcBorders>
              <w:right w:val="single" w:sz="8" w:color="auto"/>
            </w:tcBorders>
            <w:vMerge w:val="continue"/>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adoption. The Company occupies certain banking offices and uses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recognized in the balance sheet, there continues to be a</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certain equipment under noncancelable operating lease agreements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differentiation between finance leases and operating leases for</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which prior to the adoption of the guidance were not reflected in its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purposes of income statement recognition and cash flow</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balance sheet. Upon adoption, the Company recognized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statement presentation. For finance leases, interest on the lease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 right-of-use asset of $394 million and increased liabilities by $399</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liability and amortization of the right-of-use asset is recognized</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million as a result of recognizing lease liabilities in its consolidated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separately in the statement of income. Repayments of principal</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balance sheet. The new guidance did not have a material impact 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on those lease liabilities are classified within financing</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Company’s consolidated statement of income.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activities and payments of interest on the lease liability are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classified within operating activities in the statement of cash</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flows. For operating leases, a single lease cost is recognized in</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the statement of income and allocated over the lease term,</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generally on a straight-line basis. All cash payments are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presented within operating activities in the statement of cash</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flows. The accounting applied by lessors is largely unchanged,</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however, the guidance eliminates the accounting model for</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leveraged leases for leases that commence after the effective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date of the guidance.</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36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Premium Amortization</w:t>
            </w:r>
          </w:p>
        </w:tc>
        <w:tc>
          <w:tcPr>
            <w:tcW w:w="120" w:type="dxa"/>
            <w:vAlign w:val="bottom"/>
          </w:tcPr>
          <w:p>
            <w:pPr>
              <w:spacing w:after="0"/>
              <w:rPr>
                <w:sz w:val="23"/>
                <w:szCs w:val="23"/>
                <w:color w:val="auto"/>
              </w:rPr>
            </w:pPr>
          </w:p>
        </w:tc>
        <w:tc>
          <w:tcPr>
            <w:tcW w:w="3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amended guidance requires the premium on callable debt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2019</w:t>
            </w:r>
          </w:p>
        </w:tc>
        <w:tc>
          <w:tcPr>
            <w:tcW w:w="4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on Purchased Callable</w:t>
            </w: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securities to be amortized to the earliest call date. The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2019 and applied the modified retrospective approach for reporting</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Debt Securities</w:t>
            </w: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amendments do not require an accounting change for securities</w:t>
            </w:r>
          </w:p>
        </w:tc>
        <w:tc>
          <w:tcPr>
            <w:tcW w:w="1480" w:type="dxa"/>
            <w:vAlign w:val="bottom"/>
            <w:tcBorders>
              <w:right w:val="single" w:sz="8" w:color="auto"/>
            </w:tcBorders>
            <w:vMerge w:val="continue"/>
          </w:tcPr>
          <w:p>
            <w:pPr>
              <w:spacing w:after="0"/>
              <w:rPr>
                <w:sz w:val="12"/>
                <w:szCs w:val="12"/>
                <w:color w:val="auto"/>
              </w:rPr>
            </w:pPr>
          </w:p>
        </w:tc>
        <w:tc>
          <w:tcPr>
            <w:tcW w:w="4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purposes. The adoption did not have a material effect on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held at a discount; the discount continues to be amortized to</w:t>
            </w: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Company’s consolidated financial position nor on its results of</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maturity.</w:t>
            </w:r>
          </w:p>
        </w:tc>
        <w:tc>
          <w:tcPr>
            <w:tcW w:w="1480" w:type="dxa"/>
            <w:vAlign w:val="bottom"/>
            <w:tcBorders>
              <w:bottom w:val="single" w:sz="8" w:color="auto"/>
              <w:right w:val="single" w:sz="8" w:color="auto"/>
            </w:tcBorders>
          </w:tcPr>
          <w:p>
            <w:pPr>
              <w:spacing w:after="0"/>
              <w:rPr>
                <w:sz w:val="14"/>
                <w:szCs w:val="14"/>
                <w:color w:val="auto"/>
              </w:rPr>
            </w:pPr>
          </w:p>
        </w:tc>
        <w:tc>
          <w:tcPr>
            <w:tcW w:w="4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operations.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980" w:type="dxa"/>
            <w:vAlign w:val="bottom"/>
            <w:tcBorders>
              <w:top w:val="single" w:sz="8" w:color="auto"/>
              <w:right w:val="single" w:sz="8" w:color="auto"/>
            </w:tcBorders>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980" w:type="dxa"/>
            <w:vAlign w:val="bottom"/>
            <w:tcBorders>
              <w:bottom w:val="single" w:sz="8" w:color="auto"/>
              <w:right w:val="single" w:sz="8" w:color="auto"/>
            </w:tcBorders>
            <w:vMerge w:val="continue"/>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Not Yet Adopted as of September 30, 2019</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Measurement of Credit</w:t>
            </w:r>
          </w:p>
        </w:tc>
        <w:tc>
          <w:tcPr>
            <w:tcW w:w="3980" w:type="dxa"/>
            <w:vAlign w:val="bottom"/>
            <w:tcBorders>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The amended guidance replaces the current incurred loss</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26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Company has completed its second parallel run of its approach</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Losses on Financial</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model for determining the allowance for credit losses.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 determining expected credit losses under the new guidance.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Instruments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guidance requires financial assets measured at amortized cost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Company’s cross-functional implementation team continues to refine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be presented at the net amount expected to be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its models and the qualitative framework and to build out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collected. The allowance for credit losses will represent a</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technology platform to support the estimation process. The Company</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valuation account that is deducted from the amortized cost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 also completing its documentation and internal controls testing.</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basis of the financial assets to present their net carrying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Company’s current planned approach for estimating expected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at the amount expected to be collected. The income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credit losses for loans includes utilizing macro-economic</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statement will reflect the measurement of credit losses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assumptions to project losses over a two-year reasonable and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newly recognized financial assets as well as expected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supportable forecast period. Subsequent to the forecast period,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increases or decreases of expected credit losses that have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 reverts to longer term historical loss experience to estimate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taken place during the period. When determining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expected credit losses over the remaining contractual life.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expected credit losses over the contractual term</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Company anticipates an increase to the allowance for credit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the financial asset(s) (taking into account prepayments)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will be estimated considering relevant information about past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losses that could range from 5 to 15 percent upon adoption of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events, current conditions, and reasonable and supportable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standard. The amount of the change will be affected by economic</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forecasts that affect the collectibility of the reported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conditions, reasonable forecasts of such conditions and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 The amended guidance also requires recording an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composition of the Company’s portfolio as of the date of adoption.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 for purchased financial assets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estimated effect on the allowance for credit losses is primarily</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 a more-than-insignificant amount of credit deterioration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since origination. The initial allowance for these assets will</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attributable to increases in reserves for residential mortgage loans and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be added to the purchase price at acquisition rather than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consumer loans, which generally have longer estimated lives as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being reported as an expense. Subsequent changes in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compared to commercial and commercial real estate loans.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will be recorded through the income statement as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 credit losses associated with commercial and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 expense adjustment. In addition, the amended guidance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real estate loans is expected to remain similar to current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requires credit losses relating to available-for-sale debt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levels. The Company does not expect a material allowance for credit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securities to be recorded through an allowance for credit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losses on held-to-maturity debt securities as most of this portfolio</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losses. The calculation of credit losses for available-for-sale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consists of U.S. Treasury and federal agency securities.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securities will be similar to how it is determined under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existing guidance.</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Simplifying the Test</w:t>
            </w:r>
          </w:p>
        </w:tc>
        <w:tc>
          <w:tcPr>
            <w:tcW w:w="3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amended guidance eliminates step 2 from the goodwill</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using a prospective transition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Goodwill</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test.</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method. The Company does not expect the guidance will have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 impact on its consolidated financial statements, unless at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some point in the future one of its reporting units were to fail step 1</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the goodwill impairment test.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64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780" w:type="dxa"/>
            <w:vAlign w:val="bottom"/>
            <w:tcBorders>
              <w:top w:val="single" w:sz="8" w:color="auto"/>
            </w:tcBorders>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Borders>
              <w:top w:val="single" w:sz="8" w:color="auto"/>
              <w:right w:val="single" w:sz="8" w:color="auto"/>
            </w:tcBorders>
          </w:tcPr>
          <w:p>
            <w:pPr>
              <w:spacing w:after="0"/>
              <w:rPr>
                <w:sz w:val="11"/>
                <w:szCs w:val="11"/>
                <w:color w:val="auto"/>
              </w:rPr>
            </w:pPr>
          </w:p>
        </w:tc>
        <w:tc>
          <w:tcPr>
            <w:tcW w:w="15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300" w:type="dxa"/>
            <w:vAlign w:val="bottom"/>
            <w:tcBorders>
              <w:top w:val="single" w:sz="8" w:color="auto"/>
              <w:right w:val="single" w:sz="8" w:color="auto"/>
            </w:tcBorders>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6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2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Standards Not Yet Adopted as of September 30, 2019</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Changes to the</w:t>
            </w:r>
          </w:p>
        </w:tc>
        <w:tc>
          <w:tcPr>
            <w:tcW w:w="3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The amended guidance modifies the disclosure requirements</w:t>
            </w:r>
          </w:p>
        </w:tc>
        <w:tc>
          <w:tcPr>
            <w:tcW w:w="180" w:type="dxa"/>
            <w:vAlign w:val="bottom"/>
            <w:tcBorders>
              <w:right w:val="single" w:sz="8" w:color="auto"/>
            </w:tcBorders>
            <w:shd w:val="clear" w:color="auto" w:fill="CFF0FC"/>
          </w:tcPr>
          <w:p>
            <w:pPr>
              <w:spacing w:after="0"/>
              <w:rPr>
                <w:sz w:val="23"/>
                <w:szCs w:val="23"/>
                <w:color w:val="auto"/>
              </w:rPr>
            </w:pPr>
          </w:p>
        </w:tc>
        <w:tc>
          <w:tcPr>
            <w:tcW w:w="15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300" w:type="dxa"/>
            <w:vAlign w:val="bottom"/>
            <w:tcBorders>
              <w:right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The amendments relating to changes in unrealized gains and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Disclosure</w:t>
            </w: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on fair value measurements in Topic 820, Fair Value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300" w:type="dxa"/>
            <w:vAlign w:val="bottom"/>
            <w:tcBorders>
              <w:right w:val="single" w:sz="8" w:color="auto"/>
            </w:tcBorders>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losses, the range and weighted average of significant unobservable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Requirements for Fair</w:t>
            </w: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Measurements. The amendments are a result of the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vMerge w:val="continue"/>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inputs used to develop Level 3 fair value measurements, and the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Value Measurements</w:t>
            </w: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framework project that focuses on improvements</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300" w:type="dxa"/>
            <w:vAlign w:val="bottom"/>
            <w:tcBorders>
              <w:right w:val="single" w:sz="8" w:color="auto"/>
            </w:tcBorders>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narrative description of measurements uncertainty should be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the effectiveness of disclosures in the notes to financial</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applied prospectively. All other amendments should be applied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statements. The amendments remove, modify, and add</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retrospectively. The Company does not expect the guidance to</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certain disclosure requirements. The disclosure requirements</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have a material impact on its consolidated financial statements.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being removed relating to public companies are (1) the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 and reason for transfers between Level 1 and Level 2</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the fair value hierarchy, (2) the policy for timing of</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transfers between levels, and (3) the valuation process for</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Level 3 fair value measurements. The disclosure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requirements being modified relating to public companies are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(1) for investments in certain entities that calculate net asset</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value, an entity is required to disclose the timing of</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liquidation of an investee’s asset and the date when</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restrictions from redemption might lapse only if the investee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has communicated the timing to the entity or announced the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timing publicly, and (2) the measurement uncertainty</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is to communicate information about the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uncertainty in measurement as a result of the use of</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unobservable inputs. The disclosure requirements being</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added relating to public companies are (1) to disclose the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unrealized gains and losses for the period for</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recurring Level 3 fair value measurements, and (2) to</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disclose the range and weighted average of significant</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unobservable inputs used to develop Level 3 fair value</w:t>
            </w:r>
          </w:p>
        </w:tc>
        <w:tc>
          <w:tcPr>
            <w:tcW w:w="18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7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measurements.</w:t>
            </w:r>
          </w:p>
        </w:tc>
        <w:tc>
          <w:tcPr>
            <w:tcW w:w="180" w:type="dxa"/>
            <w:vAlign w:val="bottom"/>
            <w:tcBorders>
              <w:bottom w:val="single" w:sz="8" w:color="auto"/>
              <w:right w:val="single" w:sz="8" w:color="auto"/>
            </w:tcBorders>
            <w:shd w:val="clear" w:color="auto" w:fill="CFF0FC"/>
          </w:tcPr>
          <w:p>
            <w:pPr>
              <w:spacing w:after="0"/>
              <w:rPr>
                <w:sz w:val="14"/>
                <w:szCs w:val="14"/>
                <w:color w:val="auto"/>
              </w:rPr>
            </w:pP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3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6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Customer’s</w:t>
            </w:r>
          </w:p>
        </w:tc>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amended guidance requires a hosting arrangement that is</w:t>
            </w:r>
          </w:p>
        </w:tc>
        <w:tc>
          <w:tcPr>
            <w:tcW w:w="18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3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The amendments should be applied either retrospectively or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Accounting for</w:t>
            </w:r>
          </w:p>
        </w:tc>
        <w:tc>
          <w:tcPr>
            <w:tcW w:w="3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 service contract to follow the guidance in Subtopic 350-40</w:t>
            </w:r>
          </w:p>
        </w:tc>
        <w:tc>
          <w:tcPr>
            <w:tcW w:w="1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30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prospectively to all implementation costs incurred after the date of</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Implementation Costs</w:t>
            </w:r>
          </w:p>
        </w:tc>
        <w:tc>
          <w:tcPr>
            <w:tcW w:w="3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to determine which implementation costs to capitalize and</w:t>
            </w:r>
          </w:p>
        </w:tc>
        <w:tc>
          <w:tcPr>
            <w:tcW w:w="1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430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adoption. The Company expects to implement the guidance on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Incurred in a Cloud</w:t>
            </w:r>
          </w:p>
        </w:tc>
        <w:tc>
          <w:tcPr>
            <w:tcW w:w="3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which costs to expense.</w:t>
            </w:r>
          </w:p>
        </w:tc>
        <w:tc>
          <w:tcPr>
            <w:tcW w:w="1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30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prospective basis and does not expect the guidance to have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Computing</w:t>
            </w:r>
          </w:p>
        </w:tc>
        <w:tc>
          <w:tcPr>
            <w:tcW w:w="37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material impact on its consolidated financial statements.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Arrangement That Is a</w:t>
            </w:r>
          </w:p>
        </w:tc>
        <w:tc>
          <w:tcPr>
            <w:tcW w:w="37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Service Contract</w:t>
            </w:r>
          </w:p>
        </w:tc>
        <w:tc>
          <w:tcPr>
            <w:tcW w:w="37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4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40" w:type="dxa"/>
            <w:vAlign w:val="bottom"/>
            <w:tcBorders>
              <w:left w:val="single" w:sz="8" w:color="auto"/>
              <w:bottom w:val="single" w:sz="8" w:color="auto"/>
              <w:right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1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0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- 53 -</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4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980" w:type="dxa"/>
            <w:vAlign w:val="bottom"/>
            <w:tcBorders>
              <w:top w:val="single" w:sz="8" w:color="auto"/>
              <w:right w:val="single" w:sz="8" w:color="auto"/>
            </w:tcBorders>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980" w:type="dxa"/>
            <w:vAlign w:val="bottom"/>
            <w:tcBorders>
              <w:bottom w:val="single" w:sz="8" w:color="auto"/>
              <w:right w:val="single" w:sz="8" w:color="auto"/>
            </w:tcBorders>
            <w:vMerge w:val="continue"/>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Not Yet Adopted as of September 30, 2019</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1700" w:type="dxa"/>
            <w:vAlign w:val="bottom"/>
            <w:tcBorders>
              <w:left w:val="single" w:sz="8" w:color="auto"/>
              <w:right w:val="single" w:sz="8" w:color="auto"/>
            </w:tcBorders>
            <w:shd w:val="clear" w:color="auto" w:fill="CFF0FC"/>
          </w:tcPr>
          <w:p>
            <w:pPr>
              <w:ind w:left="160"/>
              <w:spacing w:after="0" w:line="119" w:lineRule="exact"/>
              <w:rPr>
                <w:sz w:val="20"/>
                <w:szCs w:val="20"/>
                <w:color w:val="auto"/>
              </w:rPr>
            </w:pPr>
            <w:r>
              <w:rPr>
                <w:rFonts w:ascii="Times New Roman" w:cs="Times New Roman" w:eastAsia="Times New Roman" w:hAnsi="Times New Roman"/>
                <w:sz w:val="13"/>
                <w:szCs w:val="13"/>
                <w:color w:val="auto"/>
              </w:rPr>
              <w:t>Improvements to</w:t>
            </w:r>
          </w:p>
        </w:tc>
        <w:tc>
          <w:tcPr>
            <w:tcW w:w="3980" w:type="dxa"/>
            <w:vAlign w:val="bottom"/>
            <w:tcBorders>
              <w:right w:val="single" w:sz="8" w:color="auto"/>
            </w:tcBorders>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The amended guidance requires that indirect interests held</w:t>
            </w:r>
          </w:p>
        </w:tc>
        <w:tc>
          <w:tcPr>
            <w:tcW w:w="1480" w:type="dxa"/>
            <w:vAlign w:val="bottom"/>
            <w:tcBorders>
              <w:right w:val="single" w:sz="8" w:color="auto"/>
            </w:tcBorders>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January 1, 2020</w:t>
            </w:r>
          </w:p>
        </w:tc>
        <w:tc>
          <w:tcPr>
            <w:tcW w:w="4260" w:type="dxa"/>
            <w:vAlign w:val="bottom"/>
            <w:tcBorders>
              <w:right w:val="single" w:sz="8" w:color="auto"/>
            </w:tcBorders>
            <w:shd w:val="clear" w:color="auto" w:fill="CFF0FC"/>
          </w:tcPr>
          <w:p>
            <w:pPr>
              <w:ind w:left="100"/>
              <w:spacing w:after="0" w:line="119" w:lineRule="exact"/>
              <w:rPr>
                <w:sz w:val="20"/>
                <w:szCs w:val="20"/>
                <w:color w:val="auto"/>
              </w:rPr>
            </w:pPr>
            <w:r>
              <w:rPr>
                <w:rFonts w:ascii="Times New Roman" w:cs="Times New Roman" w:eastAsia="Times New Roman" w:hAnsi="Times New Roman"/>
                <w:sz w:val="13"/>
                <w:szCs w:val="13"/>
                <w:color w:val="auto"/>
              </w:rPr>
              <w:t>The amendments should be applied retrospectively with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Related Party</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through related parties in common control arrangements</w:t>
            </w:r>
          </w:p>
        </w:tc>
        <w:tc>
          <w:tcPr>
            <w:tcW w:w="148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cumulative-effect adjustment to retained earnings at the beginning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Guidance for VIEs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should be considered on a proportional basis for determining</w:t>
            </w:r>
          </w:p>
        </w:tc>
        <w:tc>
          <w:tcPr>
            <w:tcW w:w="1480" w:type="dxa"/>
            <w:vAlign w:val="bottom"/>
            <w:tcBorders>
              <w:right w:val="single" w:sz="8" w:color="auto"/>
            </w:tcBorders>
            <w:vMerge w:val="continue"/>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earliest period presented. The Company does not expect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whether fees paid to decision makers and service providers</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guidance to have a material impact on its consolidated financial</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are variable interests.</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statements.</w:t>
            </w: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Changes to the</w:t>
            </w:r>
          </w:p>
        </w:tc>
        <w:tc>
          <w:tcPr>
            <w:tcW w:w="3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amended guidance modifies the disclosure requirements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2021</w:t>
            </w:r>
          </w:p>
        </w:tc>
        <w:tc>
          <w:tcPr>
            <w:tcW w:w="4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retrospectively. The Company</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Disclosure</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employers that sponsor defined benefit pension or other</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does not expect the guidance to have a material impact on its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Requirements for</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postretirement plans. The amendments are a result of the</w:t>
            </w:r>
          </w:p>
        </w:tc>
        <w:tc>
          <w:tcPr>
            <w:tcW w:w="1480" w:type="dxa"/>
            <w:vAlign w:val="bottom"/>
            <w:tcBorders>
              <w:right w:val="single" w:sz="8" w:color="auto"/>
            </w:tcBorders>
            <w:vMerge w:val="continue"/>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Defined Benefit Plans</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framework project that focuses on improvements</w:t>
            </w: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to the effectiveness of disclosures in the notes to financial</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statements. The amendments remove and add certain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requirements. The disclosure requirements being</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removed relating to public companies are (1) the amounts in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expected to be</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recognized as components of net periodic benefit cost over</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next fiscal year, (2) the amount and timing of plan assets</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expected to be returned to the employer, (3) the 2001</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requirement relating to Japanese Welfare Pension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Insurance Law, (4) related party disclosures about the</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 of future annual benefits covered by insurance, and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(5) the effects of a one-percentage-point change in assumed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health care cost trends on the benefit cost and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obligation. The disclosure requirements being added relating</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to public companies are (1) the weighted-average interest</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crediting rates for cash balance plans , and (2) an explanation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the reasons for significant gains and losses related to</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changes in the benefit obligation for the period.</w:t>
            </w:r>
          </w:p>
        </w:tc>
        <w:tc>
          <w:tcPr>
            <w:tcW w:w="148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M&amp;T Bank Corporation (“M&amp;T”) recorded net income during the third quarter of 2019 of $480 million or $3.47 of diluted earnings per common share, compared with $526 million or $3.53 of diluted earnings per common share in the corresponding quarter of 2018. Net income and diluted earnings per common share during the second quarter of 2019 were $473 million and $3.34, respectively. Basic earnings per common share were also $3.47 in the recent quarter, compared with $3.54 in the third quarter of 2018 and $3.34 in the second quarter of 2019. Net income totaled $1.44 billion or $10.16 of diluted and basic earnings per common share for the first nine months of 2019, compared with $1.37 billion or $9.00 of diluted earnings per common share and $9.01 of basic earnings per common share in the similar period of 2018.</w:t>
      </w:r>
    </w:p>
    <w:p>
      <w:pPr>
        <w:spacing w:after="0" w:line="82"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annualized rate of return on average total assets for M&amp;T and its consolidated subsidiaries (“the Company”) in the third quarter of 2019 was 1.58%, compared with 1.80% in the year-earlier quarter and 1.60% in 2019’s second quarter. The annualized rate of return on average common shareholders’ equity was 12.73% in the recent quarter, compared with 14.08% in the third quarter of 2018 and 12.68% in the second quarter of 2019. During the nine-month period ended September 30, 2019, the annualized rates of return on average assets and average common shareholders’ equity were 1.62% and 12.85%, respectively, compared with 1.57% and 12.16%, respectively, in the first nine months of 2018.</w:t>
      </w:r>
    </w:p>
    <w:p>
      <w:pPr>
        <w:spacing w:after="0" w:line="80"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During the first quarter of 2019, the Company recognized an expense of $50 million to increase its reserve for legal matters associated with a subsidiary’s role as trustee of Employee Stock Ownership Plans in its Institutional Client Services business. That expense, on an after-tax basis, reduced net income in the initial 2019 quarter by $37 million, or $.27 of diluted earnings per common share. Also during that quarter, M&amp;T realized $37 million of income from Bayview Lending Group LLC (“BLG”), increasing net income in the quarter by $28 million, or $.20 of diluted earnings per common share. Similarly, during the first quarter of 2018, the Company recognized an expense for legal matters of $135 million in connection with the settlement of a civil litigation matter by a wholly-owned subsidiary of M&amp;T, Wilmington Trust Corporation (“WT Corp.”), that related to periods prior to the acquisition of WT Corp. by M&amp;T. That expense, on an after-tax basis, reduced net income by $102 million or $.68 of diluted earnings per common share in the initial quarter of 2018. Additionally, M&amp;T realized $23 million of income from BLG during 2018’s first quarter, increasing net income in that quarter by $17 million, or $.11 of diluted earnings per common share.</w:t>
      </w:r>
    </w:p>
    <w:p>
      <w:pPr>
        <w:spacing w:after="0" w:line="81"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July 2019, M&amp;T agreed to sell its non-controlling interest in an asset manager obtained in the 2011 acquisition of WT Corp. that had been accounted for using the equity method of accounting and, as a result, as of June 30, 2019 recorded a $48 million charge (reflected in “other costs of operations”) to reduce the carrying value of the investment to its estimated net realizable value. Similar to other active investment managers, the investee entity had experienced a decrease in assets under management and during the second quarter of 2019 the entity’s chief executive and investment officer announced his retirement. Following that announcement, successor management submitted a proposal to M&amp;T to restructure the organization of the entity. The after-tax impact of the charge was a reduction in net income of $36 million, or $.27 of diluted earnings per common share, during 2019’s second quarter. The sale of M&amp;T’s interest in the asset manager was effective September 30, 2019.</w:t>
      </w:r>
    </w:p>
    <w:p>
      <w:pPr>
        <w:spacing w:after="0" w:line="78"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Effective January 1, 2019, the Company adopted new accounting guidance for leases. The new guidance requires lessees to record a right-of-use asset and a lease liability for all leases with a term greater than twelve months. The accounting applied by lessors is largely unchanged, however, the guidance eliminates the accounting model for leveraged leases that commence after December 31, 2018. The Company occupies certain banking offices and uses certain equipment under noncancelable operating lease agreements which, prior to January 1, 2019, were not reflected in its consolidated balance sheet. As of January 1, 2019, the Company recorded right-of-use assets of $394 million and increased lease liabilities of $399 million in its consolidated balance sheet. The adoption of the new guidance did not have a material impact on the consolidated statement of income for the three-month or nine-month periods ended September 30, 2019. For additional information on leases, see notes 3 and 4 of Notes to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55" w:name="page56"/>
    <w:bookmarkEnd w:id="55"/>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On June 27, 2019, M&amp;T announced its 2019 Capital Plan, which covers the four-quarter period that began on July 1, 2019. The 2019 Capital Plan, which was reviewed and approved by M&amp;T’s Board of Directors, reflects capital distributions within the amount that M&amp;T can make over the specified period based on the prior approval of the Board of Governors of the Federal Reserve System. M&amp;T’s 2019 Capital Plan reflects net capital distributions of approximately $1.9 billion, which include common and preferred stock dividends as well as repurchases of M&amp;T’s common stock. M&amp;T’s Board of Directors may consider an increase in the common stock dividend, at its discretion, during the four-quarter period. All dividends are subject to declaration by M&amp;T’s Board of Directors. In July 2019, M&amp;T’s Board of Directors authorized a new stock repurchase plan to repurchase up to $1.635 billion of shares of M&amp;T’s common stock subject to all applicable regulatory limitations. During the second and third quarters of 2019, M&amp;T repurchased 2,450,000 shares and 1,933,000 shares of its common stock at a total cost of $402 million and $300 million, respectively. During the third quarter of 2018, M&amp;T repurchased 2,844,159 shares of its common stock at a total cost of $498 million. In the aggregate, M&amp;T repurchased 6,533,000 shares of its common stock at a total cost of $1.07 billion during the first three quarters of 2019 and 9,235,817 shares for $1.7 billion during the first nine months of 2018.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80"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Net operating income totaled $484 million in the third quarter of 2019, compared with $531 million in the year-earlier quarter. Diluted net operating earnings per common share for the recent quarter were $3.50, compared with $3.56 in the third quarter of 2018. Net operating income and diluted net operating earnings per common share were $477 million and $3.37, respectively, in the second quarter of 2019. For the first nine months of 2019, net operating income and diluted net operating earnings per common share were $1.45 billion and $10.24, respectively, compared with $1.39 billion and $9.10, respectively, in the corresponding 2018 period.</w:t>
      </w:r>
    </w:p>
    <w:p>
      <w:pPr>
        <w:spacing w:after="0" w:line="7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Net operating income in the recent quarter expressed as an annualized rate of return on average tangible assets was 1.66%, compared with 1.89% in the third quarter of 2018 and 1.68% in 2019’s second quarter. Net operating income represented an annualized return on average tangible common equity of 18.85% in the third quarter of 2019, compared with 21.00% in the year-earlier quarter and 18.83% in the second quarter of 2019. For the first three quarters of 2019, net operating income represented an annualized return on average tangible assets and average tangible common shareholders’ equity of 1.70% and 19.07%, respectively, compared with 1.65% and 18.09%, respectively, in the first nine months of 2018.</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Reconciliations of GAAP amounts with corresponding non-GAAP amounts are provided in table 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Net interest income expressed on a taxable-equivalent basis was $1.04 billion in the third quarter of 2019, little changed from the year-earlier quarter. Average earning assets rose 3% to $108.6 billion during the recent quarter from $105.8 billion in the similar 2018 quarter. That growth was offset by a narrowing of the net interest margin, or taxable-equivalent net interest income expressed as an annualized percentage of average earning assets, from 3.88% in 2018’s third quarter to 3.78% in the recent quarter. The decline in the net interest margin was largely the result of higher rates paid on deposit accounts. Taxable-equivalent net interest income in the recent quarter declined $12 million, or one percent, from the second quarter of 2019 reflecting a 13 basis point (hundredths of one percent) narrowing of the net interest margin from 3.91% in the prior quarter, largely offset by a $1.1 billion rise in average earning assets. The narrowing of the net interest margin as compared with 2019’s second quarter was due to lower yields earned on loans and leases that resulted from actions initiated by the Federal Reserve to lower its target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6" w:name="page57"/>
    <w:bookmarkEnd w:id="56"/>
    <w:p>
      <w:pPr>
        <w:jc w:val="both"/>
        <w:spacing w:after="0" w:line="250" w:lineRule="auto"/>
        <w:rPr>
          <w:sz w:val="20"/>
          <w:szCs w:val="20"/>
          <w:color w:val="auto"/>
        </w:rPr>
      </w:pPr>
      <w:r>
        <w:rPr>
          <w:rFonts w:ascii="Times New Roman" w:cs="Times New Roman" w:eastAsia="Times New Roman" w:hAnsi="Times New Roman"/>
          <w:sz w:val="21"/>
          <w:szCs w:val="21"/>
          <w:color w:val="auto"/>
        </w:rPr>
        <w:t>Federal funds rate by .25% increments twice during the recent quarter. Also contributing to that narrowing were higher rates paid on deposit accounts. The increases in average earning assets in the recent quarter from the third quarter of 2018 and the second quarter of 2019 resulted from higher average balances of loans and leases and interest-bearing deposits at the Federal Reserve Bank of New York, offset, in part, by lower average investment securities balances.</w:t>
      </w:r>
    </w:p>
    <w:p>
      <w:pPr>
        <w:spacing w:after="0" w:line="73"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For the first nine months of 2019, taxable-equivalent net interest income was $3.14 billion, up 4% from $3.03 billion in the corresponding 2018 period. That increase was primarily attributable to a 10 basis point widening of the net interest margin to 3.91% in the 2019 period from 3.81% in the year-earlier period and a $1.0 billion rise in average earning assets, to $107.4 billion in 2019 from $106.4 billion in 2018. The widening of the net interest margin resulted from a higher interest rate environment in the 2019 period driven by four .25% increases in the Federal funds target rate during 2018.</w:t>
      </w:r>
    </w:p>
    <w:p>
      <w:pPr>
        <w:spacing w:after="0" w:line="79"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Average loans and leases aggregated $90.1 billion in the third quarter of 2019, up $2.9 billion from $87.1 billion in the year-earlier quarter. Commercial loans and leases averaged $23.3 billion in the third quarter of 2019, $1.6 billion or 8% higher than in the similar 2018 quarter. Average commercial real estate loans were $35.2 billion in the recent quarter, up $1.4 billion, or 4%, from $33.8 billion in the third 2018 quarter. Included in average commercial real estate loans in the third quarters of 2019 and 2018 were loans held for sale of $492 million and $497 million, respectively. Reflecting ongoing repayments of loans obtained in the 2015 acquisition of Hudson City Bancorp, Inc. (“Hudson City”), average residential real estate loans declined $1.3 billion or 7% to $16.7 billion in the third quarter of 2019 from $18.0 billion in the year-earlier quarter. Included in average residential real estate loans were loans held for sale of $327 million in the recent quarter and $281 million in the third quarter of 2018. Consumer loans averaged $14.9 billion in the third quarter of 2019, up $1.2 billion, or 9%, from $13.6 billion in the corresponding 2018 quarter, predominantly due to growth in average recreational finance (consisting predominantly of loans secured by recreational vehicles and boats) and automobile loans that was partially offset by declines in outstanding balances of home equity loans and lines of credit.</w:t>
      </w:r>
    </w:p>
    <w:p>
      <w:pPr>
        <w:spacing w:after="0" w:line="89"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Average loan and lease balances in the recent quarter increased $927 million, or 1%, from $89.2 billion in the second quarter of 2019. Average commercial loan and lease balances in each of the second and third quarters of 2019 totaled $23.3 billion. Average commercial real estate loans in the recent quarter increased $432 million, or 1%, from $34.8 billion in the second quarter of 2019. Commercial real estate loans held for sale averaged $245 million in the second quarter of 2019. Average balances of residential real estate loans in the recently completed quarter declined $51 million from $16.7 billion in 2019’s second quarter, reflecting the continued pay down of loans obtained in the acquisition of Hudson City. Average balances of residential real estate loans held for sale were $227 million in the second quarter of 2019. The rate of decline of average residential real estate loan balances from the second quarter to the third quarter of 2019 slowed due to higher levels of such loans that are guaranteed by government-related entities that were repurchased to reduce associated servicing costs. Those higher repurchases in the recent quarter were associated with additions to the Company’s loan servicing portfolio during 2019. Additional information about such loans is presented herein under the heading “Provision for Credit Losses.” Average consumer loans in the recent quarter increased $555 million, or 4%, from $14.3 billion in the second quarter of 2019. The accompanying table summarizes quarterly changes in the major components of the loan and lease portfolio.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of unearned discount)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3rd Qtr.</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3rd Qtr.</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53"/>
              <w:spacing w:after="0" w:line="144" w:lineRule="exact"/>
              <w:rPr>
                <w:sz w:val="20"/>
                <w:szCs w:val="20"/>
                <w:color w:val="auto"/>
              </w:rPr>
            </w:pPr>
            <w:r>
              <w:rPr>
                <w:rFonts w:ascii="Times New Roman" w:cs="Times New Roman" w:eastAsia="Times New Roman" w:hAnsi="Times New Roman"/>
                <w:sz w:val="14"/>
                <w:szCs w:val="14"/>
                <w:b w:val="1"/>
                <w:bCs w:val="1"/>
                <w:color w:val="auto"/>
              </w:rPr>
              <w:t>2nd Qtr.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5"/>
                <w:szCs w:val="15"/>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commercial</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 consumer</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7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90,078</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For the first three quarters of 2019, average loans and leases totaled $89.2 billion, up $1.8 billion, or 2%, from $87.4 billion in the year-earlier period. Contributing to that rise were increases in commercial loans and leases of $1.6 billion, or 7%, commercial real estate loans of $1.1 billion, or 3%, and consumer loans of $972 million, or 7%, partially offset by a decline in residential real estate loans of $1.9 billion, or 10%.</w:t>
      </w:r>
    </w:p>
    <w:p>
      <w:pPr>
        <w:spacing w:after="0" w:line="73"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investment securities portfolio averaged $11.1 billion in the third quarter of 2019, down $2.4 billion, or 18%, from $13.4 billion in the year-earlier quarter and $1.1 billion lower than the $12.2 billion averaged in the second quarter of 2019. For the first nine months of 2019 and 2018, investment securities averaged $12.1 billion and $13.9 billion, respectively. The lower average balances in the recent periods reflect maturities of U.S. Treasury notes and pay downs of mortgage-backed securities. During the first quarter of 2019 and the third quarter of 2018, the Company purchased $500 million and $450 million, respectively, of U.S. Treasury notes. The Company routinely has increases and decreases in its holdings of capital stock of the Federal Home Loan Bank (“FHLB”) of New York and the Federal Reserve Bank of New York. Those holdings are accounted for at cost and are adjusted based on the amounts of outstanding borrowings and available lines of credit with those entities. There were no other significant purchases of investment securities during the first nine months of 2019 or 2018.</w:t>
      </w:r>
    </w:p>
    <w:p>
      <w:pPr>
        <w:spacing w:after="0" w:line="70"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Fair value changes in equity securities with readily determinable fair values are recognized in the consolidated statement of income. Net unrealized gains on such equity securities were $4 million in the recent quarter and $9 million in the second 2019 quarter, compared with net unrealized losses of $3 million in the third 2018 quarter. Those gains and losses were predominantly related to the Company’s holdings of Fannie Mae and Freddie Mac preferred stock.</w:t>
      </w:r>
    </w:p>
    <w:p>
      <w:pPr>
        <w:spacing w:after="0" w:line="73"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There were no significant sales of investment securities during the nine-month periods ended September 30, 2019 or 2018. The amounts of investment securities held by the Company are influenced by such factors as demand for loans, which generally yield more than investment securities and other earning assets, ongoing repayments, the levels of deposits, and management of liquidity and balance sheet size and resulting capital ratios.</w:t>
      </w:r>
    </w:p>
    <w:p>
      <w:pPr>
        <w:spacing w:after="0" w:line="80"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Company regularly reviews its investment securities for declines in value below amortized cost that might be characterized as “other than temporary.” There were no other-than-temporary impairment charges recognized in either of the nine-month periods ended September 30, 2019 or 2018. Based on management’s assessment of future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8" w:name="page59"/>
    <w:bookmarkEnd w:id="58"/>
    <w:p>
      <w:pPr>
        <w:jc w:val="both"/>
        <w:spacing w:after="0" w:line="250" w:lineRule="auto"/>
        <w:rPr>
          <w:sz w:val="20"/>
          <w:szCs w:val="20"/>
          <w:color w:val="auto"/>
        </w:rPr>
      </w:pPr>
      <w:r>
        <w:rPr>
          <w:rFonts w:ascii="Times New Roman" w:cs="Times New Roman" w:eastAsia="Times New Roman" w:hAnsi="Times New Roman"/>
          <w:sz w:val="21"/>
          <w:szCs w:val="21"/>
          <w:color w:val="auto"/>
        </w:rPr>
        <w:t>cash flows associated with individual investment securities as of September 30, 2019, the Company concluded that declines in value below amortized cost associated with individual investment securities were temporary in nature. A further discussion of fair values of investment securities is included herein under the heading “Capital.” Additional information about the investment securities portfolio is included in notes 2 and 13 of Notes to Financial Statements.</w:t>
      </w:r>
    </w:p>
    <w:p>
      <w:pPr>
        <w:spacing w:after="0" w:line="7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Other earning assets include interest-bearing deposits at the Federal Reserve Bank of New York and other banks, trading account assets and federal funds sold. Those other earning assets in the aggregate averaged $7.5 billion in the third quarter of 2019, compared with $5.3 billion in the year-earlier quarter and $6.2 billion in the second quarter of 2019. Interest-bearing deposits at banks averaged $7.4 billion, $5.2 billion and $6.1 billion during the three-month periods ended September 30, 2019, September 30, 2018 and June 30, 2019, respectively. The amounts of interest-bearing deposits at banks at the respective dates were predominantly comprised of deposits held at the Federal Reserve Bank of New York. The levels of those deposits often fluctuate due to changes in trust-related and commercial deposits, purchases or maturities of investment securities, or borrowings to manage the Company’s liquidity.</w:t>
      </w:r>
    </w:p>
    <w:p>
      <w:pPr>
        <w:spacing w:after="0" w:line="82"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As a result of the changes described herein, average earning assets totaled $108.6 billion in the third quarter of 2019, compared with $105.8 billion in the year-earlier quarter and $107.5 billion in the second 2019 quarter. Average earning assets totaled $107.4 billion and $106.4 billion during the first nine months of 2019 and 2018, respectively.</w:t>
      </w:r>
    </w:p>
    <w:p>
      <w:pPr>
        <w:spacing w:after="0" w:line="70"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$88.8 billion in the third quarter of 2019, compared with $86.0 billion in the corresponding 2018 quarter and $86.2 billion in the second quarter of 2019. The increase in average core deposits in the recent quarter as compared with the third quarter of 2018 and the second quarter of 2019 largely reflected higher mortgage servicing escrow deposits. The following table provides an analysis of quarterly changes in the components of average core deposits.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CORE DEPOSITS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3rd Qtr.</w:t>
            </w:r>
          </w:p>
        </w:tc>
        <w:tc>
          <w:tcPr>
            <w:tcW w:w="208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3rd Qtr.</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56"/>
              <w:spacing w:after="0" w:line="144" w:lineRule="exact"/>
              <w:rPr>
                <w:sz w:val="20"/>
                <w:szCs w:val="20"/>
                <w:color w:val="auto"/>
              </w:rPr>
            </w:pPr>
            <w:r>
              <w:rPr>
                <w:rFonts w:ascii="Times New Roman" w:cs="Times New Roman" w:eastAsia="Times New Roman" w:hAnsi="Times New Roman"/>
                <w:sz w:val="14"/>
                <w:szCs w:val="14"/>
                <w:b w:val="1"/>
                <w:bCs w:val="1"/>
                <w:color w:val="auto"/>
              </w:rPr>
              <w:t>2nd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5"/>
                <w:szCs w:val="15"/>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88,836</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$1.1 billion in the recent quarter, compared with $663 million in the third quarter of 2018 and $1.2 billion in the second 2019 quarter. The increases in such deposits since the third quarter of 2018 were predominantly the result of the higher interest rate environment and customers’ desire to earn a higher return on their deposits. Cayman Islands office deposits averaged $1.5 billion, $407 million and $1.2 billion for the quarters ended September 30, 2019, September 30, 2018 and June 30, 2019, respectively. The increases in such deposits from the third quarter of 2018 were the result of customers’ desire to sweep their deposit balances into higher earning products. The Company had brokered savings and interest-bearing transaction accounts, which in the aggregate averaged $2.6 billion, $2.2 billion and $2.7 billion during the third quarters of 2019 and 2018 and the second quarter of 2019, respectively.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9" w:name="page60"/>
    <w:bookmarkEnd w:id="59"/>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The Company also uses borrowings from banks, securities dealers, various FHLBs, the Federal Reserve Bank of New York and others as sources of funding. Short-term borrowings represent borrowing arrangements that at the time they were entered into had a contractual maturity of one year or less. Average short-term borrowings totaled $1.2 billion in the third quarter of 2019, compared with $374 million in the year-earlier quarter and $1.3 billion in the second 2019 quarter. Included in short-term borrowings were unsecured federal funds borrowings, which generally mature on the next business day, that averaged $117 million in the recent quarter, $285 million in the third quarter of 2018 and $323 million in the second quarter of 2019. Overnight federal funds borrowings totaled $2.6 billion at September 30, 2019, $1.3 billion at September 30, 2018 and $3.2 billion at June 30, 2019. Short-term borrowings from Federal Home Loan Banks averaged $1.0 billion in the recently completed quarter, $35 million in the year-earlier quarter and $890 million in the second 2019 quarter. In general, the higher short-term borrowings were entered into to help ensure compliance with Liquidity Coverage Ratio (“LCR”) requirements and for other liquidity purposes. The LCR requirements are intended to ensure that banks hold a sufficient amount of “high quality liquid assets” to cover the anticipated net cash outflows during a hypothetical acute 30-day stress scenario. For additional information concerning the LCR rules, refer to Part I, Item 1 of M&amp;T’s Form 10-K for the year ended December 31, 2018 under the heading “Liquidity.” During October 2019, the Federal Reserve and other Federal bank regulators finalized the Tailoring NPRs as described in M&amp;T’s Form 10-K. Within the final rule, M&amp;T is classified as a Category IV firm and, as such, will no longer be subject to LCR requirements on the effective date of the final rule. However, M&amp;T will continue to remain subject to the internal liquidity stress testing requirements under the Federal Reserve Board’s regulations, which include 30-day and 1-year planning horizons.</w:t>
      </w:r>
    </w:p>
    <w:p>
      <w:pPr>
        <w:spacing w:after="0" w:line="68"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Long-term borrowings averaged $7.1 billion in the recent quarter, compared with $9.0 billion in the third quarter of 2018 and $8.3 billion in the second quarter of 2019. Average balances of outstanding senior unsecured notes were $5.1 billion, $6.1 billion and $5.5 billion during the three-month periods ended September 30, 2019, September 30, 2018 and June 30, 2019, respectively. Also included in average long-term borrowings were amounts borrowed from the FHLBs of New York and Pittsburgh of $2 million in the recent quarter, compared with $577 million in the third quarter of 2018 and $394 million in the second 2019 quarter. The decline in the recent quarter reflects maturities of borrowings during the second quarter of 2019. Subordinated capital notes included in long-term borrowings averaged $1.4 billion in each of the three-month periods ended September 30, 2019, September 30, 2018 and June 30, 2019. Junior subordinated debentures associated with trust preferred securities that were included in average long-term borrowings were $524 million in the recent quarter, compared with $521 million and $523 million in the third quarter of 2018 and the second 2019 quarter, respectively. Additional information regarding junior subordinated debentures is provided in note 5 of Notes to Financial Statements. Long-term borrowings also included agreements to repurchase securities, which averaged $103 million in the third quarter of 2019, $414 million in the year-earlier quarter and $373 million in the second quarter of 2019. The repurchase agreement held at September 30, 2019 totaled $102 million and matures in 2020, however, the contractual maturities of the underlying securities extend beyond such repurchase date.</w:t>
      </w:r>
    </w:p>
    <w:p>
      <w:pPr>
        <w:spacing w:after="0" w:line="75"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3.41% in the recent quarter, compared with 3.58% in the third quarter of 2018. The yield on earning assets during the third quarter of 2019 was 4.51%, up 11 basis points from 4.40% in the year-earlier period, while the rate paid on interest-bearing liabilities increased 28 basis points to 1.10% in the recent quarter from .82% in the corresponding 2018 period. In the second quarter of 2019, the net interest spread was 3.53%, the yield on earning assets was 4.64% and the rate paid on interest-bearing liabilities was 1.11%. During the recent quarter, the net interest spread narrowed from the year-earlier quarter and the second 2019 quarter. As compared with the third quarter of 2018, the effect of increases in short-term interest rates initiated by the Federal Reserve during 2018 contributed to higher yields on loans and leases and rates on interest-bearing deposits. During the third quarter of 2019, decreases in short-term interest rates initiated by the Federal Reserve of .25% in each of July and September contributed to reduced yields on loans and leases as compared with the second quarter of 2019, resulting in a 13 basis point narrowing of those yields in the recent quarter. On October 30, 2019, the Federal Reserve initiated an additional .25% reduction in short-term interest rates. In addition, the rate paid on interest-bearing deposits increased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0" w:name="page61"/>
    <w:bookmarkEnd w:id="60"/>
    <w:p>
      <w:pPr>
        <w:jc w:val="both"/>
        <w:spacing w:after="0" w:line="246" w:lineRule="auto"/>
        <w:rPr>
          <w:sz w:val="20"/>
          <w:szCs w:val="20"/>
          <w:color w:val="auto"/>
        </w:rPr>
      </w:pPr>
      <w:r>
        <w:rPr>
          <w:rFonts w:ascii="Times New Roman" w:cs="Times New Roman" w:eastAsia="Times New Roman" w:hAnsi="Times New Roman"/>
          <w:sz w:val="21"/>
          <w:szCs w:val="21"/>
          <w:color w:val="auto"/>
        </w:rPr>
        <w:t>from the second 2019 quarter by 5 basis points. The rise in the rate paid on interest-bearing deposits in the recent quarter was largely associated with mortgage escrow deposits, in conjunction with growth in residential mortgage servicing activities. The rates paid on those deposits are often indexed to the federal funds rate or LIBOR, and are higher than the rates paid on most other savings and interest-checking accounts. For the first nine months of 2019, the net interest spread was 3.53%, compared with 3.54% in the year-earlier period. The yield on earning assets and the rate paid on interest-bearing liabilities for the first nine months of 2019 were 4.62% and 1.09%, respectively, compared with 4.26% and .72%, respectively, in the initial nine months of 2018.</w:t>
      </w:r>
    </w:p>
    <w:p>
      <w:pPr>
        <w:spacing w:after="0" w:line="80"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20"/>
          <w:szCs w:val="20"/>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$36.8 billion in the third quarter of 2019, compared with $38.6 billion in the year-earlier quarter and $36.7 billion in the second 2019 quarter. The decreases in average net interest-free funds in the two most recent quarters as compared with the third quarter of 2018 largely reflect lower average balances of noninterest-bearing deposits. Those deposits averaged $30.6 billion, $31.5 billion and $30.1 billion in the quarters ended September 30, 2019, September 30, 2018 and June 30, 2019, respectively. The decline in such balances in the recent quarter as compared with the third quarter of 2018 was largely due to lower levels of deposits of commercial customers. During the first nine months of 2019 and 2018, average net interest-free funds aggregated $36.9 billion and $38.8 billion, respectively. Shareholders’ equity averaged $15.8 billion during the recent quarter, $15.5 billion during the third quarter of 2018 and $15.6 billion during the three-month period ended June 30, 2019. Goodwill and core deposit and other intangible assets averaged $4.6 billion in each of those quarters. The cash surrender value of bank owned life insurance averaged $1.8 billion in each of the quarters ended September 30, 2019, September 30, 2018 and June 30, 2019. Increases in the cash surrender value of bank owned life insurance and benefits received are not included in interest income, but rather are recorded in “other revenues from operations.” The contribution of net interest-free funds to net interest margin was .37% in the third quarter of 2019, compared with .30% and .38% in the third quarter of 2018 and second quarter of 2019, respectively. The increased contribution of net interest-free funds to net interest margin in the two most recent quarters as compared with the third 2018 quarter reflects the higher rates on interest-bearing liabilities used to value net interest-free funds. The contribution of net interest-free funds for the first nine months of 2019 and 2018 was .38% and .27%, respectively.</w:t>
      </w:r>
    </w:p>
    <w:p>
      <w:pPr>
        <w:spacing w:after="0" w:line="82" w:lineRule="exact"/>
        <w:rPr>
          <w:sz w:val="20"/>
          <w:szCs w:val="20"/>
          <w:color w:val="auto"/>
        </w:rPr>
      </w:pPr>
    </w:p>
    <w:p>
      <w:pPr>
        <w:jc w:val="both"/>
        <w:ind w:firstLine="518"/>
        <w:spacing w:after="0" w:line="263" w:lineRule="auto"/>
        <w:rPr>
          <w:sz w:val="20"/>
          <w:szCs w:val="20"/>
          <w:color w:val="auto"/>
        </w:rPr>
      </w:pPr>
      <w:r>
        <w:rPr>
          <w:rFonts w:ascii="Times New Roman" w:cs="Times New Roman" w:eastAsia="Times New Roman" w:hAnsi="Times New Roman"/>
          <w:sz w:val="20"/>
          <w:szCs w:val="20"/>
          <w:color w:val="auto"/>
        </w:rPr>
        <w:t>Reflecting the changes to the net interest spread and the contribution of interest-free funds as described herein, the Company’s net interest margin was 3.78% in the third quarter of 2019, compared with 3.88% in the year-earlier period and 3.91% in the second quarter of 2019. During the first nine months of 2019 and 2018, the net interest margin was 3.91% and 3.81%,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6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$17.2 billion (excluding $30.3 billion of forward-starting swap agreements) at September 30, 2019, $8.1 billion (excluding $7.7 billion of forward-starting swap agreements) at September 30, 2018, $7.3 billion (excluding $12.6 billion of forward-starting swap agreements) at December 31, 2018 and $17.8 billion (excluding $21.4 billion of forward-starting swap agreements) at June 30, 2019. Under the terms of those interest rate swap agreements, the Company receives payments based on the outstanding notional amount at fixed rates and makes payments at variable rates. Interest rate swap agreements serving as cash flow hedges of interest payments associated with variable rate commercial real estate loans had notional amounts of $13.4 billion at each of September 30, 2019 and June 30, 2019, compared with $2.85 billion at each of September 30, 2018 and December 31, 2018. Interest rate swap agreements serving as fair value hedges of fixed rate long-term borrowings had notional values of $3.8 billion at September 30, 2019, $5.2 billion at September 30, 2018 and $4.45 billion at December 31, 2018.</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1" w:name="page62"/>
    <w:bookmarkEnd w:id="61"/>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Company has entered into forward-starting interest rate swap agreements to effectively extend the term of and maintain a set maturity profile for its interest rate swap agreements serving as cash flow hedges, and provide a hedge against changing interest rates on certain of its variable rate loans.</w:t>
      </w:r>
    </w:p>
    <w:p>
      <w:pPr>
        <w:spacing w:after="0" w:line="7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September 30, 2019, September 30, 2018 and June 30, 2019 were not material to the Company’s consolidated results of operations. Information regarding the fair value of interest rate swap agreements and hedge ineffectiveness is presented in note 11 of Notes to Financial Statements. The changes in the fair values of the interest rate swap agreements and the hedged items primarily result from the effects of changing interest rates and spreads.</w:t>
      </w:r>
    </w:p>
    <w:p>
      <w:pPr>
        <w:spacing w:after="0" w:line="89"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weighted-average rates to be received and paid under interest rate swap agreements currently in effect were 2.41% and 2.17%, respectively, at September 30, 2019.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11 of Notes to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7"/>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6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Rate(a)</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7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bottom w:val="single" w:sz="8" w:color="auto"/>
            </w:tcBorders>
          </w:tcPr>
          <w:p>
            <w:pPr>
              <w:jc w:val="right"/>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Rate(a)</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6"/>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(4,181)</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46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tcBorders>
              <w:bottom w:val="single" w:sz="8" w:color="CFF0FC"/>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notional amount (c)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17,319,565</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7,952,174</w:t>
            </w:r>
          </w:p>
        </w:tc>
        <w:tc>
          <w:tcPr>
            <w:tcW w:w="4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8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Rate(a)</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Rate(a)</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(6,693)</w:t>
            </w:r>
          </w:p>
        </w:tc>
        <w:tc>
          <w:tcPr>
            <w:tcW w:w="124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(7,650)</w:t>
            </w: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Borders>
              <w:top w:val="single" w:sz="8" w:color="CFF0FC"/>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notional amount (c)</w:t>
            </w: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15,944,505</w:t>
            </w:r>
          </w:p>
        </w:tc>
        <w:tc>
          <w:tcPr>
            <w:tcW w:w="1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7,712,454</w:t>
            </w:r>
          </w:p>
        </w:tc>
        <w:tc>
          <w:tcPr>
            <w:tcW w:w="46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CFF0FC"/>
            </w:tcBorders>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Computed as an annualized percentage of average earning assets or interest-bearing liabilities.</w:t>
      </w:r>
    </w:p>
    <w:p>
      <w:pPr>
        <w:spacing w:after="0" w:line="2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Weighted-average rate paid or received on interest rate swap agreements in effect during the period.</w:t>
      </w:r>
    </w:p>
    <w:p>
      <w:pPr>
        <w:spacing w:after="0" w:line="8"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forward-starting interest rate swap agreements not in effect during the period.</w:t>
      </w:r>
    </w:p>
    <w:p>
      <w:pPr>
        <w:spacing w:after="0" w:line="206"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2" w:name="page63"/>
    <w:bookmarkEnd w:id="62"/>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addition to interest rate swap agreements, the Company has entered into interest rate floor agreements that are accounted for in the trading account rather than as hedging instruments but, nevertheless, provide the Company with protection against the possibility of future declines in interest rates on earning assets. At each of September 30, 2019, and December 31, 2018, outstanding notional amounts of such agreements totaled $15.6 billion. The fair value of those interest rate floor agreements was $1.4 million at September 30, 2019, $574 thousand at September 30, 2018 and $1.9 million at December 31, 2018 and was included in trading account assets in the consolidated balance sheet. Changes in the fair value of those agreements are recorded as “trading account and foreign exchange gains” in the consolidated statement of income.</w:t>
      </w:r>
    </w:p>
    <w:p>
      <w:pPr>
        <w:spacing w:after="0" w:line="8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The most significant source of funding for the Company is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M&amp;T’s bank subsidiaries have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September 30, 2019 and December 31, 2018, long-term borrowings aggregated $7.0 billion and $8.4 billion, respectively. The decline in long-term borrowings reflects maturities of FHLB borrowings, senior notes and repurchase agreements.</w:t>
      </w:r>
    </w:p>
    <w:p>
      <w:pPr>
        <w:spacing w:after="0" w:line="68"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has informal and sometimes reciprocal sources of funding available through various arrangements for unsecured short-term borrowings from other banks and financial institutions. Short-term federal funds borrowings were $2.6 billion, $1.3 billion and $137 million at September 30, 2019, September 30, 2018 and December 31, 2018, respectively. In general, those borrowings were unsecured and matured on the next business day. Short-term borrowings from the FHLB totaled $2.9 billion and $4.2 billion at September 30, 2019 and December 31, 2018, respectively. There were no such borrowings at September 30, 2018. The amount of short-term borrowings often fluctuates in conjunction with the Company’s management of its liquidity position, including compliance with LCR requirements. Cayman Islands office deposits are generally used to satisfy customer demand via a deposit sweep product, and may also be used as an alternative to short-term borrowings. Cayman Islands office deposits totaled $1.6 billion at September 30, 2019, $447 million at September 30, 2018 and $812 million at December 31, 2018. The Company has also benefited from the placement of brokered deposits. The Company had brokered savings and interest-bearing checking deposit accounts which aggregated approximately $2.7 billion at September 30, 2019, $2.6 billion at September 30, 2018 and $3.0 billion at December 31, 2018. Brokered time deposits were not a significant source of funding as of those dates.</w:t>
      </w:r>
    </w:p>
    <w:p>
      <w:pPr>
        <w:spacing w:after="0" w:line="88"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3" w:name="page64"/>
    <w:bookmarkEnd w:id="63"/>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September 30, 2019 or December 31, 2018. The total amounts of VRDBs outstanding backed by M&amp;T Bank letters of credit were $838 million at September 30, 2019, compared with $882 million at September 30, 2018 and $793 million at December 31, 2018. M&amp;T Bank also serves as remarketing agent for most of those bonds.</w:t>
      </w:r>
    </w:p>
    <w:p>
      <w:pPr>
        <w:spacing w:after="0" w:line="78"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14 of Notes to Financial Statements.</w:t>
      </w:r>
    </w:p>
    <w:p>
      <w:pPr>
        <w:spacing w:after="0" w:line="80" w:lineRule="exact"/>
        <w:rPr>
          <w:sz w:val="20"/>
          <w:szCs w:val="20"/>
          <w:color w:val="auto"/>
        </w:rPr>
      </w:pPr>
    </w:p>
    <w:p>
      <w:pPr>
        <w:jc w:val="both"/>
        <w:ind w:firstLine="518"/>
        <w:spacing w:after="0" w:line="260" w:lineRule="auto"/>
        <w:rPr>
          <w:sz w:val="20"/>
          <w:szCs w:val="20"/>
          <w:color w:val="auto"/>
        </w:rPr>
      </w:pPr>
      <w:r>
        <w:rPr>
          <w:rFonts w:ascii="Times New Roman" w:cs="Times New Roman" w:eastAsia="Times New Roman" w:hAnsi="Times New Roman"/>
          <w:sz w:val="20"/>
          <w:szCs w:val="20"/>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September 30, 2019 approximately $577 million was available for payment of dividends to M&amp;T from bank subsidiaries. M&amp;T also may obtain funding through long-term borrowings. Outstanding senior notes of M&amp;T at September 30, 2019 and December 31, 2018 were $775 million and $756 million, respectively. Junior subordinated debentures of M&amp;T associated with trust preferred securities outstanding at September 30, 2019 and December 31, 2018 totaled $524 million and $522 million, respectively.</w:t>
      </w:r>
    </w:p>
    <w:p>
      <w:pPr>
        <w:spacing w:after="0" w:line="64"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The Company is in compliance with the requirements of the LCR rules enacted by banking regulators.</w:t>
      </w:r>
    </w:p>
    <w:p>
      <w:pPr>
        <w:spacing w:after="0" w:line="7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September 30, 2019, the aggregate notional amount of interest rate swap agreements entered into for risk management purposes that were currently in effect was $17.2 billion. In addition, the Company has entered into $30.3 billion of forward-starting interest rate swap agreements that will become effective as other swap agreements mature.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4" w:name="page65"/>
    <w:bookmarkEnd w:id="64"/>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32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accompanying table as of September 30, 2019 and December 31, 2018 displays the estimated impact on net interest income in the base scenario described above resulting from parallel changes in interest rates across repricing categories during the first modeling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SENSITIVITY OF NET INTEREST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CHANGES IN INTEREST RATES</w:t>
      </w:r>
    </w:p>
    <w:tbl>
      <w:tblPr>
        <w:tblLayout w:type="fixed"/>
        <w:tblInd w:w="0" w:type="dxa"/>
        <w:tblCellMar>
          <w:top w:w="0" w:type="dxa"/>
          <w:left w:w="0" w:type="dxa"/>
          <w:bottom w:w="0" w:type="dxa"/>
          <w:right w:w="0" w:type="dxa"/>
        </w:tblCellMar>
      </w:tblPr>
      <w:tr>
        <w:trPr>
          <w:trHeight w:val="134"/>
        </w:trPr>
        <w:tc>
          <w:tcPr>
            <w:tcW w:w="15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0" w:type="dxa"/>
            <w:vAlign w:val="bottom"/>
            <w:gridSpan w:val="3"/>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Calculated Increase (Decrease)</w:t>
            </w:r>
          </w:p>
        </w:tc>
      </w:tr>
      <w:tr>
        <w:trPr>
          <w:trHeight w:val="173"/>
        </w:trPr>
        <w:tc>
          <w:tcPr>
            <w:tcW w:w="15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c>
          <w:tcPr>
            <w:tcW w:w="100" w:type="dxa"/>
            <w:vAlign w:val="bottom"/>
          </w:tcPr>
          <w:p>
            <w:pPr>
              <w:spacing w:after="0"/>
              <w:rPr>
                <w:sz w:val="15"/>
                <w:szCs w:val="15"/>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100" w:type="dxa"/>
            <w:vAlign w:val="bottom"/>
          </w:tcPr>
          <w:p>
            <w:pPr>
              <w:spacing w:after="0"/>
              <w:rPr>
                <w:sz w:val="18"/>
                <w:szCs w:val="18"/>
                <w:color w:val="auto"/>
              </w:rPr>
            </w:pPr>
          </w:p>
        </w:tc>
        <w:tc>
          <w:tcPr>
            <w:tcW w:w="16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90"/>
        </w:trPr>
        <w:tc>
          <w:tcPr>
            <w:tcW w:w="1520" w:type="dxa"/>
            <w:vAlign w:val="bottom"/>
            <w:tcBorders>
              <w:top w:val="single" w:sz="8" w:color="auto"/>
            </w:tcBorders>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r>
      <w:tr>
        <w:trPr>
          <w:trHeight w:val="39"/>
        </w:trPr>
        <w:tc>
          <w:tcPr>
            <w:tcW w:w="152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9"/>
        </w:trPr>
        <w:tc>
          <w:tcPr>
            <w:tcW w:w="1520" w:type="dxa"/>
            <w:vAlign w:val="bottom"/>
            <w:shd w:val="clear" w:color="auto" w:fill="CFF0FC"/>
          </w:tcPr>
          <w:p>
            <w:pPr>
              <w:spacing w:after="0"/>
              <w:rPr>
                <w:sz w:val="19"/>
                <w:szCs w:val="19"/>
                <w:color w:val="auto"/>
              </w:rPr>
            </w:pPr>
          </w:p>
        </w:tc>
        <w:tc>
          <w:tcPr>
            <w:tcW w:w="4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74,403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37,513</w:t>
            </w:r>
          </w:p>
        </w:tc>
        <w:tc>
          <w:tcPr>
            <w:tcW w:w="100" w:type="dxa"/>
            <w:vAlign w:val="bottom"/>
          </w:tcPr>
          <w:p>
            <w:pPr>
              <w:spacing w:after="0"/>
              <w:rPr>
                <w:sz w:val="19"/>
                <w:szCs w:val="19"/>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48,594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36,727</w:t>
            </w:r>
          </w:p>
        </w:tc>
        <w:tc>
          <w:tcPr>
            <w:tcW w:w="100" w:type="dxa"/>
            <w:vAlign w:val="bottom"/>
            <w:shd w:val="clear" w:color="auto" w:fill="CFF0FC"/>
          </w:tcPr>
          <w:p>
            <w:pPr>
              <w:spacing w:after="0"/>
              <w:rPr>
                <w:sz w:val="19"/>
                <w:szCs w:val="19"/>
                <w:color w:val="auto"/>
              </w:rPr>
            </w:pP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00" w:type="dxa"/>
            <w:vAlign w:val="bottom"/>
          </w:tcPr>
          <w:p>
            <w:pPr>
              <w:spacing w:after="0"/>
              <w:rPr>
                <w:sz w:val="20"/>
                <w:szCs w:val="20"/>
                <w:color w:val="auto"/>
              </w:rPr>
            </w:pP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(103,842)</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(114,307)</w:t>
            </w:r>
          </w:p>
        </w:tc>
      </w:tr>
    </w:tbl>
    <w:p>
      <w:pPr>
        <w:spacing w:after="0" w:line="86"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sensitivity of net interest income to changes in interest rates has lessened as of September 30, 2019 as compared with December 31, 2018 as the Company has entered into interest rate swap agreements to mitigate exposure to declining interest rates. The Company has also entered into interest rate floor agreements that are included in the trading account. Such floor agreements provide the Company with protection against the possibility of future declines in interest rates on its earning assets. In light of the uncertainties and assumptions associated with the process, the amounts presented in the table are not considered significant to the Company’s past or projected net interest income.</w:t>
      </w:r>
    </w:p>
    <w:p>
      <w:pPr>
        <w:spacing w:after="0" w:line="83"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2 and 13 of Notes to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5" w:name="page66"/>
    <w:bookmarkEnd w:id="65"/>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11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81"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The notional amounts of interest rate contracts entered into for trading account purposes totaled $47.6 billion at September 30, 2019, $40.3 billion at September 30, 2018 and $42.9 billion at December 31, 2018. The notional amounts of foreign currency and other option and futures contracts entered into for trading account purposes were $843 million at September 30, 2019, compared with $869 million at September 30, 2018 and $763 million at December 31, 2018.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$614 million and $82 million, respectively, at September 30, 2019 and $186 million and $178 million, respectively, at December 31, 2018. The increase in the fair value of trading account assets at September 30, 2019 reflects the impact of declining rates on the fair value of interest rate swap agreements executed with customers. The fair value asset and liability amounts at September 30, 2019 have been reduced by contractual settlements of $17 million and $391 million, respectively, and at December 31, 2018 have been reduced by contractual settlements of $171 million and $50 million, respectively. Included in trading account assets were assets related to deferred compensation plans aggregating $21 million at each of September 30, 2019 and December 31, 2018, and $22 million at September 30, 2018. Changes in the fair values of such assets are recorded as “trading account and foreign exchange gains” in the consolidated statement of income. Included in “other liabilities” in the consolidated balance sheet at September 30, 2019 were $25 million of liabilities related to deferred compensation plans, compared with $27 million at September 30, 2018 and $25 million at December 31, 2018.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$28 million at September 30, 2019</w:t>
      </w:r>
      <w:r>
        <w:rPr>
          <w:rFonts w:ascii="Times New Roman" w:cs="Times New Roman" w:eastAsia="Times New Roman" w:hAnsi="Times New Roman"/>
          <w:sz w:val="18"/>
          <w:szCs w:val="18"/>
          <w:color w:val="auto"/>
        </w:rPr>
        <w:t>, $26 million</w:t>
      </w:r>
      <w:r>
        <w:rPr>
          <w:rFonts w:ascii="Times New Roman" w:cs="Times New Roman" w:eastAsia="Times New Roman" w:hAnsi="Times New Roman"/>
          <w:sz w:val="21"/>
          <w:szCs w:val="21"/>
          <w:color w:val="auto"/>
        </w:rPr>
        <w:t xml:space="preserve"> at September 30, 2018 and $25 million at December 31, 2018.</w:t>
      </w:r>
    </w:p>
    <w:p>
      <w:pPr>
        <w:spacing w:after="0" w:line="94"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11 of Notes to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third quarter of 2019 was $45 million, compared with $16 million in the year-earlier quarter and $55 million in the second quarter of 2019. For the nine-month period ended September 30, 2019 and 2018, the provision for credit losses totaled $122 million and $94 million, respectively. Net charge-offs of loans were $36 million in the recent quarter, compared with $16 million and $44 million in the third quarter of 2018 and the second quarter of 2019, respectively. Net charge-offs as 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6" w:name="page67"/>
    <w:bookmarkEnd w:id="66"/>
    <w:p>
      <w:pPr>
        <w:jc w:val="both"/>
        <w:spacing w:after="0" w:line="250" w:lineRule="auto"/>
        <w:rPr>
          <w:sz w:val="20"/>
          <w:szCs w:val="20"/>
          <w:color w:val="auto"/>
        </w:rPr>
      </w:pPr>
      <w:r>
        <w:rPr>
          <w:rFonts w:ascii="Times New Roman" w:cs="Times New Roman" w:eastAsia="Times New Roman" w:hAnsi="Times New Roman"/>
          <w:sz w:val="21"/>
          <w:szCs w:val="21"/>
          <w:color w:val="auto"/>
        </w:rPr>
        <w:t>annualized percentage of average loans and leases were .16% in the recent quarter, .07% in the year-earlier quarter and .20% in the second quarter of 2019. Net charge-offs for the nine-month periods ended September 30, 2019 and 2018 were $103 million and $92 million, respectively, representing an annualized .15% and .14%, respectively, of average loans and leases. A summary of net charge-offs by loan type is presented in the table that follows.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CHARGE-OFFS (RECOVERIES)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LOAN/LEASE TYPE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5"/>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1"/>
        </w:trPr>
        <w:tc>
          <w:tcPr>
            <w:tcW w:w="3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First</w:t>
            </w:r>
          </w:p>
        </w:tc>
        <w:tc>
          <w:tcPr>
            <w:tcW w:w="20" w:type="dxa"/>
            <w:vAlign w:val="bottom"/>
          </w:tcPr>
          <w:p>
            <w:pPr>
              <w:spacing w:after="0"/>
              <w:rPr>
                <w:sz w:val="11"/>
                <w:szCs w:val="11"/>
                <w:color w:val="auto"/>
              </w:rPr>
            </w:pPr>
          </w:p>
        </w:tc>
        <w:tc>
          <w:tcPr>
            <w:tcW w:w="1000" w:type="dxa"/>
            <w:vAlign w:val="bottom"/>
            <w:gridSpan w:val="5"/>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9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72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w w:val="93"/>
              </w:rPr>
              <w:t>Year-</w:t>
            </w:r>
          </w:p>
        </w:tc>
        <w:tc>
          <w:tcPr>
            <w:tcW w:w="60" w:type="dxa"/>
            <w:vAlign w:val="bottom"/>
          </w:tcPr>
          <w:p>
            <w:pPr>
              <w:spacing w:after="0"/>
              <w:rPr>
                <w:sz w:val="11"/>
                <w:szCs w:val="11"/>
                <w:color w:val="auto"/>
              </w:rPr>
            </w:pPr>
          </w:p>
        </w:tc>
      </w:tr>
      <w:tr>
        <w:trPr>
          <w:trHeight w:val="173"/>
        </w:trPr>
        <w:tc>
          <w:tcPr>
            <w:tcW w:w="3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 w:type="dxa"/>
            <w:vAlign w:val="bottom"/>
          </w:tcPr>
          <w:p>
            <w:pPr>
              <w:spacing w:after="0"/>
              <w:rPr>
                <w:sz w:val="15"/>
                <w:szCs w:val="15"/>
                <w:color w:val="auto"/>
              </w:rPr>
            </w:pPr>
          </w:p>
        </w:tc>
        <w:tc>
          <w:tcPr>
            <w:tcW w:w="10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to-date</w:t>
            </w:r>
          </w:p>
        </w:tc>
      </w:tr>
      <w:tr>
        <w:trPr>
          <w:trHeight w:val="240"/>
        </w:trPr>
        <w:tc>
          <w:tcPr>
            <w:tcW w:w="3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37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19,756</w:t>
            </w:r>
          </w:p>
        </w:tc>
        <w:tc>
          <w:tcPr>
            <w:tcW w:w="60" w:type="dxa"/>
            <w:vAlign w:val="bottom"/>
          </w:tcPr>
          <w:p>
            <w:pPr>
              <w:spacing w:after="0"/>
              <w:rPr>
                <w:sz w:val="24"/>
                <w:szCs w:val="24"/>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2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2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70,642</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2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44,470</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2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103,007</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4"/>
        </w:trPr>
        <w:tc>
          <w:tcPr>
            <w:tcW w:w="3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6"/>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3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First</w:t>
            </w:r>
          </w:p>
        </w:tc>
        <w:tc>
          <w:tcPr>
            <w:tcW w:w="20" w:type="dxa"/>
            <w:vAlign w:val="bottom"/>
          </w:tcPr>
          <w:p>
            <w:pPr>
              <w:spacing w:after="0"/>
              <w:rPr>
                <w:sz w:val="11"/>
                <w:szCs w:val="11"/>
                <w:color w:val="auto"/>
              </w:rPr>
            </w:pPr>
          </w:p>
        </w:tc>
        <w:tc>
          <w:tcPr>
            <w:tcW w:w="1000" w:type="dxa"/>
            <w:vAlign w:val="bottom"/>
            <w:gridSpan w:val="5"/>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9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3"/>
              </w:rPr>
              <w:t>Year-</w:t>
            </w:r>
          </w:p>
        </w:tc>
        <w:tc>
          <w:tcPr>
            <w:tcW w:w="80" w:type="dxa"/>
            <w:vAlign w:val="bottom"/>
            <w:gridSpan w:val="2"/>
          </w:tcPr>
          <w:p>
            <w:pPr>
              <w:spacing w:after="0"/>
              <w:rPr>
                <w:sz w:val="11"/>
                <w:szCs w:val="11"/>
                <w:color w:val="auto"/>
              </w:rPr>
            </w:pPr>
          </w:p>
        </w:tc>
      </w:tr>
      <w:tr>
        <w:trPr>
          <w:trHeight w:val="173"/>
        </w:trPr>
        <w:tc>
          <w:tcPr>
            <w:tcW w:w="3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20" w:type="dxa"/>
            <w:vAlign w:val="bottom"/>
          </w:tcPr>
          <w:p>
            <w:pPr>
              <w:spacing w:after="0"/>
              <w:rPr>
                <w:sz w:val="15"/>
                <w:szCs w:val="15"/>
                <w:color w:val="auto"/>
              </w:rPr>
            </w:pPr>
          </w:p>
        </w:tc>
        <w:tc>
          <w:tcPr>
            <w:tcW w:w="10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to-date</w:t>
            </w:r>
          </w:p>
        </w:tc>
      </w:tr>
      <w:tr>
        <w:trPr>
          <w:trHeight w:val="184"/>
        </w:trPr>
        <w:tc>
          <w:tcPr>
            <w:tcW w:w="3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34"/>
        </w:trPr>
        <w:tc>
          <w:tcPr>
            <w:tcW w:w="3980" w:type="dxa"/>
            <w:vAlign w:val="bottom"/>
          </w:tcPr>
          <w:p>
            <w:pPr>
              <w:spacing w:after="0"/>
              <w:rPr>
                <w:sz w:val="11"/>
                <w:szCs w:val="11"/>
                <w:color w:val="auto"/>
              </w:rPr>
            </w:pPr>
          </w:p>
        </w:tc>
        <w:tc>
          <w:tcPr>
            <w:tcW w:w="14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2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(12,636)</w:t>
            </w: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(8,382)</w:t>
            </w: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26,782</w:t>
            </w:r>
          </w:p>
        </w:tc>
        <w:tc>
          <w:tcPr>
            <w:tcW w:w="2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3"/>
        </w:trPr>
        <w:tc>
          <w:tcPr>
            <w:tcW w:w="398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35,423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Reflected in net recoveries of commercial real estate loans in the third quarter of 2018 was a $13 million recovery of a previously charged-off loan associated with a hotel property. Included in net charge-offs of consumer loans were: automobile loans of $7 million in each of the third quarters of 2019 and 2018 and $6 million in the second quarter of 2019; recreational finance loans of $7 million in the third quarter of 2019 and $5 million in each of the year-earlier quarter and the second 2019 quarter; and home equity loans and lines of credit secured by one-to-four family residential properties of $2 million in the recent quarter and $1 million in each of last year’s third quarter and the second quarter of 2019.</w:t>
      </w:r>
    </w:p>
    <w:p>
      <w:pPr>
        <w:spacing w:after="0" w:line="8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$621 million, $797 million and $727 million at September 30, 2019, September 30, 2018 and December 31, 2018, respectively. The nonaccretable balance related to remaining principal losses associated with loans acquired at a discount as of September 30, 2019 and December 31, 2018 is presented in the accompanying table.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NONACCRETABLE BALANCE - PRINCIPAL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 balance</w:t>
            </w:r>
          </w:p>
        </w:tc>
      </w:tr>
      <w:tr>
        <w:trPr>
          <w:trHeight w:val="131"/>
        </w:trPr>
        <w:tc>
          <w:tcPr>
            <w:tcW w:w="46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Borders>
              <w:top w:val="single" w:sz="8" w:color="auto"/>
            </w:tcBorders>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r>
      <w:tr>
        <w:trPr>
          <w:trHeight w:val="173"/>
        </w:trPr>
        <w:tc>
          <w:tcPr>
            <w:tcW w:w="4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240"/>
        </w:trPr>
        <w:tc>
          <w:tcPr>
            <w:tcW w:w="4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5"/>
        </w:trPr>
        <w:tc>
          <w:tcPr>
            <w:tcW w:w="4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22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8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80" w:type="dxa"/>
            <w:vAlign w:val="bottom"/>
            <w:shd w:val="clear" w:color="auto" w:fill="CFF0FC"/>
          </w:tcPr>
          <w:p>
            <w:pPr>
              <w:spacing w:after="0"/>
              <w:rPr>
                <w:sz w:val="19"/>
                <w:szCs w:val="19"/>
                <w:color w:val="auto"/>
              </w:rPr>
            </w:pPr>
          </w:p>
        </w:tc>
      </w:tr>
      <w:tr>
        <w:trPr>
          <w:trHeight w:val="229"/>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80" w:type="dxa"/>
            <w:vAlign w:val="bottom"/>
            <w:tcBorders>
              <w:bottom w:val="single" w:sz="8" w:color="CFF0FC"/>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20,443</w:t>
            </w:r>
          </w:p>
        </w:tc>
        <w:tc>
          <w:tcPr>
            <w:tcW w:w="4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loans acquired in 2015 at a premium was $7.9 billion and $9.3 billion at September 30, 2019 and December 31, 2018,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78"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Nonaccrual loans were $1.01 billion or 1.12% of total loans and leases outstanding at September 30, 2019, compared with $871 million or 1.00% a year earlier, $894 million or 1.01% at December 31, 2018 and $865 million or .96% at June 30, 2019. The higher balance at September 30, 2019 reflects the addition of a commercial loan for $119 million to a wholesale distributor.</w:t>
      </w:r>
    </w:p>
    <w:p>
      <w:pPr>
        <w:spacing w:after="0" w:line="7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Accruing loans past due 90 days or more (excluding loans acquired at a discount) aggregated $461 million, or .51% of total loans and leases at September 30, 2019, compared with $254 million or .29% at September 30, 2018, $223 million or .25% at December 31, 2018 and $349 million or .39% at June 30, 2019. Those amounts included loans guaranteed by government-related entities of $434 million, $195 million, $192 million and $320 million at September 30, 2019, September 30, 2018, December 31, 2018 and June 30, 2019, respectively. Guaranteed loans included one-to-four family residential mortgage loans serviced by the Company that were repurchased to reduce associated servicing costs, including a requirement to advance to investors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$410 million at September 30, 2019, $169 million a year earlier, $165 million at December 31, 2018 and $300 million at June 30, 2019. The increase in such loans at the recent quarter-end and at June 30, 2019 as compared with the prior dates resulted from repurchases of loans associated with the servicing the Company added in 2019. The remaining accruing loans past due 90 days or more not guaranteed by government-related entities were loans considered to be with creditworthy borrowers that were in the process of collection or renewal.</w:t>
      </w:r>
    </w:p>
    <w:p>
      <w:pPr>
        <w:spacing w:after="0" w:line="86"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$253 million at September 30, 2019 or .3% of total loans, compared with $326 million at September 30, 2018 and $303 million at December 31, 2018.</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8" w:name="page69"/>
    <w:bookmarkEnd w:id="68"/>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64"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$177 million at September 30, 2019 and $179 million at each of September 30 and December 31, 2018.</w:t>
      </w:r>
    </w:p>
    <w:p>
      <w:pPr>
        <w:spacing w:after="0" w:line="7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Commercial loans and leases classified as nonaccrual were $383 million, $235 million, $234 million and $224 million at September 30, 2019, September 30, 2018, December 31, 2018 and June 30, 2019, respectively. The increase in such loans in the recent quarter as compared with the prior dates was due largely to a $119 million addition of a loan to a wholesale distributor. The classification of that loan was the factor leading to the net increase in the allowance for credit losses for individually evaluated commercial loans and leases as of September 30, 2019 presented in note 3 of Notes to Financial Statements as compared with June 30, 2019 and December 31, 2018. Commercial real estate loans in nonaccrual status totaled $221 million, $229 million, $231 million and $242 million at September 30, 2019, September 30, 2018, December 31, 2018 and June 30, 2019, respectively. Nonaccrual commercial real estate loans included construction-related loans of $36 million at September 30, 2019, $22 million at September 30, 2018, $27 million at December 31, 2018 and $39 million at June 30, 2019.</w:t>
      </w:r>
    </w:p>
    <w:p>
      <w:pPr>
        <w:spacing w:after="0" w:line="84"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Nonaccrual residential real estate loans aggregated $305 million at September 30, 2019, compared with $310 million at September 30, 2018, $318 million at December 31, 2018 and $298 million at June 30, 2019. Included in residential real estate loans classified as nonaccrual were limited documentation first mortgage loans of $82 million at each of September 30, 2019 and 2018, $85 million at December 31, 2018 and $88 million at June 30, 2019.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(excluding loans acquired at a discount) aggregated $440 million at September 30, 2019, compared with $194 million at September 30, 2018, $190 million at December 31, 2018 and $322 million at June 30, 2019. A substantial portion of such amounts related to guaranteed loans repurchased from government-related entities, including the previously disclosed repurchases of loans associated with servicing that the Company added in 2019. Information about the location of nonaccrual and charged-off residential real estate loans as of and for the quarter ended September 30, 2019 is presented in the accompanying table.</w:t>
      </w:r>
    </w:p>
    <w:p>
      <w:pPr>
        <w:spacing w:after="0" w:line="8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Consumer loans in nonaccrual status amounted to $96 million at September 30, 2019, compared with $97 million at September 30, 2018, $110 million at December 31, 2018 and $101 million at June 30, 2019. Included in nonaccrual consumer loans at September 30, 2019, September 30, 2018, December 31, 2018 and June 30, 2019 were: automobile loans of $21 million, $21 million, $23 million and $20 million, respectively; recreational finance loans of $12 million, $8 million, $11 million and $11 million, respectively; and outstanding balances of home equity loans and lines of credit of $60 million, $66 million, $71 million and $67 million, respectively. Information about the location of nonaccrual and charged-off home equity loans and lines of credit as of and for the quarter ended September 30, 2019 is presented in the accompanying table.</w:t>
      </w:r>
    </w:p>
    <w:p>
      <w:pPr>
        <w:spacing w:after="0" w:line="82"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Information about past due and nonaccrual loans as of September 30, 2019 and December 31, 2018 is also included in note 3 of Notes to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SELECTED RESIDENTIAL REAL ESTATE-RELATED LOAN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0" w:type="dxa"/>
            <w:vAlign w:val="bottom"/>
          </w:tcPr>
          <w:p>
            <w:pPr>
              <w:spacing w:after="0"/>
              <w:rPr>
                <w:sz w:val="1"/>
                <w:szCs w:val="1"/>
                <w:color w:val="auto"/>
              </w:rPr>
            </w:pPr>
          </w:p>
        </w:tc>
      </w:tr>
      <w:tr>
        <w:trPr>
          <w:trHeight w:val="165"/>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74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60" w:type="dxa"/>
            <w:vAlign w:val="bottom"/>
            <w:tcBorders>
              <w:top w:val="single" w:sz="8" w:color="auto"/>
              <w:bottom w:val="single" w:sz="8" w:color="auto"/>
            </w:tcBorders>
            <w:gridSpan w:val="3"/>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5"/>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Residential mortgages:</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4,907,185</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71,216</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(264)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1,159,641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14,739</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1,110,537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11,530</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3,231,053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56,462</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1,002,556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7,816</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2,802,555</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60,563</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14,213,527</w:t>
            </w:r>
          </w:p>
        </w:tc>
        <w:tc>
          <w:tcPr>
            <w:tcW w:w="3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222,326</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754</w:t>
            </w:r>
          </w:p>
        </w:tc>
        <w:tc>
          <w:tcPr>
            <w:tcW w:w="300" w:type="dxa"/>
            <w:vAlign w:val="bottom"/>
          </w:tcPr>
          <w:p>
            <w:pPr>
              <w:spacing w:after="0"/>
              <w:rPr>
                <w:sz w:val="16"/>
                <w:szCs w:val="16"/>
                <w:color w:val="auto"/>
              </w:rPr>
            </w:pPr>
          </w:p>
        </w:tc>
        <w:tc>
          <w:tcPr>
            <w:tcW w:w="10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Residential construction loans:</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27,137</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12,970</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89,232</w:t>
            </w:r>
          </w:p>
        </w:tc>
        <w:tc>
          <w:tcPr>
            <w:tcW w:w="320" w:type="dxa"/>
            <w:vAlign w:val="bottom"/>
            <w:vMerge w:val="continue"/>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1,240</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1.39%</w:t>
            </w:r>
          </w:p>
        </w:tc>
        <w:tc>
          <w:tcPr>
            <w:tcW w:w="1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(2)</w:t>
            </w:r>
          </w:p>
        </w:tc>
        <w:tc>
          <w:tcPr>
            <w:tcW w:w="10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first mortgages:</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972,924</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(29)</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48,217</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821,288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23,436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306,707</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18,196</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2,198,196</w:t>
            </w:r>
          </w:p>
        </w:tc>
        <w:tc>
          <w:tcPr>
            <w:tcW w:w="3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81,679</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458</w:t>
            </w:r>
          </w:p>
        </w:tc>
        <w:tc>
          <w:tcPr>
            <w:tcW w:w="300" w:type="dxa"/>
            <w:vAlign w:val="bottom"/>
          </w:tcPr>
          <w:p>
            <w:pPr>
              <w:spacing w:after="0"/>
              <w:rPr>
                <w:sz w:val="16"/>
                <w:szCs w:val="16"/>
                <w:color w:val="auto"/>
              </w:rPr>
            </w:pPr>
          </w:p>
        </w:tc>
        <w:tc>
          <w:tcPr>
            <w:tcW w:w="10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1,135,087</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13,929</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691,468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569,742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69,861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187,929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(1,432)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33,518</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2,687,605</w:t>
            </w:r>
          </w:p>
        </w:tc>
        <w:tc>
          <w:tcPr>
            <w:tcW w:w="3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31,817</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(390)</w:t>
            </w:r>
          </w:p>
        </w:tc>
        <w:tc>
          <w:tcPr>
            <w:tcW w:w="300" w:type="dxa"/>
            <w:vAlign w:val="bottom"/>
          </w:tcPr>
          <w:p>
            <w:pPr>
              <w:spacing w:after="0"/>
              <w:rPr>
                <w:sz w:val="16"/>
                <w:szCs w:val="16"/>
                <w:color w:val="auto"/>
              </w:rPr>
            </w:pPr>
          </w:p>
        </w:tc>
        <w:tc>
          <w:tcPr>
            <w:tcW w:w="10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696,024</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14,665</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260,631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542,698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97,883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246,857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42,165</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1,886,258</w:t>
            </w:r>
          </w:p>
        </w:tc>
        <w:tc>
          <w:tcPr>
            <w:tcW w:w="3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27,793</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2,450</w:t>
            </w:r>
          </w:p>
        </w:tc>
        <w:tc>
          <w:tcPr>
            <w:tcW w:w="300" w:type="dxa"/>
            <w:vAlign w:val="bottom"/>
          </w:tcPr>
          <w:p>
            <w:pPr>
              <w:spacing w:after="0"/>
              <w:rPr>
                <w:sz w:val="16"/>
                <w:szCs w:val="16"/>
                <w:color w:val="auto"/>
              </w:rPr>
            </w:pPr>
          </w:p>
        </w:tc>
        <w:tc>
          <w:tcPr>
            <w:tcW w:w="10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junior lien:</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48.68%</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(29)</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144.52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80" w:type="dxa"/>
            <w:vAlign w:val="bottom"/>
            <w:vMerge w:val="continue"/>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5,929</w:t>
            </w:r>
          </w:p>
        </w:tc>
        <w:tc>
          <w:tcPr>
            <w:tcW w:w="320" w:type="dxa"/>
            <w:vAlign w:val="bottom"/>
            <w:vMerge w:val="continue"/>
          </w:tcPr>
          <w:p>
            <w:pPr>
              <w:spacing w:after="0"/>
              <w:rPr>
                <w:sz w:val="13"/>
                <w:szCs w:val="13"/>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305</w:t>
            </w:r>
          </w:p>
        </w:tc>
        <w:tc>
          <w:tcPr>
            <w:tcW w:w="300" w:type="dxa"/>
            <w:vAlign w:val="bottom"/>
          </w:tcPr>
          <w:p>
            <w:pPr>
              <w:spacing w:after="0"/>
              <w:rPr>
                <w:sz w:val="13"/>
                <w:szCs w:val="13"/>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5.14%</w:t>
            </w:r>
          </w:p>
        </w:tc>
        <w:tc>
          <w:tcPr>
            <w:tcW w:w="1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152</w:t>
            </w:r>
          </w:p>
        </w:tc>
        <w:tc>
          <w:tcPr>
            <w:tcW w:w="300" w:type="dxa"/>
            <w:vAlign w:val="bottom"/>
          </w:tcPr>
          <w:p>
            <w:pPr>
              <w:spacing w:after="0"/>
              <w:rPr>
                <w:sz w:val="13"/>
                <w:szCs w:val="13"/>
                <w:color w:val="auto"/>
              </w:rPr>
            </w:pPr>
          </w:p>
        </w:tc>
        <w:tc>
          <w:tcPr>
            <w:tcW w:w="10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378"/>
        <w:spacing w:after="0"/>
        <w:tabs>
          <w:tab w:leader="none" w:pos="4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Delaware, Virginia, West Virginia and the District of Columbia.</w:t>
      </w:r>
    </w:p>
    <w:p>
      <w:pPr>
        <w:spacing w:after="0" w:line="200" w:lineRule="exact"/>
        <w:rPr>
          <w:rFonts w:ascii="Times New Roman" w:cs="Times New Roman" w:eastAsia="Times New Roman" w:hAnsi="Times New Roman"/>
          <w:sz w:val="18"/>
          <w:szCs w:val="18"/>
          <w:i w:val="1"/>
          <w:iCs w:val="1"/>
          <w:color w:val="auto"/>
        </w:rPr>
      </w:pPr>
    </w:p>
    <w:p>
      <w:pPr>
        <w:spacing w:after="0" w:line="262"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0" w:name="page71"/>
    <w:bookmarkEnd w:id="70"/>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Real estate and other foreclosed assets totaled $80 million at September 30, 2019, compared with $87 million at September 30, 2018, $78 million at December 31, 2018 and $73 million at June 30, 2019. Net gains or losses associated with real estate and other foreclosed assets were not material during the three-months ended September 30, 2019, September 30, 2018 or June 30, 2019. At September 30, 2019, the Company’s holdings of residential real estate-related properties comprised approximately 88% of foreclosed assets.</w:t>
      </w:r>
    </w:p>
    <w:p>
      <w:pPr>
        <w:spacing w:after="0" w:line="79" w:lineRule="exact"/>
        <w:rPr>
          <w:sz w:val="20"/>
          <w:szCs w:val="20"/>
          <w:color w:val="auto"/>
        </w:rPr>
      </w:pPr>
    </w:p>
    <w:p>
      <w:pPr>
        <w:jc w:val="both"/>
        <w:ind w:right="20" w:firstLine="518"/>
        <w:spacing w:after="0" w:line="267" w:lineRule="auto"/>
        <w:rPr>
          <w:sz w:val="20"/>
          <w:szCs w:val="20"/>
          <w:color w:val="auto"/>
        </w:rPr>
      </w:pPr>
      <w:r>
        <w:rPr>
          <w:rFonts w:ascii="Times New Roman" w:cs="Times New Roman" w:eastAsia="Times New Roman" w:hAnsi="Times New Roman"/>
          <w:sz w:val="21"/>
          <w:szCs w:val="21"/>
          <w:color w:val="auto"/>
        </w:rPr>
        <w:t>A comparative summary of nonperforming assets and certain past due, renegotiated and impaired loan data and credit quality ratios is presented in the accompanying table.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RENOGIATED AND IMPAIRED LOAN DATA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2019 Quarters</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2018 Quarters</w:t>
            </w: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Third</w:t>
            </w: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Second</w:t>
            </w: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First</w:t>
            </w:r>
          </w:p>
        </w:tc>
        <w:tc>
          <w:tcPr>
            <w:tcW w:w="380" w:type="dxa"/>
            <w:vAlign w:val="bottom"/>
            <w:tcBorders>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Fourth</w:t>
            </w:r>
          </w:p>
        </w:tc>
        <w:tc>
          <w:tcPr>
            <w:tcW w:w="7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Third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1,005,249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865,384</w:t>
            </w:r>
          </w:p>
        </w:tc>
        <w:tc>
          <w:tcPr>
            <w:tcW w:w="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881,611</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893,608</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79,735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72,907</w:t>
            </w: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81,335</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78,375</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9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1,084,984</w:t>
            </w: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938,291</w:t>
            </w:r>
          </w:p>
        </w:tc>
        <w:tc>
          <w:tcPr>
            <w:tcW w:w="2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962,946</w:t>
            </w: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971,983</w:t>
            </w: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958,165</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Accruing loans past due 90 days or more(a)</w:t>
            </w:r>
          </w:p>
        </w:tc>
        <w:tc>
          <w:tcPr>
            <w:tcW w:w="9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461,162</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348,725</w:t>
            </w:r>
          </w:p>
        </w:tc>
        <w:tc>
          <w:tcPr>
            <w:tcW w:w="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244,257</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222,527</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254,360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Government guaranteed loans included in totals above:</w:t>
            </w: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Nonaccrual loans</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36,765</w:t>
            </w: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35,481</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34,667</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9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434,132</w:t>
            </w: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320,305</w:t>
            </w:r>
          </w:p>
        </w:tc>
        <w:tc>
          <w:tcPr>
            <w:tcW w:w="20" w:type="dxa"/>
            <w:vAlign w:val="bottom"/>
            <w:tcBorders>
              <w:bottom w:val="single" w:sz="8" w:color="CFF0FC"/>
            </w:tcBorders>
          </w:tcPr>
          <w:p>
            <w:pPr>
              <w:spacing w:after="0"/>
              <w:rPr>
                <w:sz w:val="23"/>
                <w:szCs w:val="23"/>
                <w:color w:val="auto"/>
              </w:rPr>
            </w:pP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194,510</w:t>
            </w: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192,443</w:t>
            </w: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195,450</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Renegotiated loans</w:t>
            </w:r>
          </w:p>
        </w:tc>
        <w:tc>
          <w:tcPr>
            <w:tcW w:w="9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240,781</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254,332</w:t>
            </w:r>
          </w:p>
        </w:tc>
        <w:tc>
          <w:tcPr>
            <w:tcW w:w="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267,952</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245,367</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Acquired accruing loans past due 90 days or more(b)</w:t>
            </w: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40,733</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43,079</w:t>
            </w: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43,995</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 loans(c):</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 customer balance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453,382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473,834</w:t>
            </w: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495,163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Carrying amount</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253,496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263,025</w:t>
            </w: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278,783</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303,305</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325,980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Nonaccrual loans to total loans and leases, net of</w:t>
            </w: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discount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total net loans and leases and</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11"/>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Accruing loans past due 90 days or more(a) to total</w:t>
            </w: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ind w:left="700" w:hanging="692"/>
        <w:spacing w:after="0"/>
        <w:tabs>
          <w:tab w:leader="none" w:pos="7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loans acquired at a discount. Predominantly residential real estate loans.</w:t>
      </w:r>
    </w:p>
    <w:p>
      <w:pPr>
        <w:spacing w:after="0" w:line="29" w:lineRule="exact"/>
        <w:rPr>
          <w:rFonts w:ascii="Times New Roman" w:cs="Times New Roman" w:eastAsia="Times New Roman" w:hAnsi="Times New Roman"/>
          <w:sz w:val="18"/>
          <w:szCs w:val="18"/>
          <w:i w:val="1"/>
          <w:iCs w:val="1"/>
          <w:color w:val="auto"/>
        </w:rPr>
      </w:pPr>
    </w:p>
    <w:p>
      <w:pPr>
        <w:ind w:left="580" w:hanging="572"/>
        <w:spacing w:after="0" w:line="250" w:lineRule="auto"/>
        <w:tabs>
          <w:tab w:leader="none" w:pos="5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Loans acquired at a discount that were recorded at fair value at acquisition date. This category does not include purchased impaired loans that are presented separately.</w:t>
      </w:r>
    </w:p>
    <w:p>
      <w:pPr>
        <w:ind w:left="580" w:hanging="572"/>
        <w:spacing w:after="0"/>
        <w:tabs>
          <w:tab w:leader="none" w:pos="5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Accruing loans acquired at a discount that were impaired at acquisition date and recorded at fair value.</w:t>
      </w:r>
    </w:p>
    <w:p>
      <w:pPr>
        <w:spacing w:after="0" w:line="99"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real estate values on the Company’s portfolio of loans secured by commercial and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and (v) the size of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1" w:name="page72"/>
    <w:bookmarkEnd w:id="71"/>
    <w:p>
      <w:pPr>
        <w:jc w:val="both"/>
        <w:spacing w:after="0" w:line="267" w:lineRule="auto"/>
        <w:rPr>
          <w:sz w:val="20"/>
          <w:szCs w:val="20"/>
          <w:color w:val="auto"/>
        </w:rPr>
      </w:pPr>
      <w:r>
        <w:rPr>
          <w:rFonts w:ascii="Times New Roman" w:cs="Times New Roman" w:eastAsia="Times New Roman" w:hAnsi="Times New Roman"/>
          <w:sz w:val="21"/>
          <w:szCs w:val="21"/>
          <w:color w:val="auto"/>
        </w:rPr>
        <w:t>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56"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20"/>
          <w:szCs w:val="20"/>
          <w:color w:val="auto"/>
        </w:rPr>
        <w:t>Management cautiously and conservatively evaluated the allowance for credit losses as of September 30, 2019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w:t>
      </w:r>
    </w:p>
    <w:p>
      <w:pPr>
        <w:spacing w:after="0" w:line="1" w:lineRule="exact"/>
        <w:rPr>
          <w:sz w:val="20"/>
          <w:szCs w:val="20"/>
          <w:color w:val="auto"/>
        </w:rPr>
      </w:pPr>
    </w:p>
    <w:p>
      <w:pPr>
        <w:jc w:val="both"/>
        <w:ind w:firstLine="8"/>
        <w:spacing w:after="0" w:line="242" w:lineRule="auto"/>
        <w:tabs>
          <w:tab w:leader="none" w:pos="29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and type of loan growth experienced by the Company. While there has been general improvement in economic conditions in recent years, concerns exist about the ongoing sustainability of such improvements;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53% of the Company’s loans and leases are to customers in New York State and Pennsylvania).</w:t>
      </w:r>
    </w:p>
    <w:p>
      <w:pPr>
        <w:spacing w:after="0" w:line="83"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$2.6 billion at September 30, 2019, compared with $2.3 billion at September 30, 2018, $2.7 billion at December 31, 2018 and $2.8 billion at June 30, 2019. The increase in criticized loans from September 30, 2018 to December 31, 2018 reflected loans to three customers each operating in different industries and geographic regions, that were added to this classification in the fourth quarter of 2018. The decline in criticized loans from June 30, 2019 to September 30, 2019 reflects paydowns and upgrades to such loans (largely commercial real estate loans) resulting from improvement in the borrowers’ financial condition. Given payment performance, amount of supporting collateral, and, in certain instances, the existence of loan guarantees, the Company still expects to collect the full outstanding principal balance on most criticized loans.</w:t>
      </w:r>
    </w:p>
    <w:p>
      <w:pPr>
        <w:spacing w:after="0" w:line="66"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2" w:name="page73"/>
    <w:bookmarkEnd w:id="72"/>
    <w:p>
      <w:pPr>
        <w:jc w:val="both"/>
        <w:spacing w:after="0" w:line="267" w:lineRule="auto"/>
        <w:rPr>
          <w:sz w:val="20"/>
          <w:szCs w:val="20"/>
          <w:color w:val="auto"/>
        </w:rPr>
      </w:pPr>
      <w:r>
        <w:rPr>
          <w:rFonts w:ascii="Times New Roman" w:cs="Times New Roman" w:eastAsia="Times New Roman" w:hAnsi="Times New Roman"/>
          <w:sz w:val="21"/>
          <w:szCs w:val="21"/>
          <w:color w:val="auto"/>
        </w:rPr>
        <w:t>depending on the nature of the collateral, is verified through field exams or other procedures. In assessing collateral, real estate and non-real estate values are reduced by an estimate of selling costs.</w:t>
      </w:r>
    </w:p>
    <w:p>
      <w:pPr>
        <w:spacing w:after="0" w:line="56"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20"/>
          <w:szCs w:val="20"/>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September 30, 2019, approximately 59% of the Company’s home equity portfolio consisted of first lien loans and lines of credit. Of the remaining junior lien loans in the portfolio, approximately 61% (or approximately 24%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September 30, 2019, the balance of junior lien loans and lines that were in nonaccrual status solely as a result of first lien loan performance was $2 million, compared with $9 million at September 30, 2018, $10 million at December 31, 2018 and $5 million at June 30, 2019.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September 30, 2019, approximately 82% of all outstanding balances of home equity lines of credit related to lines that were still in the draw period, the weighted-average remaining draw periods were approximately five years, and approximately 25% were making contractually allowed payments that do not include any repayment of principal.</w:t>
      </w:r>
    </w:p>
    <w:p>
      <w:pPr>
        <w:spacing w:after="0" w:line="76"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82"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determining the allowance for credit losses, the Company estimates losses attributable to specific troubled credits identified through both normal and targeted credit review processes and also estimates losses inherent in other loans and leases. In quantifying incurred losses, the Company considers the factors and uses the techniques described herein and in note 3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41% of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3" w:name="page74"/>
    <w:bookmarkEnd w:id="73"/>
    <w:p>
      <w:pPr>
        <w:jc w:val="both"/>
        <w:spacing w:after="0" w:line="257" w:lineRule="auto"/>
        <w:rPr>
          <w:sz w:val="20"/>
          <w:szCs w:val="20"/>
          <w:color w:val="auto"/>
        </w:rPr>
      </w:pPr>
      <w:r>
        <w:rPr>
          <w:rFonts w:ascii="Times New Roman" w:cs="Times New Roman" w:eastAsia="Times New Roman" w:hAnsi="Times New Roman"/>
          <w:sz w:val="20"/>
          <w:szCs w:val="20"/>
          <w:color w:val="auto"/>
        </w:rPr>
        <w:t>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3 of Notes to Financial Statements.</w:t>
      </w:r>
    </w:p>
    <w:p>
      <w:pPr>
        <w:spacing w:after="0" w:line="66"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Management believes that the allowance for credit losses at September 30, 2019 appropriately reflected credit losses inherent in the portfolio as of that date. The allowance for credit losses totaled $1.04 billion at September 30, 2019 and $1.02 billion at each of September 30, 2018 and December 31, 2018. As a percentage of loans and leases outstanding, the allowance was 1.16% at September 30, 2019, 1.18% at September 30, 2018 and 1.15% at December 31, 2018.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103% at September 30, 2019, 117% at September 30, 2018 and 114% at December 31, 2018.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Other income totaled $528 million in the third quarter of 2019, compared with $459 million in the year-earlier quarter and $512 million in the second quarter of 2019. The recent quarter’s improvement as compared with the third quarter of 2018 reflected higher mortgage banking revenues, trust income, and trading account and foreign exchange gains. A rise in mortgage banking revenues in the recent quarter was the main factor contributing to the increase from 2019’s second quarter.</w:t>
      </w:r>
    </w:p>
    <w:p>
      <w:pPr>
        <w:spacing w:after="0" w:line="73"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Mortgage banking revenues were $137 million in the recent quarter, compared with $88 million in the third quarter of 2018 and $107 million in the second quarter of 2019.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9"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$88 million in the third quarter of 2019, compared with $59 million in the year-earlier quarter and $72 million in 2019’s second quarter. The higher revenues in the recent quarter as compared with the prior quarters resulted from increased servicing income and higher gains associated with loans held for sale.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4" w:name="page75"/>
    <w:bookmarkEnd w:id="74"/>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New commitments to originate residential real estate loans to be sold were approximately $835 million in the recent quarter, compared with $545 million in the third quarter of 2018 and $723 million in the second 2019 quarter.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$23 million in the third quarter of 2019, $12 million in the year-earlier quarter and $13 million in the second quarter of 2019.</w:t>
      </w:r>
    </w:p>
    <w:p>
      <w:pPr>
        <w:spacing w:after="0" w:line="79"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Loans held for sale that were secured by residential real estate aggregated $391 million at September 30, 2019, $258 million at September 30, 2018 and $205 million at December 31, 2018. Commitments to sell residential real estate loans and commitments to originate residential real estate loans for sale at pre-determined rates totaled $759 million and $530 million, respectively, at September 30, 2019, compared with $459 million and $308 million, respectively, at September 30, 2018 and $364 million and $245 million, respectively, at December 31, 2018. Net recognized unrealized gains on residential real estate loans held for sale, commitments to sell loans, and commitments to originate loans for sale were $12 million and $10 million at September 30, 2019 and September 30, 2018, respectively, compared with $7 million at December 31, 2018. Changes in such net unrealized gains are recorded in mortgage banking revenues and resulted in net increases in revenues of $2 million in each of the second and third quarters of 2019 and a net decrease in revenues of $1 million in the third quarter of 2018.</w:t>
      </w:r>
    </w:p>
    <w:p>
      <w:pPr>
        <w:spacing w:after="0" w:line="84"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Revenues from servicing residential real estate loans for others were $65 million in the quarter ended September 30, 2019, compared with $47 million and $59 million during the quarters ended September 30, 2018 and June 30, 2019, respectively. Residential real estate loans serviced for others totaled $98.3 billion at September 30, 2019, $82.7 billion at September 30, 2018, $79.1 billion at December 31, 2018 and $102.9 billion at June 30, 2019. On January 31, 2019, the Company purchased servicing rights for residential real estate loans that had outstanding principal balances of $13.1 billion. The purchase price of such servicing rights was approximately $145 million. Capitalized residential mortgage servicing assets aggregated $226 million at September 30, 2019 (net of a $23 million valuation allowance), $121 million at each of September 30, 2018 and December 31, 2018 and $245 million at June 30, 2019 (net of a $9 million valuation allowance). A provision for impairment of capitalized residential mortgage servicing rights of $14 million was recorded in the recent quarter, resulting from changes in the estimated fair value of capitalized mortgage servicing rights that reflected the impact of lower interest rates on the expected rate of residential mortgage loan prepayments. A similar provision was recorded in the second quarter of 2019 for $9 million. Reflected in residential real estate loans serviced for others were loans sub-serviced for others of $65.1 billion, $60.3 billion, $56.8 billion and $68.7 billion at September 30, 2019, September 30, 2018, December 31, 2018 and June 30, 2019, respectively. Revenues earned for sub-servicing loans totaled $33 million for the three months ended September 30, 2019, compared with $28 million in the year-earlier period and $29 million in the second quarter of 2019. The Company added approximately $7.9 billion to its residential real estate loan sub-servicing portfolio on April 2, 2019. In addition, on June 4, 2019, an additional $8.7 billion of residential real estate loans were added to the Company’s sub-servicing portfolio. The contractual servicing rights associated with loans sub-serviced by the Company were predominantly held by affiliates of BLG. Information about the Company’s relationship with BLG and its affiliates is included in note 16 of Notes to Financial Statements.</w:t>
      </w:r>
    </w:p>
    <w:p>
      <w:pPr>
        <w:spacing w:after="0" w:line="96"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Commercial mortgage banking revenues totaled $49 million in the recent quarter, compared with $29 million and $35 million in the third quarter of 2018 and the second quarter of 2019, respectively. Included in such amounts were revenues from loan origination and sales activities of $32 million in the third quarter of 2019, $15 million in the year-earlier quarter and $21 million in the second quarter of 2019. Commercial real estate loans originated for sale to other investors were approximately $1.5 billion in the recent quarter, compared with $920 million in the third quarter of 2018 and $1.1 billion in the second 2019 quarter. Loan servicing revenues totaled $17 million in the recent quarter and $14 million in each of the third quarter of 2018 and the second quarter of 2019. Capitalized commercial mortgage servicing assets were $128 million at September 30, 2019 and $115 million at each of September 30, 2018 and December 31, 2018. Commercial real estate loans serviced for other investors totaled $20.5 billion at September 30, 2019, $17.7 billion a year earlier and $18.2 billion at December 31, 2018 and included $3.8 billion, $3.3 billion and $3.4 billion, respectively, of loan balances for which investors had recourse to the Company if such balances are ultimately uncollectible. Commitments to sell commercial real estate loans and commitments to originate commercial real estate loans for sale were $591 million and $393 million, respectively, at September 30, 2019, $536</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21"/>
          <w:szCs w:val="21"/>
          <w:color w:val="auto"/>
        </w:rPr>
        <w:t>million and $154 million, respectively, at September 30, 2018 and $577 million and $229 million, respectively, at December 31, 2018. Commercial real estate loans held for sale at September 30, 2019, September 30, 2018 and December 31, 2018 were $197 million, $381 million and $347 million, respectively.</w:t>
      </w:r>
    </w:p>
    <w:p>
      <w:pPr>
        <w:spacing w:after="0" w:line="7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Service charges on deposit accounts were $111 million and $109 million in the third quarters of 2019 and 2018, respectively, and $108 million in the second quarter of 2019.</w:t>
      </w:r>
    </w:p>
    <w:p>
      <w:pPr>
        <w:spacing w:after="0" w:line="56"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$144 million in each of the second and third quarters of 2019, compared with $134 million in the third quarter of 2018. Revenues associated with the ICS business were approximately $79 million, $67 million and $77 million during the quarters ended September 30, 2019, September 30, 2018 and June 30, 2019, respectively. The higher revenues in the two most recent quarters reflect the impact of sales activities and higher retirement services income from growth in collective fund balances. Revenues attributable to WAS totaled approximately $57 million, $58 million and $60 million for the three-month periods ended September 30, 2019, September 30, 2018 and June 30, 2019, respectively. The higher revenue in 2019’s second quarter reflected annual tax service fees earned for assisting customers with their tax filings. Trust assets under management were $107.0 billion, $87.8 billion and $97.6 billion at September 30, 2019, September 30, 2018 and June 30, 2019, respectively. The higher balance at September 30, 2019 largely reflects growth in the ICS business. Trust assets under management include the Company’s proprietary mutual funds’ assets of $12.3 billion, $10.2 billion and $11.8 billion at September 30, 2019, September 30, 2018 and June 30, 2019, respectively. Additional trust income from investment management activities was $8 million during each of the quarters ended September 30, 2019 and September 30, 2018, compared with $7 million during the quarter ended June 30, 2019, and is predominantly comprised of fees earned from retail customer investment accounts. The Company’s trust income from the previously noted affiliated asset manager was not material during any of the quarters referenced herein. In July 2019, the Company entered into an agreement to sell its non-controlling interest in that entity. The sale was closed effective September 30, 2019. Assets managed by the affiliated manager totaled $3.8 billion at June 30, 2019, $5.6 billion at September 30, 2018 and $4.2 billion at December 31, 2018.</w:t>
      </w:r>
    </w:p>
    <w:p>
      <w:pPr>
        <w:spacing w:after="0" w:line="93" w:lineRule="exact"/>
        <w:rPr>
          <w:sz w:val="20"/>
          <w:szCs w:val="20"/>
          <w:color w:val="auto"/>
        </w:rPr>
      </w:pPr>
    </w:p>
    <w:p>
      <w:pPr>
        <w:jc w:val="both"/>
        <w:ind w:firstLine="518"/>
        <w:spacing w:after="0" w:line="260" w:lineRule="auto"/>
        <w:rPr>
          <w:sz w:val="20"/>
          <w:szCs w:val="20"/>
          <w:color w:val="auto"/>
        </w:rPr>
      </w:pPr>
      <w:r>
        <w:rPr>
          <w:rFonts w:ascii="Times New Roman" w:cs="Times New Roman" w:eastAsia="Times New Roman" w:hAnsi="Times New Roman"/>
          <w:sz w:val="20"/>
          <w:szCs w:val="20"/>
          <w:color w:val="auto"/>
        </w:rPr>
        <w:t>Brokerage services income, which includes revenues from the sale of mutual funds and annuities and securities brokerage fees, totaled $12 million in each of the third quarters of 2019 and 2018 and the second quarter of 2019. Trading account and foreign exchange activity resulted in gains of $16 million and $6 million during the quarters ended September 30, 2019 and 2018, respectively, and $18 million in the second 2019 quarter. The higher level of such gains in the two most recent quarters as compared with the third quarter of 2018 reflects increased gains related to interest rate swap transactions executed on behalf of commercial customers. Information about the notional amount of interest rate, foreign exchange and other contracts entered into by the Company for trading account purposes is included in note 11 of Notes to Financial Statements and herein under the heading “Taxable-equivalent Net Interest Income.”</w:t>
      </w:r>
    </w:p>
    <w:p>
      <w:pPr>
        <w:spacing w:after="0" w:line="64" w:lineRule="exact"/>
        <w:rPr>
          <w:sz w:val="20"/>
          <w:szCs w:val="20"/>
          <w:color w:val="auto"/>
        </w:rPr>
      </w:pPr>
    </w:p>
    <w:p>
      <w:pPr>
        <w:jc w:val="both"/>
        <w:ind w:right="20" w:firstLine="518"/>
        <w:spacing w:after="0" w:line="254" w:lineRule="auto"/>
        <w:rPr>
          <w:sz w:val="20"/>
          <w:szCs w:val="20"/>
          <w:color w:val="auto"/>
        </w:rPr>
      </w:pPr>
      <w:r>
        <w:rPr>
          <w:rFonts w:ascii="Times New Roman" w:cs="Times New Roman" w:eastAsia="Times New Roman" w:hAnsi="Times New Roman"/>
          <w:sz w:val="21"/>
          <w:szCs w:val="21"/>
          <w:color w:val="auto"/>
        </w:rPr>
        <w:t>The Company recognized net gains on investment securities of $4 million and $9 million in the third and second quarters of 2019, respectively, compared with losses of $3 million in the third quarter of 2018, consisting predominantly of unrealized gains and losses on investments in Fannie Mae and Freddie Mac preferred stock.</w:t>
      </w:r>
    </w:p>
    <w:p>
      <w:pPr>
        <w:spacing w:after="0" w:line="70"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Other revenues from operations were $104 million in the third quarter of 2019, compared with $114 million in the corresponding 2018 period and $113 million in the second quarter of 2019. The recent quarter’s decline as compared with the year-earlier quarter reflected lower letter of credit and other credit-related fees, including loan syndication fees. As compared with the second quarter of 2019, lower insurance-related fees and bank owned life insurance income contributed to the recent quarter’s decline. Included in other revenues from operations were the following significant components. Letter of credit and other credit-related fees aggregated $28 million in the recent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6" w:name="page77"/>
    <w:bookmarkEnd w:id="76"/>
    <w:p>
      <w:pPr>
        <w:jc w:val="both"/>
        <w:spacing w:after="0" w:line="246" w:lineRule="auto"/>
        <w:rPr>
          <w:sz w:val="20"/>
          <w:szCs w:val="20"/>
          <w:color w:val="auto"/>
        </w:rPr>
      </w:pPr>
      <w:r>
        <w:rPr>
          <w:rFonts w:ascii="Times New Roman" w:cs="Times New Roman" w:eastAsia="Times New Roman" w:hAnsi="Times New Roman"/>
          <w:sz w:val="21"/>
          <w:szCs w:val="21"/>
          <w:color w:val="auto"/>
        </w:rPr>
        <w:t>quarter, compared with $36 million in the year-earlier quarter and $29 million in the second quarter of 2019. Revenues from merchant discount and credit card fees were $31 million in each of the third and second quarters of 2019, compared with $30 million in 2018’s third quarter. Tax-exempt income from bank owned life insurance, which includes increases in the cash surrender value of life insurance policies and benefits received, totaled $12 million in the third quarter of 2019 and $14 million in each of the third quarter of 2018 and the second quarter of 2019. Insurance-related sales commissions and other revenues totaled $10 million in the recently completed quarter, compared with $11 million and $12 million in 2018’s third quarter and the second 2019 quarter, respectively.</w:t>
      </w:r>
    </w:p>
    <w:p>
      <w:pPr>
        <w:spacing w:after="0" w:line="80"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Other income aggregated $1.54 billion during the first nine months of 2019, compared with $1.38 billion in the first three quarters of 2018. That improvement reflected higher mortgage banking revenues, trading account and foreign exchange gains, gains on bank investment securities, trust income and income from BLG.</w:t>
      </w:r>
    </w:p>
    <w:p>
      <w:pPr>
        <w:spacing w:after="0" w:line="7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Mortgage banking revenues totaled $340 million during the first nine months of 2019, compared with $268 million during the corresponding 2018 period. Residential mortgage banking revenues aggregated $226 million and $182 million during the nine-month periods ended September 30, 2019 and 2018, respectively. New commitments to originate residential real estate loans to be sold aggregated $2.0 billion and $1.8 billion in the first nine months of 2019 and 2018,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$46 million and $36 million in the nine-month periods ended September 30, 2019 and 2018, respectively. Revenues from servicing residential real estate loans for others were $180 million in the first nine months of 2019 and $146 million in the similar 2018 period. Included in servicing revenues were sub-servicing revenues aggregating $90 million and $86 million in the first nine months of 2019 and 2018, respectively. For the nine months ended September 30, commercial mortgage banking revenues were $114 million and $86 million in 2019 and 2018, respectively. That increase resulted predominantly from revenues associated with loan origination activities. Commercial real estate loans originated for sale to other investors totaled $3.3 billion and $2.7 billion during the nine-month periods ended September 30, 2019 and 2018, respectively.</w:t>
      </w:r>
    </w:p>
    <w:p>
      <w:pPr>
        <w:spacing w:after="0" w:line="86"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Service charges on deposit accounts aggregated $322 million during the first nine months of 2019, compared with $321 million in the year-earlier period. Trust income totaled $421 million and $403 million during the first nine months of 2019 and 2018, respectively. The increase in trust income was largely due to higher revenues from the ICS business, reflecting both sales activities and higher retirement services income from growth in collective fund balances, partially offset by lower revenues from the WAS business reflecting, in part, lower recurring fees due to product mix, competitive factors and lower sales. Brokerage services income totaled $37 million in the first nine months of 2019, compared with $38 million in the nine-month period ended September 30, 2018. Trading account and foreign exchange activity resulted in gains of $45 million and $16 million in the first nine months of 2019 and 2018, respectively. The significantly higher gains in the 2019 period were predominantly due to increased gains associated with interest rate swap agreements executed on behalf of commercial customers and valuation changes on interest rate floor agreements.</w:t>
      </w:r>
    </w:p>
    <w:p>
      <w:pPr>
        <w:spacing w:after="0" w:line="84"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Other revenues from operations totaled $351 million in the first three quarters of 2019, compared with $340 million in the corresponding 2018 period. Other revenues from operations include the following significant components. Letter of credit and other credit-related fees aggregated $81 million and $90 million in 2019 and 2018, respectively. The decrease from the comparable 2018 period resulted from lower letter of credit and loan syndication fees. Income from bank owned life insurance totaled $38 million in the first nine months of 2019, compared with $37 million in the year-earlier period. Merchant discount and credit card fees were $89 million and $87 million in the first nine months of 2019 and 2018, respectively. Insurance-related commissions and other revenues aggregated $36 million during each of the first nine months of 2019 and 2018. M&amp;T’s investment in BLG resulted in income of $37 million in the first nine months of 2019 and $24 million in the comparable 2018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Other expense totaled $878 million in the third quarter of 2019, compared with $776 million in the similar quarter of 2018 and $873 million in 2019’s second quarter. Included in those amounts are expenses considered to be “nonoperating” in nature consisting of amortization of core deposit and other intangible assets of $5 million in each of the third and second quarters of 2019, compared with $6 million in the third quarter of 2018. Exclusive of those nonoperating expenses, noninterest operating expenses were $873 million in the recent quarter, compared with $770 million in the third quarter of 2018 and $868 million in the second quarter of 2019. Higher costs for salaries and employee benefits, professional services, and additions to the valuation allowance for capitalized mortgage servicing rights contributed to the rise in noninterest operating expenses in the recent quarter as compared with the respective prior quarters. A $48 million charge was recorded in the second quarter of 2019 associated with the previously noted sale of an investment in an asset manager previously accounted for using the equity method of accounting.</w:t>
      </w:r>
    </w:p>
    <w:p>
      <w:pPr>
        <w:spacing w:after="0" w:line="84"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Other expense for the first nine months of 2019 totaled $2.64 billion, compared with $2.49 billion in the year-earlier period. Included in those amounts are expenses considered to be “nonoperating” in nature consisting of amortization of core deposit and other intangible assets of $15 million and $19 million in the nine-month periods ended September 30, 2019 and 2018, respectively. Exclusive of those nonoperating expenses, noninterest operating expenses for the first three quarters of 2019 were $2.63 billion, compared with $2.47 billion in the similar 2018 period. Higher salaries and employee benefits expenses, professional services, additions to the valuation allowance for capitalized mortgage servicing rights, amortization of mortgage servicing rights, and the charge associated with the sale of the asset manager investment were partially offset by an $85 million decrease in expense recognized to adjust the reserve for legal matters.</w:t>
      </w:r>
    </w:p>
    <w:p>
      <w:pPr>
        <w:spacing w:after="0" w:line="78"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Salaries and employee benefits expense aggregated $477 million in the third quarter of 2019, compared with $431 million in the year-earlier quarter and $456 million in the second quarter of 2019. During the first nine months of 2019 and 2018, salaries and employee benefits expense aggregated $1.43 billion and $1.31 billion, respectively. The higher salaries and employee benefits expenses for the three-month and nine-month periods ended September 30, 2019 as compared with the corresponding 2018 periods largely reflect the impact of higher employment levels, merit and other increases for employees, higher incentive-based compensation and increased benefits costs. The higher employment levels include staff additions to accommodate the increases in residential mortgage loan servicing and sub-servicing. The rise in salaries and employee benefits expense in the recent quarter as compared with the second quarter of 2019 was largely attributable to increased commissions and other incentive compensation costs, one extra compensation day and seasonally higher average employee count. Salaries and employee benefits expense included stock-based compensation of $12 million in each of the three-month periods ended September 30, 2019 and June 30, 2019, $10 million in the three-month period ended September 30, 2018, and $65 million and $56 million during the nine-month periods ended September 30, 2019 and 2018, respectively. The number of full-time equivalent employees was 17,536 at September 30, 2019, compared with 16,798 and 17,516 at September 30, 2018 and June 30, 2019, respectively.</w:t>
      </w:r>
    </w:p>
    <w:p>
      <w:pPr>
        <w:spacing w:after="0" w:line="86"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Excluding the nonoperating expense items described earlier from each quarter, nonpersonnel operating expenses were $396 million and $338 million in the quarters ended September 30, 2019 and September 30, 2018, respectively, and $412 million in the second quarter of 2019. On that same basis, such expenses were $1.20 billion and $1.15 billion in the nine-month periods ended September 30, 2019 and 2018, respectively. The higher level of nonpersonnel operating expenses in the recent quarter compared with the third quarter of 2018 was largely attributable to higher costs for professional services, software licensing and amortization of capitalized mortgage servicing rights, as well as a $14 million addition to the valuation allowance for residential mortgage servicing rights. The impact of the $48 million charge associated with the asset manager in 2019’s second quarter was offset, in part, by higher professional services costs and additions to the mortgage servicing valuation allowance in the recent quarter. There were no valuation allowances related to residential mortgage servicing rights at September 30, 2018 or December 31, 2018. Additional information about the Company’s capitalized residential mortgage loan servicing assets is presented herein under the heading “Other Income.” The higher level of nonpersonnel operating expenses in the first nine months of 2019 as compared with the year-earlier period reflected the $48 million charge for the investment in an asset manager, higher equipment, net occupancy, software licensing costs and amortization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8" w:name="page79"/>
    <w:bookmarkEnd w:id="78"/>
    <w:p>
      <w:pPr>
        <w:jc w:val="both"/>
        <w:spacing w:after="0" w:line="267" w:lineRule="auto"/>
        <w:rPr>
          <w:sz w:val="20"/>
          <w:szCs w:val="20"/>
          <w:color w:val="auto"/>
        </w:rPr>
      </w:pPr>
      <w:r>
        <w:rPr>
          <w:rFonts w:ascii="Times New Roman" w:cs="Times New Roman" w:eastAsia="Times New Roman" w:hAnsi="Times New Roman"/>
          <w:sz w:val="21"/>
          <w:szCs w:val="21"/>
          <w:color w:val="auto"/>
        </w:rPr>
        <w:t>of capitalized mortgage servicing rights, as well as a $23 million valuation allowance on capitalized residential mortgage servicing rights, partially offset by lower expenses to adjust the reserve for legal matters of $85 million and decreased FDIC assessments.</w:t>
      </w:r>
    </w:p>
    <w:p>
      <w:pPr>
        <w:spacing w:after="0" w:line="56"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to revenues. The Company’s efficiency ratio was 55.9% during the recent quarter, compared with 51.4% and 56.0% in the third quarter of 2018 and second quarter of 2019, respectively. The efficiency ratios for the nine-month periods ended September 30, 2019 and 2018 were 56.5% and 55.9%, respectively. The calculation of the efficiency ratio is presented in Table 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provision for income taxes was $155 million in the third quarter of 2019, compared with $170 million and $152 million in the year-earlier quarter and the second quarter of 2019, respectively. For the nine-month periods ended September 30, 2019 and 2018, the provisions for income taxes were $459 million and $437 million, respectively. The effective tax rates were 24.4%, 24.5% and 24.3% for the quarters ended September 30, 2019, September 30, 2018 and June 30, 2019, respectively, and 24.2% for each of the nine-month periods ended September 30, 2019 and 2018.</w:t>
      </w:r>
    </w:p>
    <w:p>
      <w:pPr>
        <w:spacing w:after="0" w:line="7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Shareholders’ equity was $15.8 billion at September 30, 2019, representing 12.57% of total assets, compared with $15.4 billion or 13.21% a year earlier and $15.5 billion or 12.87% at December 31, 2018. Included in shareholders’ equity was preferred stock with financial statement carrying values of $1.25 billion at September 30, 2019 and $1.23 billion at each of September 30, 2018 and December 31, 2018. On July 30, 2019, M&amp;T issued 40,000 shares of Series G Perpetual Fixed-Rate Reset Non-cumulative Preferred Stock, par value $1.00 per share and liquidation preference of $10,000 per share. Through July 31, 2024 holders of the Series G preferred stock are entitled to receive, only when, as and if declared by M&amp;T’s Board of Directors, non-cumulative cash dividends at an annual rate of 5.0%, payable semiannually in arrears. Subsequent to July 31, 2024 holders will be entitled to receive, only when, as and if declared by M&amp;T’s Board of Directors, non-cumulative cash dividends at an annual rate of the five-year U.S. Treasury Rate plus 3.174%, payable semiannually in arrears. The Series G preferred stock may be redeemed at M&amp;T’s option, in whole or in part, on any dividend payment date on or after August 1, 2024 or, in whole but not in part, at any time within 90 days following a regulatory capital treatment event whereby the full liquidation value of the shares no longer qualifies as “additional Tier 1 capital.” On August 30, 2019 M&amp;T redeemed the 230,000 shares of the Series A and 151,500 shares of the Series C Fixed Rate Cumulative Perpetual Preferred Stock, $1,000 liquidation preference per share, having received the approval of the Federal Reserve to redeem such shares after issuing the Series G preferred stock. Further information concerning M&amp;T’s preferred stock can be found in note 6 of Notes to Financial Statements.</w:t>
      </w:r>
    </w:p>
    <w:p>
      <w:pPr>
        <w:spacing w:after="0" w:line="7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Reflecting the impact of repurchases of M&amp;T’s common stock, common shareholders’ equity was $14.5 billion, or $109.84 per share, at September 30, 2019, compared with $14.2 billion, or $100.38 per share, a year earlier and $14.2 billion, or $102.69 per share, at December 31, 2018. Tangible equity per common share, which excludes goodwill and core deposit and other intangible assets and applicable deferred tax balances, was $74.93 at the end of the third quarter of 2019, compared with $67.64 a year earlier and $69.28 at December 31, 2018. The Company’s ratio of tangible common equity to tangible assets was 8.20% at September 30, 2019, compared with 8.53% at September 30, 2018 and 8.31% at December 31, 2018. Reconciliations of total common shareholders’ equity and tangible common equity and total assets and tangible assets as of each of those respective dates are presented in table 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9" w:name="page80"/>
    <w:bookmarkEnd w:id="79"/>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$30 million, or $.22 per common share, at September 30, 2019, compared with net unrealized losses of $229 million, or $1.62 per common share, a year earlier and $148 million, or $1.06 per common share, at December 31, 2018. Changes in unrealized gains and losses on investment securities are predominantly reflective of the impact of changes in interest rates on the values of such securities. Information about unrealized gains and losses as of September 30, 2019 and December 31, 2018 is included in note 2 of Notes to Financial Statements.</w:t>
      </w:r>
    </w:p>
    <w:p>
      <w:pPr>
        <w:spacing w:after="0" w:line="81"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Reflected in the carrying amount of available-for-sale investment securities at September 30, 2019 were pre-tax effect unrealized gains of $90 million on securities with an amortized cost of $4.1 billion and pre-tax effect unrealized losses of $39 million on securities with an amortized cost of $2.8 billion. Information concerning the Company’s fair valuations of investment securities is provided in notes 2 and 13 of Notes to Financial Statements.</w:t>
      </w:r>
    </w:p>
    <w:p>
      <w:pPr>
        <w:spacing w:after="0" w:line="7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Each reporting period the Company reviews its investment securities for other-than-temporary impairment.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84"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As of September 30, 2019, based on a review of each of the securities in the investment securities portfolio, the Company concluded that the declines in the values of any securities containing an unrealized loss were temporary and that any other-than-temporary impairment charges were not appropriate. As of September 30, 2019,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w:t>
      </w:r>
    </w:p>
    <w:p>
      <w:pPr>
        <w:spacing w:after="0" w:line="7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September 30, 2019 and December 31, 2018, the Company had in its held-to-maturity portfolio privately issued mortgage-backed securities with an amortized cost basis of $100 million and $113 million, respectively, and a fair value of $92 million and $103 million, respectively. At September 30, 2019, 81% of the mortgage-backed securities were in the most senior tranche of the securitization structure with 12% being independently rated as investment grade. The mortgage-backed securities are generally collateralized by residential and small-balance commercial real estate loans originated between 2004 and 2008 and had a weighted-average credit enhancement of 18% at September 30, 2019, calculated by dividing the remaining unpaid principal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0" w:name="page81"/>
    <w:bookmarkEnd w:id="80"/>
    <w:p>
      <w:pPr>
        <w:jc w:val="both"/>
        <w:spacing w:after="0" w:line="245" w:lineRule="auto"/>
        <w:rPr>
          <w:sz w:val="20"/>
          <w:szCs w:val="20"/>
          <w:color w:val="auto"/>
        </w:rPr>
      </w:pPr>
      <w:r>
        <w:rPr>
          <w:rFonts w:ascii="Times New Roman" w:cs="Times New Roman" w:eastAsia="Times New Roman" w:hAnsi="Times New Roman"/>
          <w:sz w:val="21"/>
          <w:szCs w:val="21"/>
          <w:color w:val="auto"/>
        </w:rPr>
        <w:t>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32% and 66% respectively. Given the securitization structure, some of the bonds held by the Company may defer interest payments in certain circumstances, but after considering the repayment structure and estimated future collateral cash flows of each individual senior and subordinate tranche bond, the Company has concluded that as of September 30, 2019, those privately issued mortgage-backed securities were not other-than-temporarily impaired. Nevertheless, it is possible that adverse changes in the estimated future performance of mortgage loan collateral underlying such securities could impact the Company’s conclusions.</w:t>
      </w:r>
    </w:p>
    <w:p>
      <w:pPr>
        <w:spacing w:after="0" w:line="78" w:lineRule="exact"/>
        <w:rPr>
          <w:sz w:val="20"/>
          <w:szCs w:val="20"/>
          <w:color w:val="auto"/>
        </w:rPr>
      </w:pPr>
    </w:p>
    <w:p>
      <w:pPr>
        <w:jc w:val="both"/>
        <w:ind w:right="20" w:firstLine="518"/>
        <w:spacing w:after="0" w:line="254" w:lineRule="auto"/>
        <w:rPr>
          <w:sz w:val="20"/>
          <w:szCs w:val="20"/>
          <w:color w:val="auto"/>
        </w:rPr>
      </w:pPr>
      <w:r>
        <w:rPr>
          <w:rFonts w:ascii="Times New Roman" w:cs="Times New Roman" w:eastAsia="Times New Roman" w:hAnsi="Times New Roman"/>
          <w:sz w:val="21"/>
          <w:szCs w:val="21"/>
          <w:color w:val="auto"/>
        </w:rPr>
        <w:t>Adjustments to reflect the funded status of defined benefit pension and other postretirement plans, net of applicable tax effect, reduced accumulated other comprehensive income by $252 million or $1.91 per common share, at September 30, 2019, $283 million or $2.00 per common share, at September 30, 2018 and $261 million, or $1.89 per common share, at December 31, 2018.</w:t>
      </w:r>
    </w:p>
    <w:p>
      <w:pPr>
        <w:spacing w:after="0" w:line="70"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M&amp;T repurchased 1,933,000 shares of its common stock for $300 million in the third quarter of 2019 and 6,533,000 shares for $1.07 billion during the first nine months of 2019. M&amp;T repurchased 2,844,159 common shares at a total cost of $498 million during the third quarter of 2018 and 9,235,817 shares for $1.7 billion during the first nine months of 2018. During October 2019, M&amp;T repurchased 300,000 common shares for $47 million.</w:t>
      </w:r>
    </w:p>
    <w:p>
      <w:pPr>
        <w:spacing w:after="0" w:line="73" w:lineRule="exact"/>
        <w:rPr>
          <w:sz w:val="20"/>
          <w:szCs w:val="20"/>
          <w:color w:val="auto"/>
        </w:rPr>
      </w:pPr>
    </w:p>
    <w:p>
      <w:pPr>
        <w:jc w:val="both"/>
        <w:ind w:firstLine="476"/>
        <w:spacing w:after="0" w:line="260" w:lineRule="auto"/>
        <w:rPr>
          <w:sz w:val="20"/>
          <w:szCs w:val="20"/>
          <w:color w:val="auto"/>
        </w:rPr>
      </w:pPr>
      <w:r>
        <w:rPr>
          <w:rFonts w:ascii="Times New Roman" w:cs="Times New Roman" w:eastAsia="Times New Roman" w:hAnsi="Times New Roman"/>
          <w:sz w:val="20"/>
          <w:szCs w:val="20"/>
          <w:color w:val="auto"/>
        </w:rPr>
        <w:t>During 2018, M&amp;T’s Board of Directors authorized increases in the quarterly common stock dividend to $.80 per common share in the second quarter from the previous rate of $.75 per common share and to $1.00 per common share in the third quarter. Cash dividends declared on M&amp;T’s common stock equal to $1.00 per share totaled $133 million in the recent quarter, compared with $143 million and $135 million during the quarters ended September 30, 2018 and June 30, 2019, respectively. Common stock dividends during the nine-month periods ended September 30, 2019 and 2018 were $407 million and $371 million, respectively. Cash dividends declared on preferred stock aggregated $19 million in the third quarter of 2019 and $18 million in each of the third quarter of 2018 and second quarter of 2019, and totaled $55 million and $54 million for the nine-month periods ended September 30, 2019 and 2018, respectively.</w:t>
      </w:r>
    </w:p>
    <w:p>
      <w:pPr>
        <w:spacing w:after="0" w:line="64" w:lineRule="exact"/>
        <w:rPr>
          <w:sz w:val="20"/>
          <w:szCs w:val="20"/>
          <w:color w:val="auto"/>
        </w:rPr>
      </w:pPr>
    </w:p>
    <w:p>
      <w:pPr>
        <w:jc w:val="both"/>
        <w:ind w:right="20" w:firstLine="476"/>
        <w:spacing w:after="0" w:line="267"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29" w:lineRule="exact"/>
        <w:rPr>
          <w:sz w:val="20"/>
          <w:szCs w:val="20"/>
          <w:color w:val="auto"/>
        </w:rPr>
      </w:pPr>
    </w:p>
    <w:p>
      <w:pPr>
        <w:ind w:left="760" w:hanging="374"/>
        <w:spacing w:after="0"/>
        <w:tabs>
          <w:tab w:leader="none" w:pos="7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Common Equity Tier 1 (“CET1”) to risk-weighted assets (each as defined in the capital regulations);</w:t>
      </w:r>
    </w:p>
    <w:p>
      <w:pPr>
        <w:spacing w:after="0" w:line="68" w:lineRule="exact"/>
        <w:rPr>
          <w:rFonts w:ascii="Times New Roman" w:cs="Times New Roman" w:eastAsia="Times New Roman" w:hAnsi="Times New Roman"/>
          <w:sz w:val="21"/>
          <w:szCs w:val="21"/>
          <w:color w:val="auto"/>
        </w:rPr>
      </w:pPr>
    </w:p>
    <w:p>
      <w:pPr>
        <w:ind w:left="760" w:hanging="374"/>
        <w:spacing w:after="0" w:line="267" w:lineRule="auto"/>
        <w:tabs>
          <w:tab w:leader="none" w:pos="7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Tier 1 capital (that is, CET1 plus Additional Tier 1 capital) to risk-weighted assets (each as defined in the capital regulations);</w:t>
      </w:r>
    </w:p>
    <w:p>
      <w:pPr>
        <w:spacing w:after="0" w:line="56" w:lineRule="exact"/>
        <w:rPr>
          <w:rFonts w:ascii="Times New Roman" w:cs="Times New Roman" w:eastAsia="Times New Roman" w:hAnsi="Times New Roman"/>
          <w:sz w:val="21"/>
          <w:szCs w:val="21"/>
          <w:color w:val="auto"/>
        </w:rPr>
      </w:pPr>
    </w:p>
    <w:p>
      <w:pPr>
        <w:ind w:left="760" w:right="20" w:hanging="374"/>
        <w:spacing w:after="0" w:line="267" w:lineRule="auto"/>
        <w:tabs>
          <w:tab w:leader="none" w:pos="7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 Total capital (that is, Tier 1 capital plus Tier 2 capital) to risk-weighted assets (each as defined in the capital regulations); and</w:t>
      </w:r>
    </w:p>
    <w:p>
      <w:pPr>
        <w:spacing w:after="0" w:line="56" w:lineRule="exact"/>
        <w:rPr>
          <w:rFonts w:ascii="Times New Roman" w:cs="Times New Roman" w:eastAsia="Times New Roman" w:hAnsi="Times New Roman"/>
          <w:sz w:val="21"/>
          <w:szCs w:val="21"/>
          <w:color w:val="auto"/>
        </w:rPr>
      </w:pPr>
    </w:p>
    <w:p>
      <w:pPr>
        <w:ind w:left="760" w:hanging="374"/>
        <w:spacing w:after="0" w:line="267" w:lineRule="auto"/>
        <w:tabs>
          <w:tab w:leader="none" w:pos="7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regulations.</w:t>
      </w:r>
    </w:p>
    <w:p>
      <w:pPr>
        <w:spacing w:after="0" w:line="56"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In addition, capital regulations require a “capital conservation buffer” of 2.5% composed entirely of CET1 on top of these minimum risk-weighted asset ratios.</w:t>
      </w:r>
    </w:p>
    <w:p>
      <w:pPr>
        <w:spacing w:after="0" w:line="56"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September 30, 2019 are presented in the accompanying table.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2019</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Wilmington</w:t>
            </w:r>
          </w:p>
        </w:tc>
      </w:tr>
      <w:tr>
        <w:trPr>
          <w:trHeight w:val="173"/>
        </w:trPr>
        <w:tc>
          <w:tcPr>
            <w:tcW w:w="53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Bank</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Trust, N.A.</w:t>
            </w:r>
          </w:p>
        </w:tc>
      </w:tr>
      <w:tr>
        <w:trPr>
          <w:trHeight w:val="45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w:t>
            </w:r>
          </w:p>
        </w:tc>
        <w:tc>
          <w:tcPr>
            <w:tcW w:w="1040" w:type="dxa"/>
            <w:vAlign w:val="bottom"/>
            <w:tcBorders>
              <w:top w:val="single" w:sz="8" w:color="auto"/>
            </w:tcBorders>
          </w:tcPr>
          <w:p>
            <w:pPr>
              <w:jc w:val="center"/>
              <w:ind w:left="16"/>
              <w:spacing w:after="0"/>
              <w:rPr>
                <w:sz w:val="20"/>
                <w:szCs w:val="20"/>
                <w:color w:val="auto"/>
              </w:rPr>
            </w:pPr>
            <w:r>
              <w:rPr>
                <w:rFonts w:ascii="Times New Roman" w:cs="Times New Roman" w:eastAsia="Times New Roman" w:hAnsi="Times New Roman"/>
                <w:sz w:val="18"/>
                <w:szCs w:val="18"/>
                <w:color w:val="auto"/>
                <w:w w:val="98"/>
              </w:rPr>
              <w:t>9.81%</w:t>
            </w:r>
          </w:p>
        </w:tc>
        <w:tc>
          <w:tcPr>
            <w:tcW w:w="28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10.47%</w:t>
            </w:r>
          </w:p>
        </w:tc>
        <w:tc>
          <w:tcPr>
            <w:tcW w:w="260" w:type="dxa"/>
            <w:vAlign w:val="bottom"/>
          </w:tcPr>
          <w:p>
            <w:pPr>
              <w:spacing w:after="0"/>
              <w:rPr>
                <w:sz w:val="24"/>
                <w:szCs w:val="24"/>
                <w:color w:val="auto"/>
              </w:rPr>
            </w:pPr>
          </w:p>
        </w:tc>
        <w:tc>
          <w:tcPr>
            <w:tcW w:w="10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tcPr>
          <w:p>
            <w:pPr>
              <w:spacing w:after="0"/>
              <w:rPr>
                <w:sz w:val="24"/>
                <w:szCs w:val="24"/>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10.47%</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13.30%</w:t>
            </w:r>
          </w:p>
        </w:tc>
        <w:tc>
          <w:tcPr>
            <w:tcW w:w="2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12.30%</w:t>
            </w:r>
          </w:p>
        </w:tc>
        <w:tc>
          <w:tcPr>
            <w:tcW w:w="26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66.15%</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04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8"/>
              </w:rPr>
              <w:t>9.71%</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firstLine="476"/>
        <w:spacing w:after="0" w:line="244" w:lineRule="auto"/>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Company's reportable segments have been determined based upon its internal profitability reporting system, which is organized by strategic business unit. Financial information about the Company's segments is presented in note 15 of Notes to Financial Statements. The reportable segments are Business Banking, Commercial Banking, Commercial Real Estate, Discretionary Portfolio, Residential Mortgage Banking and Retail Banking.</w:t>
      </w:r>
    </w:p>
    <w:p>
      <w:pPr>
        <w:spacing w:after="0" w:line="73" w:lineRule="exact"/>
        <w:rPr>
          <w:sz w:val="20"/>
          <w:szCs w:val="20"/>
          <w:color w:val="auto"/>
        </w:rPr>
      </w:pPr>
    </w:p>
    <w:p>
      <w:pPr>
        <w:jc w:val="both"/>
        <w:ind w:firstLine="761"/>
        <w:spacing w:after="0" w:line="243" w:lineRule="auto"/>
        <w:rPr>
          <w:sz w:val="20"/>
          <w:szCs w:val="20"/>
          <w:color w:val="auto"/>
        </w:rPr>
      </w:pPr>
      <w:r>
        <w:rPr>
          <w:rFonts w:ascii="Times New Roman" w:cs="Times New Roman" w:eastAsia="Times New Roman" w:hAnsi="Times New Roman"/>
          <w:sz w:val="21"/>
          <w:szCs w:val="21"/>
          <w:color w:val="auto"/>
        </w:rPr>
        <w:t>The Business Banking segment contributed net income of $46 million during the quarter ended September 30, 2019, compared with $44 million in the year-earlier quarter and $42 million in the second quarter of 2019. As compared with the third quarter of 2018, a $3 million increase in net interest income resulting from a 7 basis point widening of the net interest margin on loans and a $3 million decline in the provision for credit losses, due to lower net charge-offs, were partially offset by $3 million higher centrally-allocated costs associated with data processing, risk management and other support services provided to the Business Banking segment. The recent quarter’s higher net income as compared with 2019’s second quarter reflected a $4 million decrease in the provision for credit losses, due to lower net charge-offs. Net income earned by the Business Banking segment totaled $132 million during the first nine months of 2019, compared with $124 million in the year-earlier period. That 6% increase was attributable to an $18 million rise in net interest income and higher merchant discount and credit card fees of $3 million offset, in part, by a $5 million rise in centrally-allocated costs associated with data processing, risk management and other support services provided to the Business Banking segment, higher personnel-related costs of $3 million and a $3 million increase in the provision for credit losses. The improvement in net interest income reflected a 19 basis point widening of the net interest margin on deposits.</w:t>
      </w:r>
    </w:p>
    <w:p>
      <w:pPr>
        <w:spacing w:after="0" w:line="88" w:lineRule="exact"/>
        <w:rPr>
          <w:sz w:val="20"/>
          <w:szCs w:val="20"/>
          <w:color w:val="auto"/>
        </w:rPr>
      </w:pPr>
    </w:p>
    <w:p>
      <w:pPr>
        <w:jc w:val="both"/>
        <w:ind w:firstLine="761"/>
        <w:spacing w:after="0" w:line="244" w:lineRule="auto"/>
        <w:rPr>
          <w:sz w:val="20"/>
          <w:szCs w:val="20"/>
          <w:color w:val="auto"/>
        </w:rPr>
      </w:pPr>
      <w:r>
        <w:rPr>
          <w:rFonts w:ascii="Times New Roman" w:cs="Times New Roman" w:eastAsia="Times New Roman" w:hAnsi="Times New Roman"/>
          <w:sz w:val="21"/>
          <w:szCs w:val="21"/>
          <w:color w:val="auto"/>
        </w:rPr>
        <w:t>Net income of the Commercial Banking segment was $133 million in the recent quarter, compared with $148 million in 2018’s third quarter and $124 million in the second quarter of 2019. The 10% decline in the third quarter of 2019 as compared with the year-earlier quarter reflected: a $17 million increase in the provision for credit losses, primarily due to lower recoveries of previously charged-off loans; a $6 million increase in centrally-allocated costs associated with data processing, risk management and other support services provided to the Commercial Banking segment, and a $5 million decline in letter of credit and other credit-related fees (largely loan syndication fees). Partially offsetting those unfavorable factors were a $4 million increase in trading account and foreign exchange gains, lower FDIC assessments of $3 million and a $3 million increase in commercial mortgage banking revenues, reflecting increased gains on loans originated for sale. The 7% rise in net income in the recent quarter as compared with the second quarter of 2019 was largely due to a $10 million decrease in the provision for credit losses, due to</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2" w:name="page83"/>
    <w:bookmarkEnd w:id="82"/>
    <w:p>
      <w:pPr>
        <w:jc w:val="both"/>
        <w:spacing w:after="0" w:line="244" w:lineRule="auto"/>
        <w:rPr>
          <w:sz w:val="20"/>
          <w:szCs w:val="20"/>
          <w:color w:val="auto"/>
        </w:rPr>
      </w:pPr>
      <w:r>
        <w:rPr>
          <w:rFonts w:ascii="Times New Roman" w:cs="Times New Roman" w:eastAsia="Times New Roman" w:hAnsi="Times New Roman"/>
          <w:sz w:val="21"/>
          <w:szCs w:val="21"/>
          <w:color w:val="auto"/>
        </w:rPr>
        <w:t>lower net charge-offs, and higher net interest income of $4 million, reflecting a widening of the net interest margin on loans of 4 basis points and the impact of one additional day in the current quarter. Year-to-date net income for the Commercial Banking segment totaled $388 million in 2019, compared with $400 million in 2018. The main factors contributing to the decrease were a $16 million increase in the provision for credit losses, primarily due to lower recoveries of previously charged-off loans, a $14 million increase in centrally-allocated costs associated with data processing, risk management and other support services provided to the Commercial Banking segment and an $8 million decrease in letter of credit and other credit-related fees (largely loan syndication fees). Partially offsetting those factors were higher net interest income of $14 million and lower FDIC assessments of $8 million. The improvement in net interest income reflected higher average outstanding loan balances of $1.5 billion, partially offset by a 4 basis point narrowing of the net interest margin on loans. The impact of a $1.1 billion decline in average deposit balances was offset by a 20 basis point widening of the net interest margin on deposits.</w:t>
      </w:r>
    </w:p>
    <w:p>
      <w:pPr>
        <w:spacing w:after="0" w:line="81" w:lineRule="exact"/>
        <w:rPr>
          <w:sz w:val="20"/>
          <w:szCs w:val="20"/>
          <w:color w:val="auto"/>
        </w:rPr>
      </w:pPr>
    </w:p>
    <w:p>
      <w:pPr>
        <w:jc w:val="both"/>
        <w:ind w:firstLine="761"/>
        <w:spacing w:after="0" w:line="243" w:lineRule="auto"/>
        <w:rPr>
          <w:sz w:val="20"/>
          <w:szCs w:val="20"/>
          <w:color w:val="auto"/>
        </w:rPr>
      </w:pPr>
      <w:r>
        <w:rPr>
          <w:rFonts w:ascii="Times New Roman" w:cs="Times New Roman" w:eastAsia="Times New Roman" w:hAnsi="Times New Roman"/>
          <w:sz w:val="21"/>
          <w:szCs w:val="21"/>
          <w:color w:val="auto"/>
        </w:rPr>
        <w:t>The Commercial Real Estate segment recorded net income of $131 million in the third quarter of 2019, compared with $116 million in the year-earlier period and $122 million in the second quarter of 2019. The recent quarter’s improvement as compared with the third quarter of 2018 reflected higher mortgage banking revenues of $17 million, due largely to increased origination activities, and a $5 million rise in net interest income, reflecting higher average outstanding loan balances of $1.1 billion. Those favorable factors were offset, in part, by higher personnel-related costs of $6 million. The 8% increase in net income in the third quarter of 2019 as compared with the immediately preceding quarter was primarily attributable to higher mortgage banking revenues of $11 million, due largely to increased origination activities. Net income for the Commercial Real Estate segment totaled $370 million in the first three quarters of 2019, compared with $337 million in the similar 2018 period. That 10% year-over-year improvement resulted from a $26 million increase in net interest income that reflected higher average outstanding loan balances of $878 million and a 12 basis point widening of the net interest margin on deposits, higher mortgage banking revenues of $24 million, reflecting increased origination activities, an $11 million increase in trading account and foreign exchange gains resulting from increased activity related to interest rate swap agreements executed on behalf of commercial customers, and lower FDIC assessments of $10 million. Partially offsetting those favorable factors were a $16 million rise in centrally-allocated costs associated with data processing, risk management and other support services provided to the Commercial Real Estate segment, higher personnel-related costs of $10 million, and a $3 million increase in the provision for credit losses.</w:t>
      </w:r>
    </w:p>
    <w:p>
      <w:pPr>
        <w:spacing w:after="0" w:line="83" w:lineRule="exact"/>
        <w:rPr>
          <w:sz w:val="20"/>
          <w:szCs w:val="20"/>
          <w:color w:val="auto"/>
        </w:rPr>
      </w:pPr>
    </w:p>
    <w:p>
      <w:pPr>
        <w:jc w:val="both"/>
        <w:ind w:firstLine="761"/>
        <w:spacing w:after="0" w:line="243" w:lineRule="auto"/>
        <w:rPr>
          <w:sz w:val="20"/>
          <w:szCs w:val="20"/>
          <w:color w:val="auto"/>
        </w:rPr>
      </w:pPr>
      <w:r>
        <w:rPr>
          <w:rFonts w:ascii="Times New Roman" w:cs="Times New Roman" w:eastAsia="Times New Roman" w:hAnsi="Times New Roman"/>
          <w:sz w:val="21"/>
          <w:szCs w:val="21"/>
          <w:color w:val="auto"/>
        </w:rPr>
        <w:t>Net income earned by the Discretionary Portfolio segment aggregated $30 million during the three-month period ended September 30, 2019, compared with $40 million in the year-earlier period and $38 million in the second quarter of 2019. The recent quarter’s results as compared with the third quarter of 2018 reflect a $14 million increase in the provision for credit losses, primarily due to the favorable impact in the prior year period from the Company’s allocation methodologies for the provision for credit losses associated with acquired loans, and a $6 million decrease in net interest income, reflecting lower average outstanding loan balances. Those unfavorable factors were partially offset by higher valuation gains associated with marketable equity securities of $7 million. The decline in net income in 2019’s third quarter as compared with the immediately preceding quarter reflects lower trading account and foreign exchange gains $6 million, due to valuation losses on interest rate floor contracts, a $5 million decrease in valuation gains associated with marketable equity securities and lower revenues from bank owned life insurance of $3 million that were partially offset by higher net interest income of $5 million, reflecting a 14 basis point widening of the net interest margin on loans. For the first nine months, net income for this segment totaled $107 million in 2019 and $89 million in 2018. Favorable factors contributing to that improvement included $35 million of valuation gains associated with marketable equity securities, higher trading account and foreign exchange gains of $9 million resulting from valuation gains on interest rate floor contracts, and lower FDIC assessments of $5 million. A $35 million decline in net interest income, reflecting lower average outstanding loan balances of $1.9 billion and a narrowing of the net interest margin on loans of 6 basis points, partially offset the favorable factors noted.</w:t>
      </w:r>
    </w:p>
    <w:p>
      <w:pPr>
        <w:spacing w:after="0" w:line="83" w:lineRule="exact"/>
        <w:rPr>
          <w:sz w:val="20"/>
          <w:szCs w:val="20"/>
          <w:color w:val="auto"/>
        </w:rPr>
      </w:pPr>
    </w:p>
    <w:p>
      <w:pPr>
        <w:jc w:val="both"/>
        <w:ind w:firstLine="761"/>
        <w:spacing w:after="0" w:line="250" w:lineRule="auto"/>
        <w:rPr>
          <w:sz w:val="20"/>
          <w:szCs w:val="20"/>
          <w:color w:val="auto"/>
        </w:rPr>
      </w:pPr>
      <w:r>
        <w:rPr>
          <w:rFonts w:ascii="Times New Roman" w:cs="Times New Roman" w:eastAsia="Times New Roman" w:hAnsi="Times New Roman"/>
          <w:sz w:val="21"/>
          <w:szCs w:val="21"/>
          <w:color w:val="auto"/>
        </w:rPr>
        <w:t>Net income recorded by the Residential Mortgage Banking segment aggregated $16 million during the three-month period ended September 30, 2019, compared with $13 million in the year-earlier period and $8 million in the second quarter of 2019. The improvement in the recent quarter as compared with the similar 2018 period was predominantly attributable to higher revenues of $17 million associated with servicing residential real estate loans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3" w:name="page84"/>
    <w:bookmarkEnd w:id="83"/>
    <w:p>
      <w:pPr>
        <w:jc w:val="both"/>
        <w:spacing w:after="0" w:line="243" w:lineRule="auto"/>
        <w:rPr>
          <w:sz w:val="20"/>
          <w:szCs w:val="20"/>
          <w:color w:val="auto"/>
        </w:rPr>
      </w:pPr>
      <w:r>
        <w:rPr>
          <w:rFonts w:ascii="Times New Roman" w:cs="Times New Roman" w:eastAsia="Times New Roman" w:hAnsi="Times New Roman"/>
          <w:sz w:val="21"/>
          <w:szCs w:val="21"/>
          <w:color w:val="auto"/>
        </w:rPr>
        <w:t>and $15 million attributable to mortgage origination and sales activities (including intersegment revenues). Largely offsetting those factors were a $14 million valuation allowance for capitalized mortgage servicing rights, a $9 million increase in outside data processing and software expenses, and $7 million of higher servicing-related costs (including intersegment costs). As compared with the second quarter of 2019, a $12 million increase in revenues attributable to mortgage origination and sales activities, and a $6 million increase in revenues associated with servicing and sub-servicing residential real estate loans, were partially offset by a $5 million increase in the valuation allowance for capitalized mortgage servicing rights. Year-to-date net income for this segment totaled $36 million in 2019 and $44 million in 2018. Contributing to that year-over-year decline were: a $23 million increase in valuation allowance for capitalized mortgage servicing rights; a $17 million rise in servicing-related costs (including intersegment costs), higher outside data processing and software expenses of $11 million; and a $6 million increase in centrally-allocated costs provided to the Residential Mortgage Banking segment. Those unfavorable factors were largely offset by a $31 million increase in revenues from servicing residential real estate loans (including intersegment revenues) and a $16 million rise in revenues from mortgage origination and sales activities (including intersegment revenues).</w:t>
      </w:r>
    </w:p>
    <w:p>
      <w:pPr>
        <w:spacing w:after="0" w:line="88" w:lineRule="exact"/>
        <w:rPr>
          <w:sz w:val="20"/>
          <w:szCs w:val="20"/>
          <w:color w:val="auto"/>
        </w:rPr>
      </w:pPr>
    </w:p>
    <w:p>
      <w:pPr>
        <w:jc w:val="both"/>
        <w:ind w:firstLine="761"/>
        <w:spacing w:after="0" w:line="242" w:lineRule="auto"/>
        <w:rPr>
          <w:sz w:val="20"/>
          <w:szCs w:val="20"/>
          <w:color w:val="auto"/>
        </w:rPr>
      </w:pPr>
      <w:r>
        <w:rPr>
          <w:rFonts w:ascii="Times New Roman" w:cs="Times New Roman" w:eastAsia="Times New Roman" w:hAnsi="Times New Roman"/>
          <w:sz w:val="21"/>
          <w:szCs w:val="21"/>
          <w:color w:val="auto"/>
        </w:rPr>
        <w:t>Net income for the Retail Banking segment totaled $132 million in the recent quarter, compared with $142 million in the third quarter of 2018 and $140 million in the second quarter of 2019. The decline from the third quarter of 2018 was largely attributable to a $7 million rise in the provision for credit losses, due to higher net charge-offs and loan balances, a $6 million increase in personnel-related costs and higher professional services and credit card and merchant expenses that were offset, in part, by a $4 million increase in service charges on deposit accounts and a $4 million decrease in centrally-allocated costs associated with data processing, risk management and other support services provided to the Retail Banking segment. Net income in the recent quarter as compared with the second quarter of 2019 declined mainly due to an $8 million decrease in net interest income, a $7 million increase in the provision for credit losses, due to higher net charge-offs, and higher occupancy costs of $5 million, partially offset by a $7 million decrease in centrally-allocated costs associated with data processing, risk management and other support services provided to the Retail Banking segment and a $4 million increase in service charges on deposit accounts. The decrease in net interest income reflected a narrowing of the net interest margin on deposits of 13 basis points offset, in part, by an increase in average outstanding loan balances of $586 million. The Retail Banking segment recorded net income of $417 million and $408 million in the first nine months of 2019 and 2018, respectively. That improvement was predominantly due to a $53 million rise in net interest income, reflecting a 21 basis point widening of the net interest margin on deposits and higher average outstanding loan balances of $1.1 billion, partially offset by lower average deposit balances of $1.4 billion and a 6 basis point narrowing of the net interest margin on loans. The higher net interest income was offset, in part, by higher personnel-related costs of $16 million, a $9 million rise in the provision for credit losses, due to higher net charge-offs and loan balances, and higher professional services and other operating expenses.</w:t>
      </w:r>
    </w:p>
    <w:p>
      <w:pPr>
        <w:spacing w:after="0" w:line="96" w:lineRule="exact"/>
        <w:rPr>
          <w:sz w:val="20"/>
          <w:szCs w:val="20"/>
          <w:color w:val="auto"/>
        </w:rPr>
      </w:pPr>
    </w:p>
    <w:p>
      <w:pPr>
        <w:jc w:val="both"/>
        <w:ind w:firstLine="761"/>
        <w:spacing w:after="0" w:line="243"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income associated with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a net loss of $7 million in the third quarter of 2019, net income totaling $23 million in the third 2018 quarter, and a net loss of $302,000 in the second quarter of 2019. Unfavorable factors in the recent quarter as compared with the third quarter of 2018 included a $29 million increase in personnel-related costs and higher professional and outside services costs of $24 million, reflecting increased consulting, technology and legal expenses, partially offset by a $10 million increase in trust income and the favorable impact from the Company’s allocation methodologies for internal transfers for funding charges and credits associated with earning assets and interest-bearing liabilities of the Company’s reportable segments. The higher net loss in the recent quarter as compared with the second 2019 quarter reflected the unfavorable impact from the Company’s allocation methodologies for internal transfers for funding charges and credits associated with earning assets and interest-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4" w:name="page85"/>
    <w:bookmarkEnd w:id="84"/>
    <w:p>
      <w:pPr>
        <w:jc w:val="both"/>
        <w:spacing w:after="0" w:line="243" w:lineRule="auto"/>
        <w:rPr>
          <w:sz w:val="20"/>
          <w:szCs w:val="20"/>
          <w:color w:val="auto"/>
        </w:rPr>
      </w:pPr>
      <w:r>
        <w:rPr>
          <w:rFonts w:ascii="Times New Roman" w:cs="Times New Roman" w:eastAsia="Times New Roman" w:hAnsi="Times New Roman"/>
          <w:sz w:val="21"/>
          <w:szCs w:val="21"/>
          <w:color w:val="auto"/>
        </w:rPr>
        <w:t>bearing liabilities of the Company’s reportable segments, higher personnel-related costs of $13 million and an $11 million increase in professional and outside services costs. Largely offsetting to those unfavorable factors was a $48 million charge in 2019’s second quarter to reduce the carrying value of an investment in an asset manager. The “All Other” category had net losses of $15 million and $30 million for the nine-month periods ended September 30, 2019 and 2018, respectively. The favorable factors contributing to the lower net loss in the 2019 period included: lower expenses to adjust the reserve for legal matters of $85 million ($50 million in 2019, compared with $135 million in 2018); the favorable impact from the Company’s allocation methodologies for internal transfers for funding charges and credits associated with earning assets and interest-bearing liabilities of the Company’s reportable segments; higher trust income of $18 million; and a $13 million increase in income from BLG. Those favorable factors were partially offset by an $81 million rise in personnel-related costs, reflecting annual merit and other increases and higher costs for incentive-based compensation and employee benefits, the $48 million charge in 2019 to reduce the carrying value of the investment in an asset manager, a $20 million increase in professional and outside services expenses, reflecting increased consulting, technology and legal expenses, and higher equipment and occupancy charges of $15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Beginning in the first quarter 2020, the Company will be adopting new credit loss guidance that requires the recognition of currently expected credit losses resulting in a methodology that requires credit losses to be recognized sooner for many financial instrument classes than credit losses would be recognized under the current incurred loss model. The impact of this guidance is expected to result in an increase in the allowance for credit losses of 5 to 15 percent upon adoption of the standard on January 1, 2020. The estimated increase in the allowance is primarily the result of increases within the consumer loan classes, which have longer estimated loan lives compared with commercial loans. The allowance for credit losses associated with commercial loan classes is expected to largely remain similar to current levels.</w:t>
      </w:r>
    </w:p>
    <w:p>
      <w:pPr>
        <w:spacing w:after="0" w:line="82" w:lineRule="exact"/>
        <w:rPr>
          <w:sz w:val="20"/>
          <w:szCs w:val="20"/>
          <w:color w:val="auto"/>
        </w:rPr>
      </w:pPr>
    </w:p>
    <w:p>
      <w:pPr>
        <w:jc w:val="both"/>
        <w:ind w:firstLine="761"/>
        <w:spacing w:after="0" w:line="244" w:lineRule="auto"/>
        <w:rPr>
          <w:sz w:val="20"/>
          <w:szCs w:val="20"/>
          <w:color w:val="auto"/>
        </w:rPr>
      </w:pPr>
      <w:r>
        <w:rPr>
          <w:rFonts w:ascii="Times New Roman" w:cs="Times New Roman" w:eastAsia="Times New Roman" w:hAnsi="Times New Roman"/>
          <w:sz w:val="21"/>
          <w:szCs w:val="21"/>
          <w:color w:val="auto"/>
        </w:rPr>
        <w:t>This new credit loss guidance also impacts the accounting for loans acquired at a discount. Such acquired loans will no longer have a separate impairment model and instead will be classified as either purchased financial assets with credit deterioration or purchased financial assets without credit deterioration with an associated allowance that would be included in the allowance for credit losses. Coincident with this change, interest income on loans that were acquired at a discount will no longer be recognized based on the excess of expected cash flows over the carrying value of the loans. Instead, such loans will follow the income recognition policies of the Company’s orginated loan portfolios whereby interest income is generally recognized on a level-yield basis unless the loan is placed on nonaccrual status. The impairment model for held-to-maturity and available-for-sale securities is also changing as a result of this new credit loss guidance. The notion of other-than-temporary impairment has been eliminated and an allowance will be required to be established for expected credit losses associated with those securities. The Company does not expect a material allowance on those securities as most of the portfolio consists of U.S. Treasury or agency-backed securities, which do not require an allowance.</w:t>
      </w:r>
    </w:p>
    <w:p>
      <w:pPr>
        <w:spacing w:after="0" w:line="81" w:lineRule="exact"/>
        <w:rPr>
          <w:sz w:val="20"/>
          <w:szCs w:val="20"/>
          <w:color w:val="auto"/>
        </w:rPr>
      </w:pPr>
    </w:p>
    <w:p>
      <w:pPr>
        <w:ind w:right="1400" w:firstLine="761"/>
        <w:spacing w:after="0" w:line="402" w:lineRule="auto"/>
        <w:rPr>
          <w:sz w:val="20"/>
          <w:szCs w:val="20"/>
          <w:color w:val="auto"/>
        </w:rPr>
      </w:pPr>
      <w:r>
        <w:rPr>
          <w:rFonts w:ascii="Times New Roman" w:cs="Times New Roman" w:eastAsia="Times New Roman" w:hAnsi="Times New Roman"/>
          <w:sz w:val="21"/>
          <w:szCs w:val="21"/>
          <w:color w:val="auto"/>
        </w:rPr>
        <w:t xml:space="preserve">A further discussion of recent accounting developments is included in note 17 of Notes to Financial Statements. </w:t>
      </w:r>
      <w:r>
        <w:rPr>
          <w:rFonts w:ascii="Times New Roman" w:cs="Times New Roman" w:eastAsia="Times New Roman" w:hAnsi="Times New Roman"/>
          <w:sz w:val="21"/>
          <w:szCs w:val="21"/>
          <w:b w:val="1"/>
          <w:bCs w:val="1"/>
          <w:color w:val="auto"/>
        </w:rPr>
        <w:t>Forward-Looking Statements</w:t>
      </w:r>
    </w:p>
    <w:p>
      <w:pPr>
        <w:jc w:val="both"/>
        <w:spacing w:after="0" w:line="244"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5" w:name="page86"/>
    <w:bookmarkEnd w:id="85"/>
    <w:p>
      <w:pPr>
        <w:jc w:val="both"/>
        <w:ind w:firstLine="761"/>
        <w:spacing w:after="0" w:line="243" w:lineRule="auto"/>
        <w:rPr>
          <w:sz w:val="20"/>
          <w:szCs w:val="20"/>
          <w:color w:val="auto"/>
        </w:rPr>
      </w:pPr>
      <w:r>
        <w:rPr>
          <w:rFonts w:ascii="Times New Roman" w:cs="Times New Roman" w:eastAsia="Times New Roman" w:hAnsi="Times New Roman"/>
          <w:sz w:val="21"/>
          <w:szCs w:val="21"/>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91" w:lineRule="exact"/>
        <w:rPr>
          <w:sz w:val="20"/>
          <w:szCs w:val="20"/>
          <w:color w:val="auto"/>
        </w:rPr>
      </w:pPr>
    </w:p>
    <w:p>
      <w:pPr>
        <w:jc w:val="both"/>
        <w:ind w:firstLine="761"/>
        <w:spacing w:after="0" w:line="250" w:lineRule="auto"/>
        <w:rPr>
          <w:sz w:val="20"/>
          <w:szCs w:val="20"/>
          <w:color w:val="auto"/>
        </w:rPr>
      </w:pPr>
      <w:r>
        <w:rPr>
          <w:rFonts w:ascii="Times New Roman" w:cs="Times New Roman" w:eastAsia="Times New Roman" w:hAnsi="Times New Roman"/>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QUARTERLY TRENDS</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1</w:t>
            </w:r>
          </w:p>
        </w:tc>
        <w:tc>
          <w:tcPr>
            <w:tcW w:w="0" w:type="dxa"/>
            <w:vAlign w:val="bottom"/>
          </w:tcPr>
          <w:p>
            <w:pPr>
              <w:spacing w:after="0"/>
              <w:rPr>
                <w:sz w:val="1"/>
                <w:szCs w:val="1"/>
                <w:color w:val="auto"/>
              </w:rPr>
            </w:pPr>
          </w:p>
        </w:tc>
      </w:tr>
      <w:tr>
        <w:trPr>
          <w:trHeight w:val="207"/>
        </w:trPr>
        <w:tc>
          <w:tcPr>
            <w:tcW w:w="4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2019 Quarters</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2018 Quarters</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Third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Second</w:t>
            </w:r>
          </w:p>
        </w:tc>
        <w:tc>
          <w:tcPr>
            <w:tcW w:w="220" w:type="dxa"/>
            <w:vAlign w:val="bottom"/>
          </w:tcPr>
          <w:p>
            <w:pPr>
              <w:spacing w:after="0"/>
              <w:rPr>
                <w:sz w:val="13"/>
                <w:szCs w:val="13"/>
                <w:color w:val="auto"/>
              </w:rPr>
            </w:pP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First</w:t>
            </w:r>
          </w:p>
        </w:tc>
        <w:tc>
          <w:tcPr>
            <w:tcW w:w="30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30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Third</w:t>
            </w:r>
          </w:p>
        </w:tc>
        <w:tc>
          <w:tcPr>
            <w:tcW w:w="30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00" w:type="dxa"/>
            <w:vAlign w:val="bottom"/>
          </w:tcPr>
          <w:p>
            <w:pPr>
              <w:spacing w:after="0"/>
              <w:rPr>
                <w:sz w:val="13"/>
                <w:szCs w:val="13"/>
                <w:color w:val="auto"/>
              </w:rPr>
            </w:pPr>
          </w:p>
        </w:tc>
        <w:tc>
          <w:tcPr>
            <w:tcW w:w="68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First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Earnings and dividends</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i w:val="1"/>
                <w:iCs w:val="1"/>
                <w:color w:val="auto"/>
              </w:rPr>
              <w:t>Amounts in thousands, except per share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Interest income (taxable-equivalent basis)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w w:val="99"/>
              </w:rPr>
              <w:t>1,235,048</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1,243,838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1,232,276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1,226,239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1,173,108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1,134,302</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1,086,959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199,579</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196,432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176,249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161,321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138,337</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120,118</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106,633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interest income</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1,035,469</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1,047,406</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1,056,027</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1,064,918</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1,034,771</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1,014,184</w:t>
            </w: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980,326</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Less: provision for credit losses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45,000</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55,000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22,000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38,000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16,000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35,000</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43,000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Other income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527,779</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512,095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500,765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480,596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459,294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457,414</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458,696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Less: other expense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877,619</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873,032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894,348</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802,162</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775,979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776,577</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933,344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Income before income taxes</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640,629</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631,469</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640,444</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705,352</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702,086</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660,021</w:t>
            </w: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462,678</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Applicable income taxes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154,969</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152,284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151,735</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153,175</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170,262</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161,464</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105,259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Taxable-equivalent adjustment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5,579</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5,925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5,967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5,958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5,733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5,397</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4,809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8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480,081</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473,260</w:t>
            </w: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482,742</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546,219</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526,091</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493,160</w:t>
            </w:r>
          </w:p>
        </w:tc>
        <w:tc>
          <w:tcPr>
            <w:tcW w:w="300" w:type="dxa"/>
            <w:vAlign w:val="bottom"/>
            <w:tcBorders>
              <w:bottom w:val="single" w:sz="8" w:color="CFF0FC"/>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352,610</w:t>
            </w:r>
          </w:p>
        </w:tc>
        <w:tc>
          <w:tcPr>
            <w:tcW w:w="3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income available to common shareholders-diluted</w:t>
            </w:r>
          </w:p>
        </w:tc>
        <w:tc>
          <w:tcPr>
            <w:tcW w:w="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461,410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452,633</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462,086</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525,328</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505,365</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472,600</w:t>
            </w: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332,749</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Per common share data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Basic earnings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3.47</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3.76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3.26</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2.24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Diluted earnings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3.47</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3.34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3.35</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3.76</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3.53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3.26</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Cash dividends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Average common shares outstanding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Basic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132,965</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135,433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137,889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139,744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142,822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144,825</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148,688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Diluted</w:t>
            </w:r>
          </w:p>
        </w:tc>
        <w:tc>
          <w:tcPr>
            <w:tcW w:w="100" w:type="dxa"/>
            <w:vAlign w:val="bottom"/>
          </w:tcPr>
          <w:p>
            <w:pPr>
              <w:spacing w:after="0"/>
              <w:rPr>
                <w:sz w:val="16"/>
                <w:szCs w:val="16"/>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132,999</w:t>
            </w:r>
          </w:p>
        </w:tc>
        <w:tc>
          <w:tcPr>
            <w:tcW w:w="220" w:type="dxa"/>
            <w:vAlign w:val="bottom"/>
          </w:tcPr>
          <w:p>
            <w:pPr>
              <w:spacing w:after="0"/>
              <w:rPr>
                <w:sz w:val="16"/>
                <w:szCs w:val="16"/>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135,464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137,920</w:t>
            </w:r>
          </w:p>
        </w:tc>
        <w:tc>
          <w:tcPr>
            <w:tcW w:w="30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139,838</w:t>
            </w:r>
          </w:p>
        </w:tc>
        <w:tc>
          <w:tcPr>
            <w:tcW w:w="30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142,976</w:t>
            </w:r>
          </w:p>
        </w:tc>
        <w:tc>
          <w:tcPr>
            <w:tcW w:w="30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144,998</w:t>
            </w:r>
          </w:p>
        </w:tc>
        <w:tc>
          <w:tcPr>
            <w:tcW w:w="300" w:type="dxa"/>
            <w:vAlign w:val="bottom"/>
          </w:tcPr>
          <w:p>
            <w:pPr>
              <w:spacing w:after="0"/>
              <w:rPr>
                <w:sz w:val="16"/>
                <w:szCs w:val="16"/>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148,905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6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Performance ratios, annualized</w:t>
            </w: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Return 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Average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1.58</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1.68</w:t>
            </w:r>
          </w:p>
        </w:tc>
        <w:tc>
          <w:tcPr>
            <w:tcW w:w="30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1.84</w:t>
            </w:r>
          </w:p>
        </w:tc>
        <w:tc>
          <w:tcPr>
            <w:tcW w:w="30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1.80</w:t>
            </w:r>
          </w:p>
        </w:tc>
        <w:tc>
          <w:tcPr>
            <w:tcW w:w="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1.70</w:t>
            </w:r>
          </w:p>
        </w:tc>
        <w:tc>
          <w:tcPr>
            <w:tcW w:w="30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1.22</w:t>
            </w:r>
          </w:p>
        </w:tc>
        <w:tc>
          <w:tcPr>
            <w:tcW w:w="32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Average common shareholders’ equity</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12.73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12.68</w:t>
            </w:r>
          </w:p>
        </w:tc>
        <w:tc>
          <w:tcPr>
            <w:tcW w:w="80" w:type="dxa"/>
            <w:vAlign w:val="bottom"/>
          </w:tcPr>
          <w:p>
            <w:pPr>
              <w:spacing w:after="0"/>
              <w:rPr>
                <w:sz w:val="12"/>
                <w:szCs w:val="12"/>
                <w:color w:val="auto"/>
              </w:rPr>
            </w:pPr>
          </w:p>
        </w:tc>
        <w:tc>
          <w:tcPr>
            <w:tcW w:w="22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13.14</w:t>
            </w:r>
          </w:p>
        </w:tc>
        <w:tc>
          <w:tcPr>
            <w:tcW w:w="30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14.80</w:t>
            </w:r>
          </w:p>
        </w:tc>
        <w:tc>
          <w:tcPr>
            <w:tcW w:w="30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14.08</w:t>
            </w:r>
          </w:p>
        </w:tc>
        <w:tc>
          <w:tcPr>
            <w:tcW w:w="3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13.32</w:t>
            </w:r>
          </w:p>
        </w:tc>
        <w:tc>
          <w:tcPr>
            <w:tcW w:w="30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9.15</w:t>
            </w:r>
          </w:p>
        </w:tc>
        <w:tc>
          <w:tcPr>
            <w:tcW w:w="32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468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Net interest margin on average earning assets (taxable-</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equivalent basis)</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468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Nonaccrual loans to total loans and leases, net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unearned discount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6"/>
                <w:szCs w:val="16"/>
                <w:color w:val="auto"/>
              </w:rPr>
            </w:pP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46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Net operating income (in thousands)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483,830</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477,001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486,440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550,169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530,619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497,869</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357,498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3.50</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3.79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3.29</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2.26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Annualized return 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Average tangible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1.66</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1.76</w:t>
            </w:r>
          </w:p>
        </w:tc>
        <w:tc>
          <w:tcPr>
            <w:tcW w:w="30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1.93</w:t>
            </w:r>
          </w:p>
        </w:tc>
        <w:tc>
          <w:tcPr>
            <w:tcW w:w="30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1.89</w:t>
            </w:r>
          </w:p>
        </w:tc>
        <w:tc>
          <w:tcPr>
            <w:tcW w:w="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1.79</w:t>
            </w:r>
          </w:p>
        </w:tc>
        <w:tc>
          <w:tcPr>
            <w:tcW w:w="30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1.28</w:t>
            </w:r>
          </w:p>
        </w:tc>
        <w:tc>
          <w:tcPr>
            <w:tcW w:w="32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18.85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18.83</w:t>
            </w:r>
          </w:p>
        </w:tc>
        <w:tc>
          <w:tcPr>
            <w:tcW w:w="80" w:type="dxa"/>
            <w:vAlign w:val="bottom"/>
          </w:tcPr>
          <w:p>
            <w:pPr>
              <w:spacing w:after="0"/>
              <w:rPr>
                <w:sz w:val="12"/>
                <w:szCs w:val="12"/>
                <w:color w:val="auto"/>
              </w:rPr>
            </w:pPr>
          </w:p>
        </w:tc>
        <w:tc>
          <w:tcPr>
            <w:tcW w:w="22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19.56</w:t>
            </w:r>
          </w:p>
        </w:tc>
        <w:tc>
          <w:tcPr>
            <w:tcW w:w="30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22.16</w:t>
            </w:r>
          </w:p>
        </w:tc>
        <w:tc>
          <w:tcPr>
            <w:tcW w:w="30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21.00</w:t>
            </w:r>
          </w:p>
        </w:tc>
        <w:tc>
          <w:tcPr>
            <w:tcW w:w="3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19.91</w:t>
            </w:r>
          </w:p>
        </w:tc>
        <w:tc>
          <w:tcPr>
            <w:tcW w:w="30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13.51</w:t>
            </w:r>
          </w:p>
        </w:tc>
        <w:tc>
          <w:tcPr>
            <w:tcW w:w="32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Efficiency ratio (b)</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55.95</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55.98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57.56</w:t>
            </w:r>
          </w:p>
        </w:tc>
        <w:tc>
          <w:tcPr>
            <w:tcW w:w="30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51.70</w:t>
            </w:r>
          </w:p>
        </w:tc>
        <w:tc>
          <w:tcPr>
            <w:tcW w:w="30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51.41</w:t>
            </w:r>
          </w:p>
        </w:tc>
        <w:tc>
          <w:tcPr>
            <w:tcW w:w="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52.42</w:t>
            </w:r>
          </w:p>
        </w:tc>
        <w:tc>
          <w:tcPr>
            <w:tcW w:w="30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63.98</w:t>
            </w:r>
          </w:p>
        </w:tc>
        <w:tc>
          <w:tcPr>
            <w:tcW w:w="32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i w:val="1"/>
                <w:iCs w:val="1"/>
                <w:color w:val="auto"/>
              </w:rPr>
              <w:t>In millions, except per share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Average balances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Total assets (c)</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120,388</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118,487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116,839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117,799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115,997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116,413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117,684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Total tangible assets (c)</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115,769</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113,864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112,213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113,169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111,363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111,775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113,041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Earning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108,643</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107,511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106,096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107,785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105,835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106,210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107,231</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Investment securities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11,075</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12,170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12,949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13,034</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13,431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13,856</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14,467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Loans and leases, net of unearned discount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90,078</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89,150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88,477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87,301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87,132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87,406</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87,766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Deposits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94,095</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91,371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89,733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91,104</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89,252</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90,195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91,119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Common shareholders’ equity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14,464</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14,398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14,337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14,157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14,317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14,301</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14,827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Tangible common shareholders’ equity (c)</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9,845</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9,775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9,711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9,527</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9,683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9,663</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10,184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At end of quarter</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Total assets (c)</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125,501</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121,555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120,025</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120,097</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116,828</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118,426</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118,623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Total tangible assets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120,883</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116,934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115,400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115,470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112,197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113,790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113,982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Earning assets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113,067</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110,323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108,849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109,321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106,331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107,819</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107,976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Investment securities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10,678</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11,580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12,537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12,693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13,074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13,283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14,067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Loans and leases, net of unearned discount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89,823</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89,878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88,640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88,466</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86,680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87,797</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87,711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Deposits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95,114</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91,681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90,470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90,157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89,140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89,273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90,947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auto"/>
              </w:rPr>
              <w:t>Common shareholders’ equity, net of undeclared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cumulative preferred dividends (c)</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14,530</w:t>
            </w:r>
          </w:p>
        </w:tc>
        <w:tc>
          <w:tcPr>
            <w:tcW w:w="2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14,201</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14,343</w:t>
            </w: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Tangible common shareholders’ equity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9,912</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9,836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9,728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9,598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9,570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9,707</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9,834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Equity per common share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109.84</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107.73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105.04</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102.69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100.38</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99.43</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98.60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Tangible equity per common share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74.93</w:t>
            </w: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73.29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71.19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69.28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67.64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67.29</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66.99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20" w:right="20" w:hanging="512"/>
        <w:spacing w:after="0" w:line="229" w:lineRule="auto"/>
        <w:tabs>
          <w:tab w:leader="none" w:pos="520" w:val="left"/>
        </w:tabs>
        <w:numPr>
          <w:ilvl w:val="0"/>
          <w:numId w:val="2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16" w:lineRule="auto"/>
        <w:tabs>
          <w:tab w:leader="none" w:pos="520" w:val="left"/>
        </w:tabs>
        <w:numPr>
          <w:ilvl w:val="0"/>
          <w:numId w:val="2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impact of merger-related expenses and net securities transactions.</w:t>
      </w:r>
    </w:p>
    <w:p>
      <w:pPr>
        <w:ind w:left="520" w:hanging="512"/>
        <w:spacing w:after="0" w:line="228" w:lineRule="auto"/>
        <w:tabs>
          <w:tab w:leader="none" w:pos="520" w:val="left"/>
        </w:tabs>
        <w:numPr>
          <w:ilvl w:val="0"/>
          <w:numId w:val="2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87" w:lineRule="exact"/>
        <w:rPr>
          <w:rFonts w:ascii="Times New Roman" w:cs="Times New Roman" w:eastAsia="Times New Roman" w:hAnsi="Times New Roman"/>
          <w:sz w:val="13"/>
          <w:szCs w:val="13"/>
          <w:i w:val="1"/>
          <w:iCs w:val="1"/>
          <w:color w:val="auto"/>
        </w:rPr>
      </w:pPr>
    </w:p>
    <w:p>
      <w:pPr>
        <w:ind w:left="5620" w:hanging="101"/>
        <w:spacing w:after="0"/>
        <w:tabs>
          <w:tab w:leader="none" w:pos="5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2</w:t>
            </w:r>
          </w:p>
        </w:tc>
        <w:tc>
          <w:tcPr>
            <w:tcW w:w="0" w:type="dxa"/>
            <w:vAlign w:val="bottom"/>
          </w:tcPr>
          <w:p>
            <w:pPr>
              <w:spacing w:after="0"/>
              <w:rPr>
                <w:sz w:val="1"/>
                <w:szCs w:val="1"/>
                <w:color w:val="auto"/>
              </w:rPr>
            </w:pPr>
          </w:p>
        </w:tc>
      </w:tr>
      <w:tr>
        <w:trPr>
          <w:trHeight w:val="337"/>
        </w:trPr>
        <w:tc>
          <w:tcPr>
            <w:tcW w:w="7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RECONCILIATION OF QUARTERLY GAAP TO NON-GAAP MEASURES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2019 Quarters</w:t>
            </w:r>
          </w:p>
        </w:tc>
        <w:tc>
          <w:tcPr>
            <w:tcW w:w="8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2018 Quarters</w:t>
            </w: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3"/>
                <w:szCs w:val="13"/>
                <w:b w:val="1"/>
                <w:bCs w:val="1"/>
                <w:color w:val="auto"/>
              </w:rPr>
              <w:t>Third</w:t>
            </w:r>
          </w:p>
        </w:tc>
        <w:tc>
          <w:tcPr>
            <w:tcW w:w="112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3"/>
                <w:szCs w:val="13"/>
                <w:b w:val="1"/>
                <w:bCs w:val="1"/>
                <w:color w:val="auto"/>
              </w:rPr>
              <w:t>Second</w:t>
            </w:r>
          </w:p>
        </w:tc>
        <w:tc>
          <w:tcPr>
            <w:tcW w:w="84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rPr>
              <w:t>First</w:t>
            </w:r>
          </w:p>
        </w:tc>
        <w:tc>
          <w:tcPr>
            <w:tcW w:w="28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3"/>
                <w:szCs w:val="13"/>
                <w:b w:val="1"/>
                <w:bCs w:val="1"/>
                <w:color w:val="auto"/>
              </w:rPr>
              <w:t>Fourth</w:t>
            </w:r>
          </w:p>
        </w:tc>
        <w:tc>
          <w:tcPr>
            <w:tcW w:w="112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3"/>
                <w:szCs w:val="13"/>
                <w:b w:val="1"/>
                <w:bCs w:val="1"/>
                <w:color w:val="auto"/>
              </w:rPr>
              <w:t>Third</w:t>
            </w:r>
          </w:p>
        </w:tc>
        <w:tc>
          <w:tcPr>
            <w:tcW w:w="112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3"/>
                <w:szCs w:val="13"/>
                <w:b w:val="1"/>
                <w:bCs w:val="1"/>
                <w:color w:val="auto"/>
              </w:rPr>
              <w:t>Second</w:t>
            </w:r>
          </w:p>
        </w:tc>
        <w:tc>
          <w:tcPr>
            <w:tcW w:w="8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3"/>
                <w:szCs w:val="13"/>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 statement data (in thousands, except per share)</w:t>
            </w: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480,081</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473,260</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482,742</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546,219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526,091</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493,160</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352,610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3"/>
                <w:szCs w:val="13"/>
                <w:color w:val="auto"/>
              </w:rPr>
              <w:t>intangible assets (a)</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3,749</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3,741</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3,698</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4,528</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4,709</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4,888</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Net operating income</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483,830</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477,001</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486,440</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550,169</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530,619</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497,869</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357,498</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Diluted earnings per common share</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3.47</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3.34</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3.35</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3.76</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3.53</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3.26</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2.23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3"/>
                <w:szCs w:val="13"/>
                <w:color w:val="auto"/>
              </w:rPr>
              <w:t>intangible assets (a)</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Diluted net operating earnings per common share</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3.37</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3.38</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3.79</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3.56</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3.29</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2.26</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expense</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Other expense</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877,619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873,032</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894,348</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802,162</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775,979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776,577</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933,344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(5,088)</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(5,077)</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(5,020)</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(5,359)</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(6,143)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(6,388)</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(6,632)</w:t>
            </w:r>
          </w:p>
        </w:tc>
        <w:tc>
          <w:tcPr>
            <w:tcW w:w="0" w:type="dxa"/>
            <w:vAlign w:val="bottom"/>
          </w:tcPr>
          <w:p>
            <w:pPr>
              <w:spacing w:after="0"/>
              <w:rPr>
                <w:sz w:val="1"/>
                <w:szCs w:val="1"/>
                <w:color w:val="auto"/>
              </w:rPr>
            </w:pPr>
          </w:p>
        </w:tc>
      </w:tr>
      <w:tr>
        <w:trPr>
          <w:trHeight w:val="142"/>
        </w:trPr>
        <w:tc>
          <w:tcPr>
            <w:tcW w:w="372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Noninterest operating expense</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872,531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867,955</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889,328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796,803</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769,836</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770,189</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926,712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Efficiency ratio</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Noninterest operating expense (numerator)</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872,531</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867,955</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889,328</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796,803</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769,836</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770,189</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926,712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Taxable-equivalent net interest income</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1,035,469</w:t>
            </w:r>
          </w:p>
        </w:tc>
        <w:tc>
          <w:tcPr>
            <w:tcW w:w="2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1,047,406</w:t>
            </w:r>
          </w:p>
        </w:tc>
        <w:tc>
          <w:tcPr>
            <w:tcW w:w="2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1,056,027</w:t>
            </w:r>
          </w:p>
        </w:tc>
        <w:tc>
          <w:tcPr>
            <w:tcW w:w="2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1,064,918</w:t>
            </w:r>
          </w:p>
        </w:tc>
        <w:tc>
          <w:tcPr>
            <w:tcW w:w="2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1,034,771</w:t>
            </w:r>
          </w:p>
        </w:tc>
        <w:tc>
          <w:tcPr>
            <w:tcW w:w="2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1,014,184</w:t>
            </w:r>
          </w:p>
        </w:tc>
        <w:tc>
          <w:tcPr>
            <w:tcW w:w="2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980,326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Other income</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527,779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512,095</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500,765</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480,596</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459,294</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457,414</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458,696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Less: Gain (loss) on bank investment securities</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3,737</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8,911</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11,841</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4,219</w:t>
            </w:r>
          </w:p>
        </w:tc>
        <w:tc>
          <w:tcPr>
            <w:tcW w:w="2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(3,415)</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2,326</w:t>
            </w:r>
          </w:p>
        </w:tc>
        <w:tc>
          <w:tcPr>
            <w:tcW w:w="2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(9,431)</w:t>
            </w:r>
          </w:p>
        </w:tc>
        <w:tc>
          <w:tcPr>
            <w:tcW w:w="0" w:type="dxa"/>
            <w:vAlign w:val="bottom"/>
          </w:tcPr>
          <w:p>
            <w:pPr>
              <w:spacing w:after="0"/>
              <w:rPr>
                <w:sz w:val="1"/>
                <w:szCs w:val="1"/>
                <w:color w:val="auto"/>
              </w:rPr>
            </w:pPr>
          </w:p>
        </w:tc>
      </w:tr>
      <w:tr>
        <w:trPr>
          <w:trHeight w:val="142"/>
        </w:trPr>
        <w:tc>
          <w:tcPr>
            <w:tcW w:w="37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Denominator</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1,559,511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1,550,590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1,544,951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1,541,295</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1,497,480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1,469,272</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1,448,453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Efficiency ratio</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55.95%</w:t>
            </w:r>
          </w:p>
        </w:tc>
        <w:tc>
          <w:tcPr>
            <w:tcW w:w="11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55.98%</w:t>
            </w:r>
          </w:p>
        </w:tc>
        <w:tc>
          <w:tcPr>
            <w:tcW w:w="11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57.56%</w:t>
            </w:r>
          </w:p>
        </w:tc>
        <w:tc>
          <w:tcPr>
            <w:tcW w:w="11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51.70%</w:t>
            </w:r>
          </w:p>
        </w:tc>
        <w:tc>
          <w:tcPr>
            <w:tcW w:w="11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51.41%</w:t>
            </w:r>
          </w:p>
        </w:tc>
        <w:tc>
          <w:tcPr>
            <w:tcW w:w="11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52.42%</w:t>
            </w: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63.98%</w:t>
            </w:r>
          </w:p>
        </w:tc>
        <w:tc>
          <w:tcPr>
            <w:tcW w:w="0" w:type="dxa"/>
            <w:vAlign w:val="bottom"/>
          </w:tcPr>
          <w:p>
            <w:pPr>
              <w:spacing w:after="0"/>
              <w:rPr>
                <w:sz w:val="1"/>
                <w:szCs w:val="1"/>
                <w:color w:val="auto"/>
              </w:rPr>
            </w:pPr>
          </w:p>
        </w:tc>
      </w:tr>
      <w:tr>
        <w:trPr>
          <w:trHeight w:val="129"/>
        </w:trPr>
        <w:tc>
          <w:tcPr>
            <w:tcW w:w="372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sheet data (in millions)</w:t>
            </w: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Average assets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Average assets</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120,388</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118,487</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116,839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117,799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115,997</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116,413</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117,684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(36)</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(41)</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(50)</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(55)</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(62)</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11</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17</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tangible assets</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115,769</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113,864</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112,213</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113,169</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111,363</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111,775</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113,041</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Average common equity</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Average total equity</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15,837</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15,630</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15,569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15,389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15,549</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15,533</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16,059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(1,373)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42"/>
        </w:trPr>
        <w:tc>
          <w:tcPr>
            <w:tcW w:w="3720" w:type="dxa"/>
            <w:vAlign w:val="bottom"/>
            <w:tcBorders>
              <w:top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common equity</w:t>
            </w: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14,464</w:t>
            </w: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14,398</w:t>
            </w: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14,337</w:t>
            </w: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14,157</w:t>
            </w: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14,317</w:t>
            </w: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14,301</w:t>
            </w:r>
          </w:p>
        </w:tc>
        <w:tc>
          <w:tcPr>
            <w:tcW w:w="2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14,827</w:t>
            </w: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(36)</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(41)</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(50)</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(55)</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(62)</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11</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17</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tangible common equity</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9,845</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9,775</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9,711</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9,527</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9,683</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9,663</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10,184</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At end of quarter</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125,501</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121,555</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120,025</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120,097</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116,828</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118,426</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118,623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Goodwill</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(38)</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(44)</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(47)</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(52)</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(59)</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w:t>
            </w:r>
          </w:p>
        </w:tc>
        <w:tc>
          <w:tcPr>
            <w:tcW w:w="28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w:t>
            </w:r>
          </w:p>
        </w:tc>
        <w:tc>
          <w:tcPr>
            <w:tcW w:w="28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28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w:t>
            </w:r>
          </w:p>
        </w:tc>
        <w:tc>
          <w:tcPr>
            <w:tcW w:w="28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w:t>
            </w:r>
          </w:p>
        </w:tc>
        <w:tc>
          <w:tcPr>
            <w:tcW w:w="28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w:t>
            </w:r>
          </w:p>
        </w:tc>
        <w:tc>
          <w:tcPr>
            <w:tcW w:w="28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tcBorders>
              <w:bottom w:val="single" w:sz="8" w:color="CFF0FC"/>
            </w:tcBorders>
          </w:tcPr>
          <w:p>
            <w:pPr>
              <w:ind w:left="260"/>
              <w:spacing w:after="0" w:line="142" w:lineRule="exact"/>
              <w:rPr>
                <w:sz w:val="20"/>
                <w:szCs w:val="20"/>
                <w:color w:val="auto"/>
              </w:rPr>
            </w:pPr>
            <w:r>
              <w:rPr>
                <w:rFonts w:ascii="Times New Roman" w:cs="Times New Roman" w:eastAsia="Times New Roman" w:hAnsi="Times New Roman"/>
                <w:sz w:val="13"/>
                <w:szCs w:val="13"/>
                <w:color w:val="auto"/>
              </w:rPr>
              <w:t>Total tangible assets</w:t>
            </w: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120,883</w:t>
            </w:r>
          </w:p>
        </w:tc>
        <w:tc>
          <w:tcPr>
            <w:tcW w:w="28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116,934</w:t>
            </w:r>
          </w:p>
        </w:tc>
        <w:tc>
          <w:tcPr>
            <w:tcW w:w="28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115,400</w:t>
            </w:r>
          </w:p>
        </w:tc>
        <w:tc>
          <w:tcPr>
            <w:tcW w:w="28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115,470</w:t>
            </w:r>
          </w:p>
        </w:tc>
        <w:tc>
          <w:tcPr>
            <w:tcW w:w="28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112,197</w:t>
            </w:r>
          </w:p>
        </w:tc>
        <w:tc>
          <w:tcPr>
            <w:tcW w:w="28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113,790</w:t>
            </w:r>
          </w:p>
        </w:tc>
        <w:tc>
          <w:tcPr>
            <w:tcW w:w="28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113,982</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common equity</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Total equity</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15,780</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15,692</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15,588</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15,460</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15,436</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15,578</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15,710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(1,250)</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Undeclared dividends - cumulative preferred stock</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4"/>
        </w:trPr>
        <w:tc>
          <w:tcPr>
            <w:tcW w:w="3720" w:type="dxa"/>
            <w:vAlign w:val="bottom"/>
            <w:tcBorders>
              <w:top w:val="single" w:sz="8" w:color="CFF0FC"/>
            </w:tcBorders>
            <w:shd w:val="clear" w:color="auto" w:fill="CFF0FC"/>
          </w:tcPr>
          <w:p>
            <w:pPr>
              <w:ind w:left="260"/>
              <w:spacing w:after="0" w:line="124" w:lineRule="exact"/>
              <w:rPr>
                <w:sz w:val="20"/>
                <w:szCs w:val="20"/>
                <w:color w:val="auto"/>
              </w:rPr>
            </w:pPr>
            <w:r>
              <w:rPr>
                <w:rFonts w:ascii="Times New Roman" w:cs="Times New Roman" w:eastAsia="Times New Roman" w:hAnsi="Times New Roman"/>
                <w:sz w:val="13"/>
                <w:szCs w:val="13"/>
                <w:color w:val="auto"/>
              </w:rPr>
              <w:t>Common equity, net of undeclared</w:t>
            </w:r>
          </w:p>
        </w:tc>
        <w:tc>
          <w:tcPr>
            <w:tcW w:w="1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cumulative preferred dividends</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14,530</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14,457</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14,201</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14,343</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14,475</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(33)</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(38)</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(44)</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(47)</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(52)</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(59)</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8</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16</w:t>
            </w:r>
          </w:p>
        </w:tc>
        <w:tc>
          <w:tcPr>
            <w:tcW w:w="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Total tangible common equity</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9,912</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9,836</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9,728</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9,598</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9,570</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9,707</w:t>
            </w: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9,834</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4"/>
          <w:szCs w:val="14"/>
          <w:i w:val="1"/>
          <w:iCs w:val="1"/>
          <w:color w:val="auto"/>
        </w:rPr>
        <w:t>a)</w:t>
      </w:r>
      <w:r>
        <w:rPr>
          <w:sz w:val="20"/>
          <w:szCs w:val="20"/>
          <w:color w:val="auto"/>
        </w:rPr>
        <w:tab/>
      </w:r>
      <w:r>
        <w:rPr>
          <w:rFonts w:ascii="Times New Roman" w:cs="Times New Roman" w:eastAsia="Times New Roman" w:hAnsi="Times New Roman"/>
          <w:sz w:val="14"/>
          <w:szCs w:val="14"/>
          <w:i w:val="1"/>
          <w:iCs w:val="1"/>
          <w:color w:val="auto"/>
        </w:rPr>
        <w:t>After any related tax effect.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3</w:t>
            </w:r>
          </w:p>
        </w:tc>
        <w:tc>
          <w:tcPr>
            <w:tcW w:w="0" w:type="dxa"/>
            <w:vAlign w:val="bottom"/>
          </w:tcPr>
          <w:p>
            <w:pPr>
              <w:spacing w:after="0"/>
              <w:rPr>
                <w:sz w:val="1"/>
                <w:szCs w:val="1"/>
                <w:color w:val="auto"/>
              </w:rPr>
            </w:pPr>
          </w:p>
        </w:tc>
      </w:tr>
      <w:tr>
        <w:trPr>
          <w:trHeight w:val="337"/>
        </w:trPr>
        <w:tc>
          <w:tcPr>
            <w:tcW w:w="77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2019 Third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5"/>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2019 Second Quarter</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2019 First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gridSpan w:val="3"/>
            <w:vMerge w:val="continue"/>
          </w:tcPr>
          <w:p>
            <w:pPr>
              <w:spacing w:after="0"/>
              <w:rPr>
                <w:sz w:val="15"/>
                <w:szCs w:val="15"/>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02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 in thousands</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discount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financial, etc.</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283,291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23,335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288,914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287,676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 estate – commercial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462,759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461,050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Real estate – consumer</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175,098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179,218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184,868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204,097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190,193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90,078</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1,125,245</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89,150</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1,131,461</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88,477</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1,123,787</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 and agreements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resell securities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68,755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72,967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subdivisions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69,173</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12,170</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75,675</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12,949</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80,522</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108,643</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1,235,048</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107,511</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1,243,838</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106,096</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1,232,276</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120,388</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118,487</w:t>
            </w:r>
          </w:p>
        </w:tc>
        <w:tc>
          <w:tcPr>
            <w:tcW w:w="2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116,839</w:t>
            </w:r>
          </w:p>
        </w:tc>
        <w:tc>
          <w:tcPr>
            <w:tcW w:w="2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Savings and interest-checking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104,724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91,556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76,139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24,931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63,545</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136,398</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61,272</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122,527</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59,418</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101,957</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56,214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66,012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67,579</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71,878</w:t>
            </w:r>
          </w:p>
        </w:tc>
        <w:tc>
          <w:tcPr>
            <w:tcW w:w="2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199,579</w:t>
            </w:r>
          </w:p>
        </w:tc>
        <w:tc>
          <w:tcPr>
            <w:tcW w:w="22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8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70,813</w:t>
            </w:r>
          </w:p>
        </w:tc>
        <w:tc>
          <w:tcPr>
            <w:tcW w:w="22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196,432</w:t>
            </w:r>
          </w:p>
        </w:tc>
        <w:tc>
          <w:tcPr>
            <w:tcW w:w="220" w:type="dxa"/>
            <w:vAlign w:val="bottom"/>
            <w:tcBorders>
              <w:bottom w:val="single" w:sz="8" w:color="CFF0FC"/>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300" w:type="dxa"/>
            <w:vAlign w:val="bottom"/>
            <w:tcBorders>
              <w:bottom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69,003</w:t>
            </w:r>
          </w:p>
        </w:tc>
        <w:tc>
          <w:tcPr>
            <w:tcW w:w="22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176,249</w:t>
            </w:r>
          </w:p>
        </w:tc>
        <w:tc>
          <w:tcPr>
            <w:tcW w:w="22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30,550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30,099</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30,315</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104,551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102,857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101,270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15,837</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120,388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118,487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116,839</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income/margin 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1,035,469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1,047,406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1,056,027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Table 3 (continued)</w:t>
            </w:r>
          </w:p>
        </w:tc>
        <w:tc>
          <w:tcPr>
            <w:tcW w:w="0" w:type="dxa"/>
            <w:vAlign w:val="bottom"/>
          </w:tcPr>
          <w:p>
            <w:pPr>
              <w:spacing w:after="0"/>
              <w:rPr>
                <w:sz w:val="1"/>
                <w:szCs w:val="1"/>
                <w:color w:val="auto"/>
              </w:rPr>
            </w:pPr>
          </w:p>
        </w:tc>
      </w:tr>
      <w:tr>
        <w:trPr>
          <w:trHeight w:val="337"/>
        </w:trPr>
        <w:tc>
          <w:tcPr>
            <w:tcW w:w="90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 (continued)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2018 Fourth Quarter</w:t>
            </w:r>
          </w:p>
        </w:tc>
        <w:tc>
          <w:tcPr>
            <w:tcW w:w="7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24"/>
                <w:szCs w:val="24"/>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2018 Third Quarter</w:t>
            </w:r>
          </w:p>
        </w:tc>
        <w:tc>
          <w:tcPr>
            <w:tcW w:w="74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84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 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discount (a)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277,350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21,689</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255,735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Real estate – commercial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452,448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33,800</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440,381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Real estate – consumer</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187,670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18,006</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189,634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187,723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13,637</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180,764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87,301</w:t>
            </w: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1,105,191</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87,132</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1,066,514</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26,001</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 and agreements</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resell securities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72,548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13,034</w:t>
            </w: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79,041</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13,431</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80,304</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107,785</w:t>
            </w:r>
          </w:p>
        </w:tc>
        <w:tc>
          <w:tcPr>
            <w:tcW w:w="3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1,226,239</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105,835</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1,173,108</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9,715</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117,799</w:t>
            </w:r>
          </w:p>
        </w:tc>
        <w:tc>
          <w:tcPr>
            <w:tcW w:w="3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115,997</w:t>
            </w: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51,552</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56,156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58,473</w:t>
            </w: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89,293</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57,785</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70,688</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9,047</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66,049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68,027</w:t>
            </w:r>
          </w:p>
        </w:tc>
        <w:tc>
          <w:tcPr>
            <w:tcW w:w="3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161,321</w:t>
            </w:r>
          </w:p>
        </w:tc>
        <w:tc>
          <w:tcPr>
            <w:tcW w:w="32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67,206</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138,337</w:t>
            </w:r>
          </w:p>
        </w:tc>
        <w:tc>
          <w:tcPr>
            <w:tcW w:w="30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32,631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31,467</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3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102,410</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100,448</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15,389</w:t>
            </w:r>
          </w:p>
        </w:tc>
        <w:tc>
          <w:tcPr>
            <w:tcW w:w="3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15,549</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117,799</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115,997</w:t>
            </w: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interest income/margin on earning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1,064,918</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1,034,771</w:t>
            </w:r>
          </w:p>
        </w:tc>
        <w:tc>
          <w:tcPr>
            <w:tcW w:w="3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0" w:name="page91"/>
    <w:bookmarkEnd w:id="90"/>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p>
    <w:p>
      <w:pPr>
        <w:spacing w:after="0" w:line="55"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Controls and Procedures.</w:t>
      </w:r>
    </w:p>
    <w:p>
      <w:pPr>
        <w:spacing w:after="0" w:line="55" w:lineRule="exact"/>
        <w:rPr>
          <w:sz w:val="20"/>
          <w:szCs w:val="20"/>
          <w:color w:val="auto"/>
        </w:rPr>
      </w:pPr>
    </w:p>
    <w:p>
      <w:pPr>
        <w:jc w:val="both"/>
        <w:ind w:firstLine="526"/>
        <w:spacing w:after="0" w:line="250" w:lineRule="auto"/>
        <w:tabs>
          <w:tab w:leader="none" w:pos="79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September 30, 2019.</w:t>
      </w:r>
    </w:p>
    <w:p>
      <w:pPr>
        <w:spacing w:after="0" w:line="19" w:lineRule="exact"/>
        <w:rPr>
          <w:rFonts w:ascii="Times New Roman" w:cs="Times New Roman" w:eastAsia="Times New Roman" w:hAnsi="Times New Roman"/>
          <w:sz w:val="21"/>
          <w:szCs w:val="21"/>
          <w:color w:val="auto"/>
        </w:rPr>
      </w:pPr>
    </w:p>
    <w:p>
      <w:pPr>
        <w:jc w:val="both"/>
        <w:ind w:firstLine="526"/>
        <w:spacing w:after="0" w:line="248" w:lineRule="auto"/>
        <w:tabs>
          <w:tab w:leader="none" w:pos="81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disclosure controls and procedures during the quarter ended September 30, 2019 that have materially affected, or are reasonably likely to materially affect, M&amp;T’s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1.</w:t>
      </w:r>
      <w:r>
        <w:rPr>
          <w:sz w:val="20"/>
          <w:szCs w:val="20"/>
          <w:color w:val="auto"/>
        </w:rPr>
        <w:tab/>
      </w:r>
      <w:r>
        <w:rPr>
          <w:rFonts w:ascii="Times New Roman" w:cs="Times New Roman" w:eastAsia="Times New Roman" w:hAnsi="Times New Roman"/>
          <w:sz w:val="20"/>
          <w:szCs w:val="20"/>
          <w:color w:val="auto"/>
        </w:rPr>
        <w:t>Legal Proceedings.</w:t>
      </w:r>
    </w:p>
    <w:p>
      <w:pPr>
        <w:spacing w:after="0" w:line="109"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i w:val="1"/>
          <w:iCs w:val="1"/>
          <w:color w:val="auto"/>
        </w:rPr>
        <w:t>ESOP Matters</w:t>
      </w:r>
      <w:r>
        <w:rPr>
          <w:rFonts w:ascii="Times New Roman" w:cs="Times New Roman" w:eastAsia="Times New Roman" w:hAnsi="Times New Roman"/>
          <w:sz w:val="21"/>
          <w:szCs w:val="21"/>
          <w:color w:val="auto"/>
        </w:rPr>
        <w:t>: Wilmington Trust, N.A. provides retirement services, including serving in certain trustee roles relating to Employee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In July 2019, Wilmington Trust, N.A. reached a settlement in principle with the DOL to resolve certain pending DOL ESOP matters. Although a formal settlement agreement has yet to be prepared and executed, the Company does not expect that the agreed-upon settlement will have a material incremental impact on the Company’s consolidated financial position or results of operations. Wilmington Trust, N.A. has also been named as a defendant in five private party lawsuits relating to its role as trustee for five ESOP transactions.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90"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Due to their complex nature, it is difficult to estimate when litigation or investigatory matters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91" w:name="page92"/>
    <w:bookmarkEnd w:id="91"/>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1A.</w:t>
      </w:r>
      <w:r>
        <w:rPr>
          <w:sz w:val="20"/>
          <w:szCs w:val="20"/>
          <w:color w:val="auto"/>
        </w:rPr>
        <w:tab/>
      </w:r>
      <w:r>
        <w:rPr>
          <w:rFonts w:ascii="Times New Roman" w:cs="Times New Roman" w:eastAsia="Times New Roman" w:hAnsi="Times New Roman"/>
          <w:sz w:val="20"/>
          <w:szCs w:val="20"/>
          <w:color w:val="auto"/>
        </w:rPr>
        <w:t>Risk Factors.</w:t>
      </w:r>
    </w:p>
    <w:p>
      <w:pPr>
        <w:spacing w:after="0" w:line="109"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M&amp;T to those disclosed in response to Item 1A. to Part I of Form 10-K for the year ended December 31, 2018.</w:t>
      </w:r>
    </w:p>
    <w:p>
      <w:pPr>
        <w:spacing w:after="0" w:line="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Unregistered Sales of Equity Securities and Use of Proceeds.</w:t>
      </w:r>
    </w:p>
    <w:p>
      <w:pPr>
        <w:spacing w:after="0" w:line="109" w:lineRule="exact"/>
        <w:rPr>
          <w:sz w:val="20"/>
          <w:szCs w:val="20"/>
          <w:color w:val="auto"/>
        </w:rPr>
      </w:pPr>
    </w:p>
    <w:p>
      <w:pPr>
        <w:ind w:left="800" w:hanging="274"/>
        <w:spacing w:after="0"/>
        <w:tabs>
          <w:tab w:leader="none" w:pos="8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(b) Not applicable.</w:t>
      </w:r>
    </w:p>
    <w:p>
      <w:pPr>
        <w:spacing w:after="0" w:line="109" w:lineRule="exact"/>
        <w:rPr>
          <w:rFonts w:ascii="Times New Roman" w:cs="Times New Roman" w:eastAsia="Times New Roman" w:hAnsi="Times New Roman"/>
          <w:sz w:val="21"/>
          <w:szCs w:val="21"/>
          <w:color w:val="auto"/>
        </w:rPr>
      </w:pPr>
    </w:p>
    <w:p>
      <w:pPr>
        <w:spacing w:after="0"/>
        <w:tabs>
          <w:tab w:leader="none" w:pos="0" w:val="left"/>
        </w:tabs>
        <w:numPr>
          <w:ilvl w:val="0"/>
          <w:numId w:val="27"/>
        </w:numPr>
        <w:rPr>
          <w:rFonts w:ascii="Times New Roman" w:cs="Times New Roman" w:eastAsia="Times New Roman" w:hAnsi="Times New Roman"/>
          <w:sz w:val="21"/>
          <w:szCs w:val="21"/>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(c)Total</w:t>
            </w:r>
          </w:p>
        </w:tc>
        <w:tc>
          <w:tcPr>
            <w:tcW w:w="2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(b)Average</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4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67"/>
        </w:trPr>
        <w:tc>
          <w:tcPr>
            <w:tcW w:w="4340" w:type="dxa"/>
            <w:vAlign w:val="bottom"/>
            <w:gridSpan w:val="3"/>
            <w:vMerge w:val="continue"/>
          </w:tcPr>
          <w:p>
            <w:pPr>
              <w:spacing w:after="0"/>
              <w:rPr>
                <w:sz w:val="14"/>
                <w:szCs w:val="14"/>
                <w:color w:val="auto"/>
              </w:rPr>
            </w:pP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(or Unit)</w:t>
            </w:r>
          </w:p>
        </w:tc>
        <w:tc>
          <w:tcPr>
            <w:tcW w:w="10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0" w:type="dxa"/>
            <w:vAlign w:val="bottom"/>
          </w:tcPr>
          <w:p>
            <w:pPr>
              <w:spacing w:after="0"/>
              <w:rPr>
                <w:sz w:val="14"/>
                <w:szCs w:val="14"/>
                <w:color w:val="auto"/>
              </w:rPr>
            </w:pPr>
          </w:p>
        </w:tc>
        <w:tc>
          <w:tcPr>
            <w:tcW w:w="124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r>
        <w:trPr>
          <w:trHeight w:val="229"/>
        </w:trPr>
        <w:tc>
          <w:tcPr>
            <w:tcW w:w="420" w:type="dxa"/>
            <w:vAlign w:val="bottom"/>
            <w:tcBorders>
              <w:top w:val="single" w:sz="8" w:color="auto"/>
            </w:tcBorders>
          </w:tcPr>
          <w:p>
            <w:pPr>
              <w:spacing w:after="0"/>
              <w:rPr>
                <w:sz w:val="19"/>
                <w:szCs w:val="19"/>
                <w:color w:val="auto"/>
              </w:rPr>
            </w:pP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July 31, 2019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520,301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$ 1,550,037,229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 August 31, 2019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1,413,000</w:t>
            </w: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1,335,037,135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September 30, 2019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1,335,037,135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1,933,535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520" w:hanging="512"/>
        <w:spacing w:after="0" w:line="256" w:lineRule="auto"/>
        <w:tabs>
          <w:tab w:leader="none" w:pos="52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520" w:hanging="512"/>
        <w:spacing w:after="0" w:line="260" w:lineRule="auto"/>
        <w:tabs>
          <w:tab w:leader="none" w:pos="52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July 17, 2019 M&amp;T’s Board of Directors authorized a new stock repurchase program to repurchase up to $1.635 billion of common shares, including the remaining shares not purchased related to M&amp;T’s 2018 revised capital plan.</w:t>
      </w:r>
    </w:p>
    <w:p>
      <w:pPr>
        <w:spacing w:after="0" w:line="1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Defaults Upon Senior Securities.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(Not applicable.)</w:t>
      </w:r>
    </w:p>
    <w:p>
      <w:pPr>
        <w:spacing w:after="0" w:line="2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Mine Safety Disclosures.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5.</w:t>
      </w:r>
      <w:r>
        <w:rPr>
          <w:sz w:val="20"/>
          <w:szCs w:val="20"/>
          <w:color w:val="auto"/>
        </w:rPr>
        <w:tab/>
      </w:r>
      <w:r>
        <w:rPr>
          <w:rFonts w:ascii="Times New Roman" w:cs="Times New Roman" w:eastAsia="Times New Roman" w:hAnsi="Times New Roman"/>
          <w:sz w:val="20"/>
          <w:szCs w:val="20"/>
          <w:color w:val="auto"/>
        </w:rPr>
        <w:t>Other Information.</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92" w:name="page93"/>
    <w:bookmarkEnd w:id="92"/>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6.</w:t>
      </w:r>
      <w:r>
        <w:rPr>
          <w:sz w:val="20"/>
          <w:szCs w:val="20"/>
          <w:color w:val="auto"/>
        </w:rPr>
        <w:tab/>
      </w:r>
      <w:r>
        <w:rPr>
          <w:rFonts w:ascii="Times New Roman" w:cs="Times New Roman" w:eastAsia="Times New Roman" w:hAnsi="Times New Roman"/>
          <w:sz w:val="20"/>
          <w:szCs w:val="20"/>
          <w:color w:val="auto"/>
        </w:rPr>
        <w:t>Exhibits.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Exhibit</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083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gridSpan w:val="2"/>
          </w:tcPr>
          <w:p>
            <w:pPr>
              <w:ind w:left="120"/>
              <w:spacing w:after="0"/>
              <w:rPr>
                <w:rFonts w:ascii="Times New Roman" w:cs="Times New Roman" w:eastAsia="Times New Roman" w:hAnsi="Times New Roman"/>
                <w:sz w:val="21"/>
                <w:szCs w:val="21"/>
                <w:color w:val="0000EE"/>
                <w:w w:val="83"/>
              </w:rPr>
            </w:pPr>
            <w:hyperlink r:id="rId126">
              <w:r>
                <w:rPr>
                  <w:rFonts w:ascii="Times New Roman" w:cs="Times New Roman" w:eastAsia="Times New Roman" w:hAnsi="Times New Roman"/>
                  <w:sz w:val="21"/>
                  <w:szCs w:val="21"/>
                  <w:color w:val="0000EE"/>
                  <w:w w:val="83"/>
                </w:rPr>
                <w:t>3.</w:t>
              </w:r>
              <w:r>
                <w:rPr>
                  <w:rFonts w:ascii="Times New Roman" w:cs="Times New Roman" w:eastAsia="Times New Roman" w:hAnsi="Times New Roman"/>
                  <w:sz w:val="21"/>
                  <w:szCs w:val="21"/>
                  <w:u w:val="single" w:color="auto"/>
                  <w:color w:val="0000EE"/>
                  <w:w w:val="83"/>
                </w:rPr>
                <w:t>1</w:t>
              </w:r>
            </w:hyperlink>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8"/>
              </w:rPr>
              <w:t>Certificate of Amendment to Certificate of Incorporation with respect to Perpetual 5.0% Fixed-Rate Reset Non-Cumulative</w:t>
            </w:r>
          </w:p>
        </w:tc>
      </w:tr>
      <w:tr>
        <w:trPr>
          <w:trHeight w:val="246"/>
        </w:trPr>
        <w:tc>
          <w:tcPr>
            <w:tcW w:w="12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9"/>
              </w:rPr>
              <w:t>Preferred Stock, Series G, dated July 29, 2019. Incorporated by reference to Exhibit 3.1 of M&amp;T Bank Corporation’s Form</w:t>
            </w:r>
          </w:p>
        </w:tc>
      </w:tr>
      <w:tr>
        <w:trPr>
          <w:trHeight w:val="268"/>
        </w:trPr>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8-K dated July 30, 2019 (File No. 1-9861).</w:t>
            </w:r>
          </w:p>
        </w:tc>
      </w:tr>
      <w:tr>
        <w:trPr>
          <w:trHeight w:val="437"/>
        </w:trPr>
        <w:tc>
          <w:tcPr>
            <w:tcW w:w="480" w:type="dxa"/>
            <w:vAlign w:val="bottom"/>
            <w:gridSpan w:val="3"/>
          </w:tcPr>
          <w:p>
            <w:pPr>
              <w:ind w:left="120"/>
              <w:spacing w:after="0"/>
              <w:rPr>
                <w:rFonts w:ascii="Times New Roman" w:cs="Times New Roman" w:eastAsia="Times New Roman" w:hAnsi="Times New Roman"/>
                <w:sz w:val="21"/>
                <w:szCs w:val="21"/>
                <w:color w:val="0000EE"/>
                <w:w w:val="92"/>
              </w:rPr>
            </w:pPr>
            <w:hyperlink w:anchor="page94">
              <w:r>
                <w:rPr>
                  <w:rFonts w:ascii="Times New Roman" w:cs="Times New Roman" w:eastAsia="Times New Roman" w:hAnsi="Times New Roman"/>
                  <w:sz w:val="21"/>
                  <w:szCs w:val="21"/>
                  <w:color w:val="0000EE"/>
                  <w:w w:val="92"/>
                </w:rPr>
                <w:t>31.</w:t>
              </w:r>
              <w:r>
                <w:rPr>
                  <w:rFonts w:ascii="Times New Roman" w:cs="Times New Roman" w:eastAsia="Times New Roman" w:hAnsi="Times New Roman"/>
                  <w:sz w:val="21"/>
                  <w:szCs w:val="21"/>
                  <w:u w:val="single" w:color="auto"/>
                  <w:color w:val="0000EE"/>
                  <w:w w:val="92"/>
                </w:rPr>
                <w:t>1</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Certification of Chief Executive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466"/>
        </w:trPr>
        <w:tc>
          <w:tcPr>
            <w:tcW w:w="480" w:type="dxa"/>
            <w:vAlign w:val="bottom"/>
            <w:gridSpan w:val="3"/>
          </w:tcPr>
          <w:p>
            <w:pPr>
              <w:ind w:left="120"/>
              <w:spacing w:after="0"/>
              <w:rPr>
                <w:rFonts w:ascii="Times New Roman" w:cs="Times New Roman" w:eastAsia="Times New Roman" w:hAnsi="Times New Roman"/>
                <w:sz w:val="21"/>
                <w:szCs w:val="21"/>
                <w:color w:val="0000EE"/>
                <w:w w:val="92"/>
              </w:rPr>
            </w:pPr>
            <w:hyperlink w:anchor="page95">
              <w:r>
                <w:rPr>
                  <w:rFonts w:ascii="Times New Roman" w:cs="Times New Roman" w:eastAsia="Times New Roman" w:hAnsi="Times New Roman"/>
                  <w:sz w:val="21"/>
                  <w:szCs w:val="21"/>
                  <w:color w:val="0000EE"/>
                  <w:w w:val="92"/>
                </w:rPr>
                <w:t>31.</w:t>
              </w:r>
              <w:r>
                <w:rPr>
                  <w:rFonts w:ascii="Times New Roman" w:cs="Times New Roman" w:eastAsia="Times New Roman" w:hAnsi="Times New Roman"/>
                  <w:sz w:val="21"/>
                  <w:szCs w:val="21"/>
                  <w:u w:val="single" w:color="auto"/>
                  <w:color w:val="0000EE"/>
                  <w:w w:val="92"/>
                </w:rPr>
                <w:t>2</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Certification of Chief Financial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466"/>
        </w:trPr>
        <w:tc>
          <w:tcPr>
            <w:tcW w:w="480" w:type="dxa"/>
            <w:vAlign w:val="bottom"/>
            <w:gridSpan w:val="3"/>
          </w:tcPr>
          <w:p>
            <w:pPr>
              <w:ind w:left="120"/>
              <w:spacing w:after="0"/>
              <w:rPr>
                <w:rFonts w:ascii="Times New Roman" w:cs="Times New Roman" w:eastAsia="Times New Roman" w:hAnsi="Times New Roman"/>
                <w:sz w:val="21"/>
                <w:szCs w:val="21"/>
                <w:color w:val="0000EE"/>
                <w:w w:val="92"/>
              </w:rPr>
            </w:pPr>
            <w:hyperlink w:anchor="page96">
              <w:r>
                <w:rPr>
                  <w:rFonts w:ascii="Times New Roman" w:cs="Times New Roman" w:eastAsia="Times New Roman" w:hAnsi="Times New Roman"/>
                  <w:sz w:val="21"/>
                  <w:szCs w:val="21"/>
                  <w:color w:val="0000EE"/>
                  <w:w w:val="92"/>
                </w:rPr>
                <w:t>32.</w:t>
              </w:r>
              <w:r>
                <w:rPr>
                  <w:rFonts w:ascii="Times New Roman" w:cs="Times New Roman" w:eastAsia="Times New Roman" w:hAnsi="Times New Roman"/>
                  <w:sz w:val="21"/>
                  <w:szCs w:val="21"/>
                  <w:u w:val="single" w:color="auto"/>
                  <w:color w:val="0000EE"/>
                  <w:w w:val="92"/>
                </w:rPr>
                <w:t>1</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8"/>
              </w:rPr>
              <w:t>Certification of Chief Executive Officer under 18 U.S.C. §1350 pursuant to Section 906 of the Sarbanes-Oxley Act of 2002.</w:t>
            </w:r>
          </w:p>
        </w:tc>
      </w:tr>
      <w:tr>
        <w:trPr>
          <w:trHeight w:val="271"/>
        </w:trPr>
        <w:tc>
          <w:tcPr>
            <w:tcW w:w="120" w:type="dxa"/>
            <w:vAlign w:val="bottom"/>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Filed herewith.</w:t>
            </w:r>
          </w:p>
        </w:tc>
      </w:tr>
      <w:tr>
        <w:trPr>
          <w:trHeight w:val="437"/>
        </w:trPr>
        <w:tc>
          <w:tcPr>
            <w:tcW w:w="480" w:type="dxa"/>
            <w:vAlign w:val="bottom"/>
            <w:gridSpan w:val="3"/>
          </w:tcPr>
          <w:p>
            <w:pPr>
              <w:ind w:left="120"/>
              <w:spacing w:after="0"/>
              <w:rPr>
                <w:rFonts w:ascii="Times New Roman" w:cs="Times New Roman" w:eastAsia="Times New Roman" w:hAnsi="Times New Roman"/>
                <w:sz w:val="21"/>
                <w:szCs w:val="21"/>
                <w:color w:val="0000EE"/>
                <w:w w:val="92"/>
              </w:rPr>
            </w:pPr>
            <w:hyperlink w:anchor="page97">
              <w:r>
                <w:rPr>
                  <w:rFonts w:ascii="Times New Roman" w:cs="Times New Roman" w:eastAsia="Times New Roman" w:hAnsi="Times New Roman"/>
                  <w:sz w:val="21"/>
                  <w:szCs w:val="21"/>
                  <w:color w:val="0000EE"/>
                  <w:w w:val="92"/>
                </w:rPr>
                <w:t>32.</w:t>
              </w:r>
              <w:r>
                <w:rPr>
                  <w:rFonts w:ascii="Times New Roman" w:cs="Times New Roman" w:eastAsia="Times New Roman" w:hAnsi="Times New Roman"/>
                  <w:sz w:val="21"/>
                  <w:szCs w:val="21"/>
                  <w:u w:val="single" w:color="auto"/>
                  <w:color w:val="0000EE"/>
                  <w:w w:val="92"/>
                </w:rPr>
                <w:t>2</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8"/>
              </w:rPr>
              <w:t>Certification of Chief Financial Officer under 18 U.S.C. §1350 pursuant to Section 906 of the Sarbanes-Oxley Act of 2002.</w:t>
            </w:r>
          </w:p>
        </w:tc>
      </w:tr>
      <w:tr>
        <w:trPr>
          <w:trHeight w:val="271"/>
        </w:trPr>
        <w:tc>
          <w:tcPr>
            <w:tcW w:w="120" w:type="dxa"/>
            <w:vAlign w:val="bottom"/>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Filed herewith.</w:t>
            </w:r>
          </w:p>
        </w:tc>
      </w:tr>
      <w:tr>
        <w:trPr>
          <w:trHeight w:val="460"/>
        </w:trPr>
        <w:tc>
          <w:tcPr>
            <w:tcW w:w="9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101.INS</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Inline XBRL Instance Document – the instance document does not appear in the Interactive Data File because its XBRL</w:t>
            </w:r>
          </w:p>
        </w:tc>
      </w:tr>
      <w:tr>
        <w:trPr>
          <w:trHeight w:val="268"/>
        </w:trPr>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tags are embedded within the Inline XBRL document.</w:t>
            </w:r>
          </w:p>
        </w:tc>
      </w:tr>
      <w:tr>
        <w:trPr>
          <w:trHeight w:val="486"/>
        </w:trPr>
        <w:tc>
          <w:tcPr>
            <w:tcW w:w="9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101.SCH</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Inline XBRL Taxonomy Extension Schema. Filed herewith.</w:t>
            </w:r>
          </w:p>
        </w:tc>
      </w:tr>
      <w:tr>
        <w:trPr>
          <w:trHeight w:val="486"/>
        </w:trPr>
        <w:tc>
          <w:tcPr>
            <w:tcW w:w="9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101.CAL</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Inline XBRL Taxonomy Extension Calculation Linkbase. Filed herewith.</w:t>
            </w:r>
          </w:p>
        </w:tc>
      </w:tr>
      <w:tr>
        <w:trPr>
          <w:trHeight w:val="486"/>
        </w:trPr>
        <w:tc>
          <w:tcPr>
            <w:tcW w:w="9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101.DEF</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Inline XBRL Taxonomy Extension Definition Linkbase. Filed herewith.</w:t>
            </w:r>
          </w:p>
        </w:tc>
      </w:tr>
      <w:tr>
        <w:trPr>
          <w:trHeight w:val="486"/>
        </w:trPr>
        <w:tc>
          <w:tcPr>
            <w:tcW w:w="9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101.LAB</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Inline XBRL Taxonomy Extension Label Linkbase. Filed herewith.</w:t>
            </w:r>
          </w:p>
        </w:tc>
      </w:tr>
      <w:tr>
        <w:trPr>
          <w:trHeight w:val="486"/>
        </w:trPr>
        <w:tc>
          <w:tcPr>
            <w:tcW w:w="9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101.PRE</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Inline XBRL Taxonomy Extension Presentation Linkbase. Filed herewith.</w:t>
            </w:r>
          </w:p>
        </w:tc>
      </w:tr>
    </w:tbl>
    <w:p>
      <w:pPr>
        <w:spacing w:after="0" w:line="217" w:lineRule="exact"/>
        <w:rPr>
          <w:sz w:val="20"/>
          <w:szCs w:val="20"/>
          <w:color w:val="auto"/>
        </w:rPr>
      </w:pPr>
    </w:p>
    <w:p>
      <w:pPr>
        <w:ind w:left="1160" w:right="1860" w:hanging="1152"/>
        <w:spacing w:after="0" w:line="267" w:lineRule="auto"/>
        <w:tabs>
          <w:tab w:leader="none" w:pos="11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 page from M&amp;T Bank Corporation’s Quarterly Report on Form 10-Q for the quarter ended September 30, 2019 has been formatted in Inline XBRL.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w:t>
      </w:r>
    </w:p>
    <w:p>
      <w:pPr>
        <w:spacing w:after="0" w:line="217"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239" w:lineRule="exact"/>
        <w:rPr>
          <w:sz w:val="20"/>
          <w:szCs w:val="20"/>
          <w:color w:val="auto"/>
        </w:rPr>
      </w:pPr>
    </w:p>
    <w:p>
      <w:pPr>
        <w:spacing w:after="0"/>
        <w:tabs>
          <w:tab w:leader="none" w:pos="6700" w:val="left"/>
          <w:tab w:leader="none" w:pos="7160" w:val="left"/>
        </w:tabs>
        <w:rPr>
          <w:sz w:val="20"/>
          <w:szCs w:val="20"/>
          <w:color w:val="auto"/>
        </w:rPr>
      </w:pPr>
      <w:r>
        <w:rPr>
          <w:rFonts w:ascii="Times New Roman" w:cs="Times New Roman" w:eastAsia="Times New Roman" w:hAnsi="Times New Roman"/>
          <w:sz w:val="20"/>
          <w:szCs w:val="20"/>
          <w:color w:val="auto"/>
        </w:rPr>
        <w:t>Date: November 5, 2019</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13970</wp:posOffset>
            </wp:positionV>
            <wp:extent cx="2698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spacing w:after="0" w:line="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Darren J. King</w:t>
      </w:r>
    </w:p>
    <w:p>
      <w:pPr>
        <w:spacing w:after="0" w:line="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Executive Vice President</w:t>
      </w:r>
    </w:p>
    <w:p>
      <w:pPr>
        <w:ind w:left="718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- 93 -</w:t>
      </w:r>
    </w:p>
    <w:p>
      <w:pPr>
        <w:sectPr>
          <w:pgSz w:w="11900" w:h="16838" w:orient="portrait"/>
          <w:cols w:equalWidth="0" w:num="1">
            <w:col w:w="11420"/>
          </w:cols>
          <w:pgMar w:left="240" w:top="338"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82"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440" w:hanging="432"/>
        <w:spacing w:after="0" w:line="196" w:lineRule="auto"/>
        <w:tabs>
          <w:tab w:leader="none" w:pos="4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40" w:hanging="432"/>
        <w:spacing w:after="0" w:line="196" w:lineRule="auto"/>
        <w:tabs>
          <w:tab w:leader="none" w:pos="4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ind w:left="440" w:hanging="432"/>
        <w:spacing w:after="0" w:line="213" w:lineRule="auto"/>
        <w:tabs>
          <w:tab w:leader="none" w:pos="4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 w:lineRule="exact"/>
        <w:rPr>
          <w:rFonts w:ascii="Times New Roman" w:cs="Times New Roman" w:eastAsia="Times New Roman" w:hAnsi="Times New Roman"/>
          <w:sz w:val="21"/>
          <w:szCs w:val="21"/>
          <w:color w:val="auto"/>
        </w:rPr>
      </w:pPr>
    </w:p>
    <w:p>
      <w:pPr>
        <w:ind w:left="440" w:hanging="432"/>
        <w:spacing w:after="0" w:line="213" w:lineRule="auto"/>
        <w:tabs>
          <w:tab w:leader="none" w:pos="4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November 5, 2019</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12065</wp:posOffset>
            </wp:positionV>
            <wp:extent cx="25609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René F. Jones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Darren J. King, certify that:</w:t>
      </w:r>
    </w:p>
    <w:p>
      <w:pPr>
        <w:spacing w:after="0" w:line="82"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40" w:hanging="432"/>
        <w:spacing w:after="0" w:line="196" w:lineRule="auto"/>
        <w:tabs>
          <w:tab w:leader="none" w:pos="4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ind w:left="440" w:hanging="432"/>
        <w:spacing w:after="0" w:line="213" w:lineRule="auto"/>
        <w:tabs>
          <w:tab w:leader="none" w:pos="4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 w:lineRule="exact"/>
        <w:rPr>
          <w:rFonts w:ascii="Times New Roman" w:cs="Times New Roman" w:eastAsia="Times New Roman" w:hAnsi="Times New Roman"/>
          <w:sz w:val="21"/>
          <w:szCs w:val="21"/>
          <w:color w:val="auto"/>
        </w:rPr>
      </w:pPr>
    </w:p>
    <w:p>
      <w:pPr>
        <w:ind w:left="440" w:hanging="432"/>
        <w:spacing w:after="0" w:line="213" w:lineRule="auto"/>
        <w:tabs>
          <w:tab w:leader="none" w:pos="4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November 5, 2019</w:t>
      </w:r>
    </w:p>
    <w:p>
      <w:pPr>
        <w:spacing w:after="0" w:line="200" w:lineRule="exact"/>
        <w:rPr>
          <w:sz w:val="20"/>
          <w:szCs w:val="20"/>
          <w:color w:val="auto"/>
        </w:rPr>
      </w:pPr>
    </w:p>
    <w:p>
      <w:pPr>
        <w:spacing w:after="0" w:line="27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12065</wp:posOffset>
            </wp:positionV>
            <wp:extent cx="25952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Darren J. King</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and Chief Financial Officer</w:t>
      </w:r>
    </w:p>
    <w:p>
      <w:pPr>
        <w:sectPr>
          <w:pgSz w:w="11900" w:h="16838" w:orient="portrait"/>
          <w:cols w:equalWidth="0" w:num="1">
            <w:col w:w="11420"/>
          </w:cols>
          <w:pgMar w:left="240" w:top="82"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1"/>
          <w:szCs w:val="2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Chairman of the Board and Chief Executive Officer of M&amp;T Bank Corporation, certify, pursuant to Section 906 of the</w:t>
      </w: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68" w:lineRule="exact"/>
        <w:rPr>
          <w:sz w:val="20"/>
          <w:szCs w:val="20"/>
          <w:color w:val="auto"/>
        </w:rPr>
      </w:pPr>
    </w:p>
    <w:p>
      <w:pPr>
        <w:jc w:val="both"/>
        <w:ind w:left="1900" w:right="1920" w:hanging="948"/>
        <w:spacing w:after="0" w:line="231" w:lineRule="auto"/>
        <w:tabs>
          <w:tab w:leader="none" w:pos="190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September 30, 2019 (the "Report") fully complies with the requirements of Section 13(a) or 15(d) of the Securities Exchange Act of 1934 (15 U.S.C. 78m or 78o(d)); and</w:t>
      </w:r>
    </w:p>
    <w:p>
      <w:pPr>
        <w:spacing w:after="0" w:line="166" w:lineRule="exact"/>
        <w:rPr>
          <w:rFonts w:ascii="Times New Roman" w:cs="Times New Roman" w:eastAsia="Times New Roman" w:hAnsi="Times New Roman"/>
          <w:sz w:val="21"/>
          <w:szCs w:val="21"/>
          <w:color w:val="auto"/>
        </w:rPr>
      </w:pPr>
    </w:p>
    <w:p>
      <w:pPr>
        <w:ind w:left="1900" w:right="1920" w:hanging="948"/>
        <w:spacing w:after="0" w:line="241" w:lineRule="auto"/>
        <w:tabs>
          <w:tab w:leader="none" w:pos="190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8503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René F. Jones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November 5,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08" w:right="239" w:bottom="1440" w:gutter="0" w:footer="0" w:header="0"/>
        </w:sectPr>
      </w:pPr>
    </w:p>
    <w:bookmarkStart w:id="96" w:name="page97"/>
    <w:bookmarkEnd w:id="96"/>
    <w:p>
      <w:pPr>
        <w:ind w:left="10180"/>
        <w:spacing w:after="0"/>
        <w:rPr>
          <w:sz w:val="20"/>
          <w:szCs w:val="20"/>
          <w:color w:val="auto"/>
        </w:rPr>
      </w:pPr>
      <w:r>
        <w:rPr>
          <w:rFonts w:ascii="Times New Roman" w:cs="Times New Roman" w:eastAsia="Times New Roman" w:hAnsi="Times New Roman"/>
          <w:sz w:val="20"/>
          <w:szCs w:val="20"/>
          <w:color w:val="auto"/>
        </w:rPr>
        <w:t>EXHIBIT 32.2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Darren J. King, Executive Vice President and Chief Financial Officer of M&amp;T Bank Corporation, certify, pursuant to Section 906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68" w:lineRule="exact"/>
        <w:rPr>
          <w:sz w:val="20"/>
          <w:szCs w:val="20"/>
          <w:color w:val="auto"/>
        </w:rPr>
      </w:pPr>
    </w:p>
    <w:p>
      <w:pPr>
        <w:jc w:val="both"/>
        <w:ind w:left="1900" w:right="1920" w:hanging="948"/>
        <w:spacing w:after="0" w:line="231" w:lineRule="auto"/>
        <w:tabs>
          <w:tab w:leader="none" w:pos="19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September 30, 2019 (the "Report") fully complies with the requirements of Section 13(a) or 15(d) of the Securities Exchange Act of 1934 (15 U.S.C. 78m or 78o(d)); and</w:t>
      </w:r>
    </w:p>
    <w:p>
      <w:pPr>
        <w:spacing w:after="0" w:line="166" w:lineRule="exact"/>
        <w:rPr>
          <w:rFonts w:ascii="Times New Roman" w:cs="Times New Roman" w:eastAsia="Times New Roman" w:hAnsi="Times New Roman"/>
          <w:sz w:val="21"/>
          <w:szCs w:val="21"/>
          <w:color w:val="auto"/>
        </w:rPr>
      </w:pPr>
    </w:p>
    <w:p>
      <w:pPr>
        <w:ind w:left="1900" w:right="1920" w:hanging="948"/>
        <w:spacing w:after="0" w:line="241" w:lineRule="auto"/>
        <w:tabs>
          <w:tab w:leader="none" w:pos="19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8503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Darren J. King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November 5,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lvl w:ilvl="1">
      <w:lvlJc w:val="left"/>
      <w:lvlText w:val="-"/>
      <w:numFmt w:val="bullet"/>
      <w:start w:val="1"/>
    </w:lvl>
  </w:abstractNum>
  <w:abstractNum w:abstractNumId="3">
    <w:nsid w:val="333AB105"/>
    <w:multiLevelType w:val="hybridMultilevel"/>
    <w:lvl w:ilvl="0">
      <w:lvlJc w:val="left"/>
      <w:lvlText w:val="(%1)"/>
      <w:numFmt w:val="lowerLetter"/>
      <w:start w:val="1"/>
    </w:lvl>
    <w:lvl w:ilvl="1">
      <w:lvlJc w:val="left"/>
      <w:lvlText w:val="-"/>
      <w:numFmt w:val="bullet"/>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Letter"/>
      <w:start w:val="1"/>
    </w:lvl>
    <w:lvl w:ilvl="1">
      <w:lvlJc w:val="left"/>
      <w:lvlText w:val="-"/>
      <w:numFmt w:val="bullet"/>
      <w:start w:val="1"/>
    </w:lvl>
  </w:abstractNum>
  <w:abstractNum w:abstractNumId="12">
    <w:nsid w:val="B03E0C6"/>
    <w:multiLevelType w:val="hybridMultilevel"/>
    <w:lvl w:ilvl="0">
      <w:lvlJc w:val="left"/>
      <w:lvlText w:val="(%1)"/>
      <w:numFmt w:val="lowerLetter"/>
      <w:start w:val="1"/>
    </w:lvl>
    <w:lvl w:ilvl="1">
      <w:lvlJc w:val="left"/>
      <w:lvlText w:val="-"/>
      <w:numFmt w:val="bullet"/>
      <w:start w:val="1"/>
    </w:lvl>
  </w:abstractNum>
  <w:abstractNum w:abstractNumId="13">
    <w:nsid w:val="189A769B"/>
    <w:multiLevelType w:val="hybridMultilevel"/>
    <w:lvl w:ilvl="0">
      <w:lvlJc w:val="left"/>
      <w:lvlText w:val="%1."/>
      <w:numFmt w:val="decimal"/>
      <w:start w:val="13"/>
    </w:lvl>
  </w:abstractNum>
  <w:abstractNum w:abstractNumId="14">
    <w:nsid w:val="54E49EB4"/>
    <w:multiLevelType w:val="hybridMultilevel"/>
    <w:lvl w:ilvl="0">
      <w:lvlJc w:val="left"/>
      <w:lvlText w:val="(%1)"/>
      <w:numFmt w:val="lowerLetter"/>
      <w:start w:val="1"/>
    </w:lvl>
    <w:lvl w:ilvl="1">
      <w:lvlJc w:val="left"/>
      <w:lvlText w:val="-"/>
      <w:numFmt w:val="bullet"/>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lvl w:ilvl="1">
      <w:lvlJc w:val="left"/>
      <w:lvlText w:val="-"/>
      <w:numFmt w:val="bullet"/>
      <w:start w:val="1"/>
    </w:lvl>
  </w:abstractNum>
  <w:abstractNum w:abstractNumId="17">
    <w:nsid w:val="836C40E"/>
    <w:multiLevelType w:val="hybridMultilevel"/>
    <w:lvl w:ilvl="0">
      <w:lvlJc w:val="left"/>
      <w:lvlText w:val="(%1)"/>
      <w:numFmt w:val="lowerLetter"/>
      <w:start w:val="1"/>
    </w:lvl>
    <w:lvl w:ilvl="1">
      <w:lvlJc w:val="left"/>
      <w:lvlText w:val="-"/>
      <w:numFmt w:val="bullet"/>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Roman"/>
      <w:start w:val="5"/>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Letter"/>
      <w:start w:val="1"/>
    </w:lvl>
    <w:lvl w:ilvl="1">
      <w:lvlJc w:val="left"/>
      <w:lvlText w:val="-"/>
      <w:numFmt w:val="bullet"/>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3"/>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04"/>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26" Type="http://schemas.openxmlformats.org/officeDocument/2006/relationships/hyperlink" Target="http://www.sec.gov/Archives/edgar/data/36270/000119312519207015/d73399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2019-12-28T03:14:41Z</dcterms:created>
  <dcterms:modified xsi:type="dcterms:W3CDTF">2019-12-28T03:14:41Z</dcterms:modified>
</cp:coreProperties>
</file>